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EE2915" w:rsidRDefault="003E22A7" w:rsidP="003E22A7">
      <w:pPr>
        <w:pStyle w:val="Chapter"/>
        <w:ind w:left="907" w:hanging="907"/>
        <w:rPr>
          <w:noProof/>
        </w:rPr>
      </w:pPr>
      <w:bookmarkStart w:id="0" w:name="ChapterNumber"/>
      <w:bookmarkStart w:id="1" w:name="_GoBack"/>
      <w:bookmarkEnd w:id="1"/>
      <w:r>
        <w:rPr>
          <w:noProof/>
        </w:rPr>
        <w:t>2</w:t>
      </w:r>
      <w:bookmarkEnd w:id="0"/>
      <w:r>
        <w:rPr>
          <w:noProof/>
        </w:rPr>
        <w:tab/>
      </w:r>
      <w:bookmarkStart w:id="2" w:name="ChapterTitle"/>
      <w:r>
        <w:rPr>
          <w:noProof/>
        </w:rPr>
        <w:t>The Compendium of Indigenous data</w:t>
      </w:r>
      <w:bookmarkEnd w:id="2"/>
    </w:p>
    <w:p w:rsidR="00180C70" w:rsidRDefault="00B949D4" w:rsidP="00B73E38">
      <w:pPr>
        <w:pStyle w:val="TOC1"/>
      </w:pPr>
      <w:r w:rsidRPr="00EE2915">
        <w:t>CONTENT</w:t>
      </w:r>
      <w:r w:rsidR="00C67AE1" w:rsidRPr="00EE2915">
        <w:t>s</w:t>
      </w:r>
      <w:bookmarkStart w:id="3" w:name="_Toc346613412"/>
      <w:bookmarkEnd w:id="3"/>
    </w:p>
    <w:p w:rsidR="00B07561" w:rsidRPr="00B07561" w:rsidRDefault="00B07561">
      <w:pPr>
        <w:pStyle w:val="TOC3"/>
        <w:rPr>
          <w:rFonts w:asciiTheme="minorHAnsi" w:eastAsiaTheme="minorEastAsia" w:hAnsiTheme="minorHAnsi" w:cstheme="minorBidi"/>
          <w:b/>
          <w:noProof/>
          <w:sz w:val="22"/>
          <w:szCs w:val="22"/>
        </w:rPr>
      </w:pPr>
      <w:r w:rsidRPr="008B475E">
        <w:rPr>
          <w:b/>
          <w:noProof/>
        </w:rPr>
        <w:t>Improvements in reporting of Indigenous data</w:t>
      </w:r>
      <w:r w:rsidRPr="00B07561">
        <w:rPr>
          <w:b/>
          <w:noProof/>
          <w:webHidden/>
        </w:rPr>
        <w:tab/>
      </w:r>
      <w:r w:rsidR="0096387B">
        <w:rPr>
          <w:b/>
          <w:noProof/>
          <w:webHidden/>
        </w:rPr>
        <w:t>2.1</w:t>
      </w:r>
    </w:p>
    <w:p w:rsidR="00B07561" w:rsidRPr="00B07561" w:rsidRDefault="00B07561">
      <w:pPr>
        <w:pStyle w:val="TOC3"/>
        <w:rPr>
          <w:rFonts w:asciiTheme="minorHAnsi" w:eastAsiaTheme="minorEastAsia" w:hAnsiTheme="minorHAnsi" w:cstheme="minorBidi"/>
          <w:b/>
          <w:noProof/>
          <w:sz w:val="22"/>
          <w:szCs w:val="22"/>
        </w:rPr>
      </w:pPr>
      <w:r w:rsidRPr="008B475E">
        <w:rPr>
          <w:b/>
          <w:noProof/>
        </w:rPr>
        <w:t>Timeliness and data availability</w:t>
      </w:r>
      <w:r w:rsidRPr="00B07561">
        <w:rPr>
          <w:b/>
          <w:noProof/>
          <w:webHidden/>
        </w:rPr>
        <w:tab/>
      </w:r>
      <w:r w:rsidR="0096387B">
        <w:rPr>
          <w:b/>
          <w:noProof/>
          <w:webHidden/>
        </w:rPr>
        <w:t>2.1</w:t>
      </w:r>
    </w:p>
    <w:p w:rsidR="00B07561" w:rsidRPr="00B07561" w:rsidRDefault="00B07561">
      <w:pPr>
        <w:pStyle w:val="TOC3"/>
        <w:rPr>
          <w:rFonts w:asciiTheme="minorHAnsi" w:eastAsiaTheme="minorEastAsia" w:hAnsiTheme="minorHAnsi" w:cstheme="minorBidi"/>
          <w:b/>
          <w:noProof/>
          <w:sz w:val="22"/>
          <w:szCs w:val="22"/>
        </w:rPr>
      </w:pPr>
      <w:r w:rsidRPr="008B475E">
        <w:rPr>
          <w:b/>
          <w:noProof/>
        </w:rPr>
        <w:t>Comparability of data</w:t>
      </w:r>
      <w:r w:rsidRPr="00B07561">
        <w:rPr>
          <w:b/>
          <w:noProof/>
          <w:webHidden/>
        </w:rPr>
        <w:tab/>
      </w:r>
      <w:r w:rsidR="0096387B">
        <w:rPr>
          <w:b/>
          <w:noProof/>
          <w:webHidden/>
        </w:rPr>
        <w:t>2.7</w:t>
      </w:r>
    </w:p>
    <w:p w:rsidR="00B07561" w:rsidRPr="00B07561" w:rsidRDefault="00B07561">
      <w:pPr>
        <w:pStyle w:val="TOC3"/>
        <w:rPr>
          <w:rFonts w:asciiTheme="minorHAnsi" w:eastAsiaTheme="minorEastAsia" w:hAnsiTheme="minorHAnsi" w:cstheme="minorBidi"/>
          <w:b/>
          <w:noProof/>
          <w:sz w:val="22"/>
          <w:szCs w:val="22"/>
        </w:rPr>
      </w:pPr>
      <w:r w:rsidRPr="008B475E">
        <w:rPr>
          <w:b/>
          <w:noProof/>
        </w:rPr>
        <w:t>Changes to administrative data collections</w:t>
      </w:r>
      <w:r w:rsidRPr="00B07561">
        <w:rPr>
          <w:b/>
          <w:noProof/>
          <w:webHidden/>
        </w:rPr>
        <w:tab/>
      </w:r>
      <w:r w:rsidR="0096387B">
        <w:rPr>
          <w:b/>
          <w:noProof/>
          <w:webHidden/>
        </w:rPr>
        <w:t>2.7</w:t>
      </w:r>
    </w:p>
    <w:p w:rsidR="00B07561" w:rsidRPr="00B07561" w:rsidRDefault="00B07561">
      <w:pPr>
        <w:pStyle w:val="TOC3"/>
        <w:rPr>
          <w:rFonts w:asciiTheme="minorHAnsi" w:eastAsiaTheme="minorEastAsia" w:hAnsiTheme="minorHAnsi" w:cstheme="minorBidi"/>
          <w:b/>
          <w:noProof/>
          <w:sz w:val="22"/>
          <w:szCs w:val="22"/>
        </w:rPr>
      </w:pPr>
      <w:r w:rsidRPr="008B475E">
        <w:rPr>
          <w:b/>
          <w:noProof/>
        </w:rPr>
        <w:t>Indigenous data in the 2013 Report</w:t>
      </w:r>
      <w:r w:rsidRPr="00B07561">
        <w:rPr>
          <w:b/>
          <w:noProof/>
          <w:webHidden/>
        </w:rPr>
        <w:tab/>
      </w:r>
      <w:r w:rsidR="0096387B">
        <w:rPr>
          <w:b/>
          <w:noProof/>
          <w:webHidden/>
        </w:rPr>
        <w:t>2.7</w:t>
      </w:r>
    </w:p>
    <w:p w:rsidR="00B07561" w:rsidRPr="00B07561" w:rsidRDefault="00B07561">
      <w:pPr>
        <w:pStyle w:val="TOC4"/>
        <w:rPr>
          <w:rFonts w:asciiTheme="minorHAnsi" w:eastAsiaTheme="minorEastAsia" w:hAnsiTheme="minorHAnsi" w:cstheme="minorBidi"/>
          <w:b/>
          <w:noProof/>
          <w:sz w:val="22"/>
          <w:szCs w:val="22"/>
        </w:rPr>
      </w:pPr>
      <w:r w:rsidRPr="008B475E">
        <w:rPr>
          <w:b/>
          <w:noProof/>
        </w:rPr>
        <w:t>Indigenous Australians</w:t>
      </w:r>
      <w:r w:rsidRPr="008B475E">
        <w:rPr>
          <w:b/>
          <w:noProof/>
          <w:webHidden/>
        </w:rPr>
        <w:tab/>
      </w:r>
      <w:r w:rsidR="0096387B" w:rsidRPr="008B475E">
        <w:rPr>
          <w:b/>
          <w:noProof/>
          <w:webHidden/>
        </w:rPr>
        <w:t>2.8</w:t>
      </w:r>
    </w:p>
    <w:p w:rsidR="00B07561" w:rsidRPr="00B07561" w:rsidRDefault="00B07561">
      <w:pPr>
        <w:pStyle w:val="TOC3"/>
        <w:rPr>
          <w:rFonts w:asciiTheme="minorHAnsi" w:eastAsiaTheme="minorEastAsia" w:hAnsiTheme="minorHAnsi" w:cstheme="minorBidi"/>
          <w:b/>
          <w:noProof/>
          <w:sz w:val="22"/>
          <w:szCs w:val="22"/>
        </w:rPr>
      </w:pPr>
      <w:r w:rsidRPr="008B475E">
        <w:rPr>
          <w:b/>
          <w:noProof/>
        </w:rPr>
        <w:t>‘Cross-cutting’ issues</w:t>
      </w:r>
      <w:r w:rsidRPr="00B07561">
        <w:rPr>
          <w:b/>
          <w:noProof/>
          <w:webHidden/>
        </w:rPr>
        <w:tab/>
      </w:r>
      <w:r w:rsidR="0096387B">
        <w:rPr>
          <w:b/>
          <w:noProof/>
          <w:webHidden/>
        </w:rPr>
        <w:t>2.11</w:t>
      </w:r>
    </w:p>
    <w:p w:rsidR="00B949D4" w:rsidRPr="00B07561" w:rsidRDefault="00B07561" w:rsidP="00B07561">
      <w:pPr>
        <w:pStyle w:val="TOC3"/>
        <w:rPr>
          <w:b/>
          <w:caps/>
          <w:highlight w:val="yellow"/>
        </w:rPr>
      </w:pPr>
      <w:r w:rsidRPr="008B475E">
        <w:rPr>
          <w:b/>
          <w:noProof/>
        </w:rPr>
        <w:t>References</w:t>
      </w:r>
      <w:r w:rsidRPr="00B07561">
        <w:rPr>
          <w:b/>
          <w:noProof/>
          <w:webHidden/>
        </w:rPr>
        <w:tab/>
      </w:r>
      <w:r w:rsidR="0096387B">
        <w:rPr>
          <w:b/>
          <w:noProof/>
          <w:webHidden/>
        </w:rPr>
        <w:t>2.11</w:t>
      </w:r>
    </w:p>
    <w:p w:rsidR="00EE2915" w:rsidRPr="00EE2915" w:rsidRDefault="00EE2915" w:rsidP="00EE2915">
      <w:pPr>
        <w:pStyle w:val="BodyText"/>
      </w:pPr>
      <w:r w:rsidRPr="00EE2915">
        <w:t xml:space="preserve">The primary aim of this Compendium is to provide an easily accessible collation of Indigenous data from the </w:t>
      </w:r>
      <w:r w:rsidRPr="00EE2915">
        <w:rPr>
          <w:i/>
        </w:rPr>
        <w:t>Report on Government Services 2013</w:t>
      </w:r>
      <w:r w:rsidRPr="00EE2915">
        <w:t xml:space="preserve"> (2013 Report).</w:t>
      </w:r>
    </w:p>
    <w:p w:rsidR="00EE2915" w:rsidRPr="00EE2915" w:rsidRDefault="00EE2915" w:rsidP="00EE2915">
      <w:pPr>
        <w:pStyle w:val="BodyText"/>
      </w:pPr>
      <w:r w:rsidRPr="00EE2915">
        <w:t xml:space="preserve">The data contained in this Compendium — focusing on the efficiency and effectiveness of specific areas of service delivery — can provide information that complements the material in the separate </w:t>
      </w:r>
      <w:r w:rsidRPr="00EE2915">
        <w:rPr>
          <w:i/>
        </w:rPr>
        <w:t>Overcoming Indigenous Disadvantage: Key Indicators report</w:t>
      </w:r>
      <w:r w:rsidRPr="00EE2915">
        <w:t xml:space="preserve"> (</w:t>
      </w:r>
      <w:proofErr w:type="spellStart"/>
      <w:r w:rsidRPr="00EE2915">
        <w:t>SCRGSP</w:t>
      </w:r>
      <w:proofErr w:type="spellEnd"/>
      <w:r w:rsidRPr="00EE2915">
        <w:t xml:space="preserve"> 2011). The </w:t>
      </w:r>
      <w:r w:rsidRPr="00EE2915">
        <w:rPr>
          <w:i/>
        </w:rPr>
        <w:t>Overcoming Indigenous Disadvantage</w:t>
      </w:r>
      <w:r w:rsidRPr="00EE2915">
        <w:t xml:space="preserve"> report summarises outcomes for Indigenous Australians, rather than assessing the performance of specific services.</w:t>
      </w:r>
    </w:p>
    <w:p w:rsidR="00EE2915" w:rsidRPr="004B5496" w:rsidRDefault="00EE2915" w:rsidP="00EE2915">
      <w:pPr>
        <w:pStyle w:val="Heading3"/>
      </w:pPr>
      <w:bookmarkStart w:id="4" w:name="_Toc285815869"/>
      <w:bookmarkStart w:id="5" w:name="_Toc320770520"/>
      <w:bookmarkStart w:id="6" w:name="_Toc346787796"/>
      <w:bookmarkStart w:id="7" w:name="_Toc346801384"/>
      <w:bookmarkStart w:id="8" w:name="_Toc346801652"/>
      <w:r w:rsidRPr="004B5496">
        <w:t>Improvements in reporting of Indigenous data</w:t>
      </w:r>
      <w:bookmarkEnd w:id="4"/>
      <w:bookmarkEnd w:id="5"/>
      <w:bookmarkEnd w:id="6"/>
      <w:bookmarkEnd w:id="7"/>
      <w:bookmarkEnd w:id="8"/>
    </w:p>
    <w:p w:rsidR="00EE2915" w:rsidRPr="004B5496" w:rsidRDefault="00EE2915" w:rsidP="00EE2915">
      <w:pPr>
        <w:pStyle w:val="BodyText"/>
      </w:pPr>
      <w:r w:rsidRPr="004B5496">
        <w:t>Improvements to the Indigenous data to specific areas of the RoGS are summarised in each chapter.</w:t>
      </w:r>
    </w:p>
    <w:p w:rsidR="00EE2915" w:rsidRPr="004B5496" w:rsidRDefault="00EE2915" w:rsidP="00EE2915">
      <w:pPr>
        <w:pStyle w:val="Heading3"/>
      </w:pPr>
      <w:bookmarkStart w:id="9" w:name="_Toc320770521"/>
      <w:bookmarkStart w:id="10" w:name="_Toc346787797"/>
      <w:bookmarkStart w:id="11" w:name="_Toc346801385"/>
      <w:bookmarkStart w:id="12" w:name="_Toc346801653"/>
      <w:r w:rsidRPr="004B5496">
        <w:t>Timeliness</w:t>
      </w:r>
      <w:bookmarkEnd w:id="9"/>
      <w:r w:rsidR="008E28AF">
        <w:t xml:space="preserve"> and data availability</w:t>
      </w:r>
      <w:bookmarkEnd w:id="10"/>
      <w:bookmarkEnd w:id="11"/>
      <w:bookmarkEnd w:id="12"/>
    </w:p>
    <w:p w:rsidR="00CB25BE" w:rsidRPr="0031184F" w:rsidRDefault="00EE2915" w:rsidP="00CB25BE">
      <w:pPr>
        <w:pStyle w:val="BodyText"/>
      </w:pPr>
      <w:r w:rsidRPr="008E28AF">
        <w:t>As noted in chapter 1 of the 201</w:t>
      </w:r>
      <w:r w:rsidR="008E28AF" w:rsidRPr="008E28AF">
        <w:t>3</w:t>
      </w:r>
      <w:r w:rsidRPr="008E28AF">
        <w:t xml:space="preserve"> Report, recent data are more useful for policy decision making but there can be a trade-off between the accuracy of data and their timeliness. </w:t>
      </w:r>
      <w:r w:rsidR="008E28AF" w:rsidRPr="008E28AF">
        <w:t xml:space="preserve">The Steering Committee’s approach is, where data are fit for purpose, to publish imperfect data with caveats. This approach allows increased scrutiny of the data and reveals the </w:t>
      </w:r>
      <w:r w:rsidR="008E28AF" w:rsidRPr="00CB25BE">
        <w:t xml:space="preserve">gaps in critical information, providing the foundation for developing better data over time. </w:t>
      </w:r>
      <w:r w:rsidR="00CB25BE" w:rsidRPr="00CB25BE">
        <w:t xml:space="preserve">Table 2.1 summarises the time periods for data </w:t>
      </w:r>
      <w:r w:rsidR="00CB25BE" w:rsidRPr="00CB25BE">
        <w:lastRenderedPageBreak/>
        <w:t xml:space="preserve">reported for performance indicators included in this RoGS. There have been improvements in timeliness of some </w:t>
      </w:r>
      <w:r w:rsidR="00CB25BE">
        <w:t xml:space="preserve">Indigenous data </w:t>
      </w:r>
      <w:r w:rsidR="00CB25BE" w:rsidRPr="00CB25BE">
        <w:t>collecti</w:t>
      </w:r>
      <w:r w:rsidR="00CB25BE">
        <w:t xml:space="preserve">ons for this edition, including </w:t>
      </w:r>
      <w:r w:rsidR="00CB25BE" w:rsidRPr="0031184F">
        <w:t>amenity/location and customer satisfaction data for State owned and managed Indigenous housing are for 2012, where the most recent previously available data were for 2007</w:t>
      </w:r>
      <w:r w:rsidR="00CB25BE">
        <w:t>.</w:t>
      </w:r>
    </w:p>
    <w:p w:rsidR="00EE2915" w:rsidRPr="00880176" w:rsidRDefault="00EE2915" w:rsidP="00EE2915">
      <w:pPr>
        <w:pStyle w:val="ListBullet"/>
        <w:spacing w:before="100"/>
        <w:sectPr w:rsidR="00EE2915" w:rsidRPr="00880176" w:rsidSect="003E22A7">
          <w:headerReference w:type="even" r:id="rId9"/>
          <w:headerReference w:type="default" r:id="rId10"/>
          <w:footerReference w:type="even" r:id="rId11"/>
          <w:footerReference w:type="default" r:id="rId12"/>
          <w:pgSz w:w="11907" w:h="16840" w:code="9"/>
          <w:pgMar w:top="1985" w:right="1304" w:bottom="1418" w:left="1814" w:header="1701" w:footer="567" w:gutter="0"/>
          <w:pgNumType w:start="1" w:chapSep="period"/>
          <w:cols w:space="720"/>
        </w:sectPr>
      </w:pPr>
    </w:p>
    <w:p w:rsidR="00CB25BE" w:rsidRPr="0031184F" w:rsidRDefault="00EE2915" w:rsidP="00CB25BE">
      <w:pPr>
        <w:pStyle w:val="TableTitle"/>
        <w:spacing w:before="0"/>
      </w:pPr>
      <w:r w:rsidRPr="00CB25BE">
        <w:rPr>
          <w:b w:val="0"/>
        </w:rPr>
        <w:lastRenderedPageBreak/>
        <w:t xml:space="preserve">Table </w:t>
      </w:r>
      <w:r w:rsidR="003E22A7" w:rsidRPr="003E22A7">
        <w:rPr>
          <w:b w:val="0"/>
        </w:rPr>
        <w:t>2.</w:t>
      </w:r>
      <w:r w:rsidR="003E22A7">
        <w:rPr>
          <w:b w:val="0"/>
          <w:noProof/>
        </w:rPr>
        <w:t>1</w:t>
      </w:r>
      <w:r w:rsidRPr="00CB25BE">
        <w:tab/>
        <w:t>Time period of reported performance results, 201</w:t>
      </w:r>
      <w:r w:rsidR="00CB25BE" w:rsidRPr="00CB25BE">
        <w:t>3</w:t>
      </w:r>
      <w:r w:rsidRPr="00CB25BE">
        <w:t xml:space="preserve"> RoGS</w:t>
      </w:r>
    </w:p>
    <w:tbl>
      <w:tblPr>
        <w:tblW w:w="5000" w:type="pct"/>
        <w:tblCellMar>
          <w:left w:w="0" w:type="dxa"/>
          <w:right w:w="0" w:type="dxa"/>
        </w:tblCellMar>
        <w:tblLook w:val="0000" w:firstRow="0" w:lastRow="0" w:firstColumn="0" w:lastColumn="0" w:noHBand="0" w:noVBand="0"/>
      </w:tblPr>
      <w:tblGrid>
        <w:gridCol w:w="567"/>
        <w:gridCol w:w="2268"/>
        <w:gridCol w:w="3827"/>
        <w:gridCol w:w="4139"/>
        <w:gridCol w:w="2636"/>
      </w:tblGrid>
      <w:tr w:rsidR="00CB25BE" w:rsidRPr="0031184F" w:rsidTr="0018366C">
        <w:tc>
          <w:tcPr>
            <w:tcW w:w="1055" w:type="pct"/>
            <w:gridSpan w:val="2"/>
            <w:tcBorders>
              <w:top w:val="single" w:sz="6" w:space="0" w:color="auto"/>
              <w:bottom w:val="single" w:sz="6" w:space="0" w:color="auto"/>
            </w:tcBorders>
          </w:tcPr>
          <w:p w:rsidR="00CB25BE" w:rsidRPr="0031184F" w:rsidRDefault="00CB25BE" w:rsidP="0018366C">
            <w:pPr>
              <w:pStyle w:val="TableColumnHeading"/>
              <w:jc w:val="left"/>
            </w:pPr>
            <w:r>
              <w:rPr>
                <w:sz w:val="18"/>
                <w:szCs w:val="18"/>
              </w:rPr>
              <w:t>I</w:t>
            </w:r>
            <w:r w:rsidRPr="0031184F">
              <w:rPr>
                <w:sz w:val="18"/>
                <w:szCs w:val="18"/>
              </w:rPr>
              <w:t>ndicator framework</w:t>
            </w:r>
          </w:p>
        </w:tc>
        <w:tc>
          <w:tcPr>
            <w:tcW w:w="1424" w:type="pct"/>
            <w:tcBorders>
              <w:top w:val="single" w:sz="6" w:space="0" w:color="auto"/>
              <w:bottom w:val="single" w:sz="6" w:space="0" w:color="auto"/>
            </w:tcBorders>
          </w:tcPr>
          <w:p w:rsidR="00CB25BE" w:rsidRPr="00304FF0" w:rsidRDefault="00CB25BE" w:rsidP="0018366C">
            <w:pPr>
              <w:pStyle w:val="TableColumnHeading"/>
              <w:jc w:val="left"/>
              <w:rPr>
                <w:i w:val="0"/>
                <w:sz w:val="18"/>
                <w:szCs w:val="18"/>
              </w:rPr>
            </w:pPr>
            <w:r w:rsidRPr="0031184F">
              <w:rPr>
                <w:sz w:val="18"/>
                <w:szCs w:val="18"/>
              </w:rPr>
              <w:t>At or earlier than 2009 or 2009-10</w:t>
            </w:r>
            <w:r w:rsidRPr="00A1392C">
              <w:rPr>
                <w:rStyle w:val="NoteLabel"/>
                <w:i w:val="0"/>
              </w:rPr>
              <w:t>a</w:t>
            </w:r>
          </w:p>
        </w:tc>
        <w:tc>
          <w:tcPr>
            <w:tcW w:w="1540" w:type="pct"/>
            <w:tcBorders>
              <w:top w:val="single" w:sz="6" w:space="0" w:color="auto"/>
              <w:bottom w:val="single" w:sz="6" w:space="0" w:color="auto"/>
            </w:tcBorders>
          </w:tcPr>
          <w:p w:rsidR="00CB25BE" w:rsidRPr="0031184F" w:rsidRDefault="00CB25BE" w:rsidP="0018366C">
            <w:pPr>
              <w:pStyle w:val="TableColumnHeading"/>
              <w:jc w:val="left"/>
              <w:rPr>
                <w:sz w:val="18"/>
                <w:szCs w:val="18"/>
              </w:rPr>
            </w:pPr>
            <w:r w:rsidRPr="0031184F">
              <w:rPr>
                <w:sz w:val="18"/>
                <w:szCs w:val="18"/>
              </w:rPr>
              <w:t>Previous year (2010 or 2010-11)</w:t>
            </w:r>
          </w:p>
        </w:tc>
        <w:tc>
          <w:tcPr>
            <w:tcW w:w="981" w:type="pct"/>
            <w:tcBorders>
              <w:top w:val="single" w:sz="6" w:space="0" w:color="auto"/>
              <w:bottom w:val="single" w:sz="6" w:space="0" w:color="auto"/>
            </w:tcBorders>
          </w:tcPr>
          <w:p w:rsidR="00CB25BE" w:rsidRPr="0031184F" w:rsidRDefault="00CB25BE" w:rsidP="0018366C">
            <w:pPr>
              <w:pStyle w:val="TableColumnHeading"/>
              <w:ind w:right="28"/>
              <w:jc w:val="left"/>
              <w:rPr>
                <w:sz w:val="18"/>
                <w:szCs w:val="18"/>
              </w:rPr>
            </w:pPr>
            <w:r w:rsidRPr="0031184F">
              <w:rPr>
                <w:sz w:val="18"/>
                <w:szCs w:val="18"/>
              </w:rPr>
              <w:t>Current year (2011 or 2011-12)</w:t>
            </w:r>
          </w:p>
        </w:tc>
      </w:tr>
      <w:tr w:rsidR="00CB25BE" w:rsidRPr="0031184F" w:rsidTr="0018366C">
        <w:tc>
          <w:tcPr>
            <w:tcW w:w="211" w:type="pct"/>
            <w:vMerge w:val="restart"/>
            <w:tcBorders>
              <w:top w:val="single" w:sz="6" w:space="0" w:color="auto"/>
              <w:bottom w:val="dotted" w:sz="4" w:space="0" w:color="auto"/>
            </w:tcBorders>
            <w:textDirection w:val="btLr"/>
            <w:vAlign w:val="center"/>
          </w:tcPr>
          <w:p w:rsidR="00CB25BE" w:rsidRPr="006B3BEC" w:rsidRDefault="00CB25BE" w:rsidP="0018366C">
            <w:pPr>
              <w:pStyle w:val="TableColumnHeading"/>
              <w:jc w:val="center"/>
              <w:rPr>
                <w:b/>
                <w:sz w:val="18"/>
                <w:szCs w:val="18"/>
              </w:rPr>
            </w:pPr>
            <w:r w:rsidRPr="006B3BEC">
              <w:rPr>
                <w:b/>
                <w:sz w:val="18"/>
                <w:szCs w:val="18"/>
              </w:rPr>
              <w:t>Child care education and training</w:t>
            </w:r>
          </w:p>
        </w:tc>
        <w:tc>
          <w:tcPr>
            <w:tcW w:w="844" w:type="pct"/>
            <w:tcBorders>
              <w:top w:val="single" w:sz="6" w:space="0" w:color="auto"/>
              <w:bottom w:val="dotted" w:sz="4" w:space="0" w:color="auto"/>
            </w:tcBorders>
          </w:tcPr>
          <w:p w:rsidR="00CB25BE" w:rsidRPr="006B3BEC" w:rsidRDefault="00CB25BE" w:rsidP="0018366C">
            <w:pPr>
              <w:pStyle w:val="TableBodyText"/>
              <w:ind w:left="142" w:hanging="142"/>
              <w:jc w:val="left"/>
              <w:rPr>
                <w:sz w:val="18"/>
                <w:szCs w:val="18"/>
              </w:rPr>
            </w:pPr>
            <w:r w:rsidRPr="006B3BEC">
              <w:rPr>
                <w:sz w:val="18"/>
                <w:szCs w:val="18"/>
              </w:rPr>
              <w:t>Child care, education and training</w:t>
            </w:r>
          </w:p>
        </w:tc>
        <w:tc>
          <w:tcPr>
            <w:tcW w:w="1424" w:type="pct"/>
            <w:tcBorders>
              <w:top w:val="single" w:sz="6"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School readiness — transition to primary school; Participation in employment, education and training by Indigenous people; Attainment of qualifications by Indigenous people</w:t>
            </w:r>
          </w:p>
        </w:tc>
        <w:tc>
          <w:tcPr>
            <w:tcW w:w="1540" w:type="pct"/>
            <w:tcBorders>
              <w:top w:val="single" w:sz="6"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w:t>
            </w:r>
          </w:p>
        </w:tc>
        <w:tc>
          <w:tcPr>
            <w:tcW w:w="981" w:type="pct"/>
            <w:tcBorders>
              <w:top w:val="single" w:sz="6"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All others</w:t>
            </w:r>
          </w:p>
        </w:tc>
      </w:tr>
      <w:tr w:rsidR="00CB25BE" w:rsidRPr="0031184F" w:rsidTr="0018366C">
        <w:tc>
          <w:tcPr>
            <w:tcW w:w="211" w:type="pct"/>
            <w:vMerge/>
            <w:tcBorders>
              <w:top w:val="dotted" w:sz="4" w:space="0" w:color="auto"/>
              <w:bottom w:val="dotted" w:sz="4" w:space="0" w:color="auto"/>
            </w:tcBorders>
            <w:shd w:val="clear" w:color="auto" w:fill="99CCFF"/>
          </w:tcPr>
          <w:p w:rsidR="00CB25BE" w:rsidRPr="006B3BEC" w:rsidRDefault="00CB25BE" w:rsidP="0018366C">
            <w:pPr>
              <w:pStyle w:val="TableColumnHeading"/>
              <w:jc w:val="center"/>
              <w:rPr>
                <w:b/>
                <w:sz w:val="18"/>
                <w:szCs w:val="18"/>
              </w:rPr>
            </w:pPr>
          </w:p>
        </w:tc>
        <w:tc>
          <w:tcPr>
            <w:tcW w:w="844" w:type="pct"/>
            <w:tcBorders>
              <w:top w:val="dotted" w:sz="4" w:space="0" w:color="auto"/>
              <w:bottom w:val="dotted" w:sz="4" w:space="0" w:color="auto"/>
            </w:tcBorders>
          </w:tcPr>
          <w:p w:rsidR="00CB25BE" w:rsidRPr="006B3BEC" w:rsidRDefault="00CB25BE" w:rsidP="0018366C">
            <w:pPr>
              <w:pStyle w:val="TableBodyText"/>
              <w:ind w:left="142" w:hanging="142"/>
              <w:jc w:val="left"/>
              <w:rPr>
                <w:sz w:val="18"/>
                <w:szCs w:val="18"/>
              </w:rPr>
            </w:pPr>
            <w:r w:rsidRPr="006B3BEC">
              <w:rPr>
                <w:sz w:val="18"/>
                <w:szCs w:val="18"/>
              </w:rPr>
              <w:t>Early childhood education and care</w:t>
            </w:r>
          </w:p>
        </w:tc>
        <w:tc>
          <w:tcPr>
            <w:tcW w:w="1424" w:type="pct"/>
            <w:tcBorders>
              <w:top w:val="dotted" w:sz="4"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w:t>
            </w:r>
          </w:p>
        </w:tc>
        <w:tc>
          <w:tcPr>
            <w:tcW w:w="1540" w:type="pct"/>
            <w:tcBorders>
              <w:top w:val="dotted" w:sz="4"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Participation of special needs groups in child care; Staff quality, qualifications and training for child care; Hospital separations of children with injuries requiring hospitalisation</w:t>
            </w:r>
          </w:p>
        </w:tc>
        <w:tc>
          <w:tcPr>
            <w:tcW w:w="981" w:type="pct"/>
            <w:tcBorders>
              <w:top w:val="dotted" w:sz="4"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All others</w:t>
            </w:r>
          </w:p>
        </w:tc>
      </w:tr>
      <w:tr w:rsidR="00CB25BE" w:rsidRPr="0031184F" w:rsidTr="0018366C">
        <w:tc>
          <w:tcPr>
            <w:tcW w:w="211" w:type="pct"/>
            <w:vMerge/>
            <w:tcBorders>
              <w:bottom w:val="dotted" w:sz="4" w:space="0" w:color="auto"/>
            </w:tcBorders>
            <w:shd w:val="clear" w:color="auto" w:fill="99CCFF"/>
          </w:tcPr>
          <w:p w:rsidR="00CB25BE" w:rsidRPr="006B3BEC" w:rsidRDefault="00CB25BE" w:rsidP="0018366C">
            <w:pPr>
              <w:pStyle w:val="TableColumnHeading"/>
              <w:jc w:val="center"/>
              <w:rPr>
                <w:b/>
                <w:sz w:val="18"/>
                <w:szCs w:val="18"/>
              </w:rPr>
            </w:pPr>
          </w:p>
        </w:tc>
        <w:tc>
          <w:tcPr>
            <w:tcW w:w="844" w:type="pct"/>
            <w:tcBorders>
              <w:top w:val="dotted" w:sz="4" w:space="0" w:color="auto"/>
              <w:bottom w:val="dotted" w:sz="4" w:space="0" w:color="auto"/>
            </w:tcBorders>
          </w:tcPr>
          <w:p w:rsidR="00CB25BE" w:rsidRPr="006B3BEC" w:rsidRDefault="00CB25BE" w:rsidP="0018366C">
            <w:pPr>
              <w:pStyle w:val="TableBodyText"/>
              <w:ind w:left="142" w:hanging="142"/>
              <w:jc w:val="left"/>
              <w:rPr>
                <w:sz w:val="18"/>
                <w:szCs w:val="18"/>
              </w:rPr>
            </w:pPr>
            <w:r w:rsidRPr="006B3BEC">
              <w:rPr>
                <w:sz w:val="18"/>
                <w:szCs w:val="18"/>
              </w:rPr>
              <w:t>School education</w:t>
            </w:r>
          </w:p>
        </w:tc>
        <w:tc>
          <w:tcPr>
            <w:tcW w:w="1424" w:type="pct"/>
            <w:tcBorders>
              <w:top w:val="dotted" w:sz="4"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Learning outcomes — national science literacy for years 6 and 10, international learning outcomes data for 15 year olds in reading literacy, mathematical literacy and scientific literacy; Completion — year 10</w:t>
            </w:r>
          </w:p>
        </w:tc>
        <w:tc>
          <w:tcPr>
            <w:tcW w:w="1540" w:type="pct"/>
            <w:tcBorders>
              <w:top w:val="dotted" w:sz="4"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School expenditure; Participation — achievement of VET competencies; Learning outcomes — civics and citizenship literacy for years 6 and 10</w:t>
            </w:r>
          </w:p>
        </w:tc>
        <w:tc>
          <w:tcPr>
            <w:tcW w:w="981" w:type="pct"/>
            <w:tcBorders>
              <w:top w:val="dotted" w:sz="4"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All others</w:t>
            </w:r>
          </w:p>
        </w:tc>
      </w:tr>
      <w:tr w:rsidR="00CB25BE" w:rsidRPr="0031184F" w:rsidTr="0018366C">
        <w:tc>
          <w:tcPr>
            <w:tcW w:w="211" w:type="pct"/>
            <w:vMerge/>
            <w:tcBorders>
              <w:bottom w:val="dotted" w:sz="4" w:space="0" w:color="auto"/>
            </w:tcBorders>
            <w:shd w:val="clear" w:color="auto" w:fill="99CCFF"/>
          </w:tcPr>
          <w:p w:rsidR="00CB25BE" w:rsidRPr="006B3BEC" w:rsidRDefault="00CB25BE" w:rsidP="0018366C">
            <w:pPr>
              <w:pStyle w:val="TableColumnHeading"/>
              <w:jc w:val="center"/>
              <w:rPr>
                <w:b/>
                <w:sz w:val="18"/>
                <w:szCs w:val="18"/>
              </w:rPr>
            </w:pPr>
          </w:p>
        </w:tc>
        <w:tc>
          <w:tcPr>
            <w:tcW w:w="844" w:type="pct"/>
            <w:tcBorders>
              <w:top w:val="dotted" w:sz="4" w:space="0" w:color="auto"/>
              <w:bottom w:val="dotted" w:sz="4" w:space="0" w:color="auto"/>
            </w:tcBorders>
          </w:tcPr>
          <w:p w:rsidR="00CB25BE" w:rsidRPr="006B3BEC" w:rsidRDefault="00CB25BE" w:rsidP="0018366C">
            <w:pPr>
              <w:pStyle w:val="TableBodyText"/>
              <w:ind w:left="142" w:hanging="142"/>
              <w:jc w:val="left"/>
              <w:rPr>
                <w:sz w:val="18"/>
                <w:szCs w:val="18"/>
              </w:rPr>
            </w:pPr>
            <w:r w:rsidRPr="006B3BEC">
              <w:rPr>
                <w:sz w:val="18"/>
                <w:szCs w:val="18"/>
              </w:rPr>
              <w:t>VET</w:t>
            </w:r>
          </w:p>
        </w:tc>
        <w:tc>
          <w:tcPr>
            <w:tcW w:w="1424" w:type="pct"/>
            <w:tcBorders>
              <w:top w:val="dotted" w:sz="4" w:space="0" w:color="auto"/>
              <w:bottom w:val="dotted" w:sz="4" w:space="0" w:color="auto"/>
            </w:tcBorders>
          </w:tcPr>
          <w:p w:rsidR="00CB25BE" w:rsidRPr="006B3BEC" w:rsidRDefault="00CB25BE" w:rsidP="0018366C">
            <w:pPr>
              <w:pStyle w:val="TableBodyText"/>
              <w:tabs>
                <w:tab w:val="left" w:pos="1016"/>
              </w:tabs>
              <w:ind w:right="28"/>
              <w:jc w:val="left"/>
              <w:rPr>
                <w:sz w:val="18"/>
                <w:szCs w:val="18"/>
              </w:rPr>
            </w:pPr>
            <w:r w:rsidRPr="006B3BEC">
              <w:rPr>
                <w:sz w:val="18"/>
                <w:szCs w:val="18"/>
              </w:rPr>
              <w:t>..</w:t>
            </w:r>
          </w:p>
        </w:tc>
        <w:tc>
          <w:tcPr>
            <w:tcW w:w="1540" w:type="pct"/>
            <w:tcBorders>
              <w:top w:val="dotted" w:sz="4"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Student achievement — improved education/training status after training qualifications completed; Skill profile — qualifications completed</w:t>
            </w:r>
          </w:p>
        </w:tc>
        <w:tc>
          <w:tcPr>
            <w:tcW w:w="981" w:type="pct"/>
            <w:tcBorders>
              <w:top w:val="dotted" w:sz="4"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All others</w:t>
            </w:r>
          </w:p>
        </w:tc>
      </w:tr>
      <w:tr w:rsidR="00CB25BE" w:rsidRPr="0031184F" w:rsidTr="0018366C">
        <w:tc>
          <w:tcPr>
            <w:tcW w:w="211" w:type="pct"/>
            <w:vMerge w:val="restart"/>
            <w:tcBorders>
              <w:top w:val="dotted" w:sz="4" w:space="0" w:color="auto"/>
            </w:tcBorders>
            <w:textDirection w:val="btLr"/>
            <w:vAlign w:val="center"/>
          </w:tcPr>
          <w:p w:rsidR="00CB25BE" w:rsidRPr="006B3BEC" w:rsidRDefault="00CB25BE" w:rsidP="0018366C">
            <w:pPr>
              <w:pStyle w:val="TableColumnHeading"/>
              <w:jc w:val="center"/>
              <w:rPr>
                <w:b/>
                <w:sz w:val="18"/>
                <w:szCs w:val="18"/>
              </w:rPr>
            </w:pPr>
            <w:r w:rsidRPr="006B3BEC">
              <w:rPr>
                <w:b/>
                <w:sz w:val="18"/>
                <w:szCs w:val="18"/>
              </w:rPr>
              <w:t>Justice</w:t>
            </w:r>
          </w:p>
        </w:tc>
        <w:tc>
          <w:tcPr>
            <w:tcW w:w="844" w:type="pct"/>
            <w:tcBorders>
              <w:top w:val="dotted" w:sz="4" w:space="0" w:color="auto"/>
              <w:bottom w:val="dotted" w:sz="4" w:space="0" w:color="auto"/>
            </w:tcBorders>
          </w:tcPr>
          <w:p w:rsidR="00CB25BE" w:rsidRPr="006B3BEC" w:rsidRDefault="00CB25BE" w:rsidP="0018366C">
            <w:pPr>
              <w:pStyle w:val="TableBodyText"/>
              <w:ind w:left="142" w:hanging="142"/>
              <w:jc w:val="left"/>
              <w:rPr>
                <w:sz w:val="18"/>
                <w:szCs w:val="18"/>
              </w:rPr>
            </w:pPr>
            <w:r w:rsidRPr="006B3BEC">
              <w:rPr>
                <w:sz w:val="18"/>
                <w:szCs w:val="18"/>
              </w:rPr>
              <w:t>Justice</w:t>
            </w:r>
          </w:p>
        </w:tc>
        <w:tc>
          <w:tcPr>
            <w:tcW w:w="1424" w:type="pct"/>
            <w:tcBorders>
              <w:top w:val="dotted" w:sz="4"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w:t>
            </w:r>
          </w:p>
        </w:tc>
        <w:tc>
          <w:tcPr>
            <w:tcW w:w="1540" w:type="pct"/>
            <w:tcBorders>
              <w:top w:val="dotted" w:sz="4"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Crime victimisation; Re-offending rates — offenders who were proceeded against more than once by police; Higher court defendants resulting in a guilty plea or finding</w:t>
            </w:r>
          </w:p>
        </w:tc>
        <w:tc>
          <w:tcPr>
            <w:tcW w:w="981" w:type="pct"/>
            <w:tcBorders>
              <w:top w:val="dotted" w:sz="4"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All others</w:t>
            </w:r>
          </w:p>
        </w:tc>
      </w:tr>
      <w:tr w:rsidR="00CB25BE" w:rsidRPr="0031184F" w:rsidTr="0018366C">
        <w:tc>
          <w:tcPr>
            <w:tcW w:w="211" w:type="pct"/>
            <w:vMerge/>
            <w:shd w:val="clear" w:color="auto" w:fill="99CCFF"/>
            <w:textDirection w:val="btLr"/>
            <w:vAlign w:val="center"/>
          </w:tcPr>
          <w:p w:rsidR="00CB25BE" w:rsidRPr="006B3BEC" w:rsidRDefault="00CB25BE" w:rsidP="0018366C">
            <w:pPr>
              <w:pStyle w:val="TableColumnHeading"/>
              <w:jc w:val="center"/>
              <w:rPr>
                <w:sz w:val="18"/>
                <w:szCs w:val="18"/>
              </w:rPr>
            </w:pPr>
          </w:p>
        </w:tc>
        <w:tc>
          <w:tcPr>
            <w:tcW w:w="844" w:type="pct"/>
            <w:tcBorders>
              <w:top w:val="dotted" w:sz="4" w:space="0" w:color="auto"/>
              <w:bottom w:val="dotted" w:sz="4" w:space="0" w:color="auto"/>
            </w:tcBorders>
          </w:tcPr>
          <w:p w:rsidR="00CB25BE" w:rsidRPr="006B3BEC" w:rsidRDefault="00CB25BE" w:rsidP="0018366C">
            <w:pPr>
              <w:pStyle w:val="TableBodyText"/>
              <w:ind w:left="142" w:hanging="142"/>
              <w:jc w:val="left"/>
              <w:rPr>
                <w:sz w:val="18"/>
                <w:szCs w:val="18"/>
              </w:rPr>
            </w:pPr>
            <w:r w:rsidRPr="006B3BEC">
              <w:rPr>
                <w:sz w:val="18"/>
                <w:szCs w:val="18"/>
              </w:rPr>
              <w:t>Police services</w:t>
            </w:r>
          </w:p>
        </w:tc>
        <w:tc>
          <w:tcPr>
            <w:tcW w:w="1424" w:type="pct"/>
            <w:tcBorders>
              <w:top w:val="dotted" w:sz="4"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Victims of homicide</w:t>
            </w:r>
          </w:p>
        </w:tc>
        <w:tc>
          <w:tcPr>
            <w:tcW w:w="1540" w:type="pct"/>
            <w:tcBorders>
              <w:top w:val="dotted" w:sz="4"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 xml:space="preserve">Crime victimisation; Reporting rates; Land </w:t>
            </w:r>
            <w:r>
              <w:rPr>
                <w:sz w:val="18"/>
                <w:szCs w:val="18"/>
              </w:rPr>
              <w:br/>
            </w:r>
            <w:r w:rsidRPr="006B3BEC">
              <w:rPr>
                <w:sz w:val="18"/>
                <w:szCs w:val="18"/>
              </w:rPr>
              <w:t>transport hospitalisations; Magistrates court defendants resulting in a guilty plea or finding</w:t>
            </w:r>
          </w:p>
        </w:tc>
        <w:tc>
          <w:tcPr>
            <w:tcW w:w="981" w:type="pct"/>
            <w:tcBorders>
              <w:top w:val="dotted" w:sz="4"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All others</w:t>
            </w:r>
          </w:p>
        </w:tc>
      </w:tr>
      <w:tr w:rsidR="00CB25BE" w:rsidRPr="0031184F" w:rsidTr="0018366C">
        <w:tc>
          <w:tcPr>
            <w:tcW w:w="211" w:type="pct"/>
            <w:vMerge/>
            <w:shd w:val="clear" w:color="auto" w:fill="99CCFF"/>
            <w:vAlign w:val="center"/>
          </w:tcPr>
          <w:p w:rsidR="00CB25BE" w:rsidRPr="006B3BEC" w:rsidRDefault="00CB25BE" w:rsidP="0018366C">
            <w:pPr>
              <w:pStyle w:val="TableBodyText"/>
              <w:jc w:val="center"/>
              <w:rPr>
                <w:sz w:val="18"/>
                <w:szCs w:val="18"/>
              </w:rPr>
            </w:pPr>
          </w:p>
        </w:tc>
        <w:tc>
          <w:tcPr>
            <w:tcW w:w="844" w:type="pct"/>
            <w:tcBorders>
              <w:top w:val="dotted" w:sz="4" w:space="0" w:color="auto"/>
              <w:bottom w:val="dotted" w:sz="4" w:space="0" w:color="auto"/>
            </w:tcBorders>
          </w:tcPr>
          <w:p w:rsidR="00CB25BE" w:rsidRPr="006B3BEC" w:rsidRDefault="00CB25BE" w:rsidP="0018366C">
            <w:pPr>
              <w:pStyle w:val="TableBodyText"/>
              <w:ind w:left="142" w:hanging="142"/>
              <w:jc w:val="left"/>
              <w:rPr>
                <w:sz w:val="18"/>
                <w:szCs w:val="18"/>
              </w:rPr>
            </w:pPr>
            <w:r w:rsidRPr="006B3BEC">
              <w:rPr>
                <w:sz w:val="18"/>
                <w:szCs w:val="18"/>
              </w:rPr>
              <w:t>Courts</w:t>
            </w:r>
          </w:p>
        </w:tc>
        <w:tc>
          <w:tcPr>
            <w:tcW w:w="1424" w:type="pct"/>
            <w:tcBorders>
              <w:top w:val="dotted" w:sz="4"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w:t>
            </w:r>
          </w:p>
        </w:tc>
        <w:tc>
          <w:tcPr>
            <w:tcW w:w="1540" w:type="pct"/>
            <w:tcBorders>
              <w:top w:val="dotted" w:sz="4"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w:t>
            </w:r>
          </w:p>
        </w:tc>
        <w:tc>
          <w:tcPr>
            <w:tcW w:w="981" w:type="pct"/>
            <w:tcBorders>
              <w:top w:val="dotted" w:sz="4"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All</w:t>
            </w:r>
          </w:p>
        </w:tc>
      </w:tr>
      <w:tr w:rsidR="00CB25BE" w:rsidRPr="0031184F" w:rsidTr="0018366C">
        <w:tc>
          <w:tcPr>
            <w:tcW w:w="211" w:type="pct"/>
            <w:vMerge/>
            <w:shd w:val="clear" w:color="auto" w:fill="99CCFF"/>
            <w:vAlign w:val="center"/>
          </w:tcPr>
          <w:p w:rsidR="00CB25BE" w:rsidRPr="006B3BEC" w:rsidRDefault="00CB25BE" w:rsidP="0018366C">
            <w:pPr>
              <w:pStyle w:val="TableBodyText"/>
              <w:jc w:val="center"/>
              <w:rPr>
                <w:sz w:val="18"/>
                <w:szCs w:val="18"/>
              </w:rPr>
            </w:pPr>
          </w:p>
        </w:tc>
        <w:tc>
          <w:tcPr>
            <w:tcW w:w="844" w:type="pct"/>
            <w:tcBorders>
              <w:top w:val="dotted" w:sz="4" w:space="0" w:color="auto"/>
            </w:tcBorders>
          </w:tcPr>
          <w:p w:rsidR="00CB25BE" w:rsidRPr="006B3BEC" w:rsidRDefault="00CB25BE" w:rsidP="0018366C">
            <w:pPr>
              <w:pStyle w:val="TableBodyText"/>
              <w:ind w:left="142" w:hanging="142"/>
              <w:jc w:val="left"/>
              <w:rPr>
                <w:sz w:val="18"/>
                <w:szCs w:val="18"/>
              </w:rPr>
            </w:pPr>
            <w:r w:rsidRPr="006B3BEC">
              <w:rPr>
                <w:sz w:val="18"/>
                <w:szCs w:val="18"/>
              </w:rPr>
              <w:t>Corrective services</w:t>
            </w:r>
          </w:p>
        </w:tc>
        <w:tc>
          <w:tcPr>
            <w:tcW w:w="1424" w:type="pct"/>
            <w:tcBorders>
              <w:top w:val="dotted" w:sz="4" w:space="0" w:color="auto"/>
            </w:tcBorders>
          </w:tcPr>
          <w:p w:rsidR="00CB25BE" w:rsidRPr="006B3BEC" w:rsidRDefault="00CB25BE" w:rsidP="0018366C">
            <w:pPr>
              <w:pStyle w:val="TableBodyText"/>
              <w:ind w:right="28"/>
              <w:jc w:val="left"/>
              <w:rPr>
                <w:sz w:val="18"/>
                <w:szCs w:val="18"/>
              </w:rPr>
            </w:pPr>
            <w:r w:rsidRPr="006B3BEC">
              <w:rPr>
                <w:sz w:val="18"/>
                <w:szCs w:val="18"/>
              </w:rPr>
              <w:t>..</w:t>
            </w:r>
          </w:p>
        </w:tc>
        <w:tc>
          <w:tcPr>
            <w:tcW w:w="1540" w:type="pct"/>
            <w:tcBorders>
              <w:top w:val="dotted" w:sz="4" w:space="0" w:color="auto"/>
            </w:tcBorders>
          </w:tcPr>
          <w:p w:rsidR="00CB25BE" w:rsidRPr="006B3BEC" w:rsidRDefault="00CB25BE" w:rsidP="0018366C">
            <w:pPr>
              <w:pStyle w:val="TableBodyText"/>
              <w:ind w:right="28"/>
              <w:jc w:val="left"/>
              <w:rPr>
                <w:sz w:val="18"/>
                <w:szCs w:val="18"/>
              </w:rPr>
            </w:pPr>
            <w:r w:rsidRPr="006B3BEC">
              <w:rPr>
                <w:sz w:val="18"/>
                <w:szCs w:val="18"/>
              </w:rPr>
              <w:t>..</w:t>
            </w:r>
          </w:p>
        </w:tc>
        <w:tc>
          <w:tcPr>
            <w:tcW w:w="981" w:type="pct"/>
            <w:tcBorders>
              <w:top w:val="dotted" w:sz="4" w:space="0" w:color="auto"/>
            </w:tcBorders>
          </w:tcPr>
          <w:p w:rsidR="00CB25BE" w:rsidRPr="006B3BEC" w:rsidRDefault="00CB25BE" w:rsidP="0018366C">
            <w:pPr>
              <w:pStyle w:val="TableBodyText"/>
              <w:ind w:right="28"/>
              <w:jc w:val="left"/>
              <w:rPr>
                <w:sz w:val="18"/>
                <w:szCs w:val="18"/>
              </w:rPr>
            </w:pPr>
            <w:r w:rsidRPr="006B3BEC">
              <w:rPr>
                <w:sz w:val="18"/>
                <w:szCs w:val="18"/>
              </w:rPr>
              <w:t>All</w:t>
            </w:r>
          </w:p>
        </w:tc>
      </w:tr>
      <w:tr w:rsidR="00CB25BE" w:rsidRPr="0031184F" w:rsidTr="0018366C">
        <w:tc>
          <w:tcPr>
            <w:tcW w:w="211" w:type="pct"/>
            <w:vMerge w:val="restart"/>
            <w:tcBorders>
              <w:bottom w:val="single" w:sz="4" w:space="0" w:color="auto"/>
            </w:tcBorders>
            <w:textDirection w:val="btLr"/>
          </w:tcPr>
          <w:p w:rsidR="00CB25BE" w:rsidRPr="006B3BEC" w:rsidRDefault="00CB25BE" w:rsidP="0018366C">
            <w:pPr>
              <w:pStyle w:val="TableColumnHeading"/>
              <w:jc w:val="center"/>
              <w:rPr>
                <w:b/>
                <w:sz w:val="18"/>
                <w:szCs w:val="18"/>
              </w:rPr>
            </w:pPr>
            <w:r w:rsidRPr="006B3BEC">
              <w:rPr>
                <w:b/>
                <w:sz w:val="18"/>
                <w:szCs w:val="18"/>
              </w:rPr>
              <w:t>Emergency management</w:t>
            </w:r>
          </w:p>
        </w:tc>
        <w:tc>
          <w:tcPr>
            <w:tcW w:w="844" w:type="pct"/>
          </w:tcPr>
          <w:p w:rsidR="00CB25BE" w:rsidRPr="006B3BEC" w:rsidRDefault="00CB25BE" w:rsidP="0018366C">
            <w:pPr>
              <w:pStyle w:val="TableBodyText"/>
              <w:ind w:left="142" w:hanging="142"/>
              <w:jc w:val="left"/>
              <w:rPr>
                <w:sz w:val="18"/>
                <w:szCs w:val="18"/>
              </w:rPr>
            </w:pPr>
            <w:r w:rsidRPr="006B3BEC">
              <w:rPr>
                <w:sz w:val="18"/>
                <w:szCs w:val="18"/>
              </w:rPr>
              <w:t>Emergency management</w:t>
            </w:r>
          </w:p>
        </w:tc>
        <w:tc>
          <w:tcPr>
            <w:tcW w:w="1424" w:type="pct"/>
          </w:tcPr>
          <w:p w:rsidR="00CB25BE" w:rsidRPr="006B3BEC" w:rsidRDefault="00CB25BE" w:rsidP="0018366C">
            <w:pPr>
              <w:pStyle w:val="TableBodyText"/>
              <w:ind w:right="28"/>
              <w:jc w:val="left"/>
              <w:rPr>
                <w:sz w:val="18"/>
                <w:szCs w:val="18"/>
              </w:rPr>
            </w:pPr>
          </w:p>
        </w:tc>
        <w:tc>
          <w:tcPr>
            <w:tcW w:w="1540" w:type="pct"/>
          </w:tcPr>
          <w:p w:rsidR="00CB25BE" w:rsidRPr="006B3BEC" w:rsidRDefault="00CB25BE" w:rsidP="0018366C">
            <w:pPr>
              <w:pStyle w:val="TableBodyText"/>
              <w:ind w:right="28"/>
              <w:jc w:val="left"/>
              <w:rPr>
                <w:sz w:val="18"/>
                <w:szCs w:val="18"/>
              </w:rPr>
            </w:pPr>
            <w:r w:rsidRPr="006B3BEC">
              <w:rPr>
                <w:sz w:val="18"/>
                <w:szCs w:val="18"/>
              </w:rPr>
              <w:t>Deaths from emergency events</w:t>
            </w:r>
          </w:p>
        </w:tc>
        <w:tc>
          <w:tcPr>
            <w:tcW w:w="981" w:type="pct"/>
          </w:tcPr>
          <w:p w:rsidR="00CB25BE" w:rsidRPr="006B3BEC" w:rsidRDefault="00CB25BE" w:rsidP="0018366C">
            <w:pPr>
              <w:pStyle w:val="TableBodyText"/>
              <w:ind w:right="28"/>
              <w:jc w:val="left"/>
              <w:rPr>
                <w:sz w:val="18"/>
                <w:szCs w:val="18"/>
              </w:rPr>
            </w:pPr>
            <w:r w:rsidRPr="006B3BEC">
              <w:rPr>
                <w:sz w:val="18"/>
                <w:szCs w:val="18"/>
              </w:rPr>
              <w:t>All others</w:t>
            </w:r>
          </w:p>
        </w:tc>
      </w:tr>
      <w:tr w:rsidR="00CB25BE" w:rsidRPr="0031184F" w:rsidTr="0018366C">
        <w:tc>
          <w:tcPr>
            <w:tcW w:w="211" w:type="pct"/>
            <w:vMerge/>
            <w:tcBorders>
              <w:bottom w:val="single" w:sz="4" w:space="0" w:color="auto"/>
            </w:tcBorders>
            <w:shd w:val="clear" w:color="auto" w:fill="99CCFF"/>
            <w:textDirection w:val="btLr"/>
          </w:tcPr>
          <w:p w:rsidR="00CB25BE" w:rsidRPr="00827FDD" w:rsidRDefault="00CB25BE" w:rsidP="0018366C">
            <w:pPr>
              <w:pStyle w:val="TableColumnHeading"/>
              <w:jc w:val="center"/>
              <w:rPr>
                <w:color w:val="943634" w:themeColor="accent2" w:themeShade="BF"/>
                <w:sz w:val="18"/>
                <w:szCs w:val="18"/>
              </w:rPr>
            </w:pPr>
          </w:p>
        </w:tc>
        <w:tc>
          <w:tcPr>
            <w:tcW w:w="844" w:type="pct"/>
          </w:tcPr>
          <w:p w:rsidR="00CB25BE" w:rsidRPr="006B3BEC" w:rsidRDefault="00CB25BE" w:rsidP="0018366C">
            <w:pPr>
              <w:pStyle w:val="TableBodyText"/>
              <w:ind w:left="142" w:hanging="142"/>
              <w:jc w:val="left"/>
              <w:rPr>
                <w:sz w:val="18"/>
                <w:szCs w:val="18"/>
              </w:rPr>
            </w:pPr>
            <w:r w:rsidRPr="006B3BEC">
              <w:rPr>
                <w:sz w:val="18"/>
                <w:szCs w:val="18"/>
              </w:rPr>
              <w:t>Fire services</w:t>
            </w:r>
          </w:p>
        </w:tc>
        <w:tc>
          <w:tcPr>
            <w:tcW w:w="1424" w:type="pct"/>
          </w:tcPr>
          <w:p w:rsidR="00CB25BE" w:rsidRPr="006B3BEC" w:rsidRDefault="00CB25BE" w:rsidP="0018366C">
            <w:pPr>
              <w:pStyle w:val="TableBodyText"/>
              <w:ind w:right="28"/>
              <w:jc w:val="left"/>
              <w:rPr>
                <w:sz w:val="18"/>
                <w:szCs w:val="18"/>
              </w:rPr>
            </w:pPr>
            <w:r w:rsidRPr="006B3BEC">
              <w:rPr>
                <w:sz w:val="18"/>
                <w:szCs w:val="18"/>
              </w:rPr>
              <w:t>Level of safe fire practices in the community; Residential structures with smoke alarms (most jurisdictions)</w:t>
            </w:r>
          </w:p>
        </w:tc>
        <w:tc>
          <w:tcPr>
            <w:tcW w:w="1540" w:type="pct"/>
          </w:tcPr>
          <w:p w:rsidR="00CB25BE" w:rsidRPr="006B3BEC" w:rsidRDefault="00CB25BE" w:rsidP="0018366C">
            <w:pPr>
              <w:pStyle w:val="TableBodyText"/>
              <w:ind w:right="28"/>
              <w:jc w:val="left"/>
              <w:rPr>
                <w:sz w:val="18"/>
                <w:szCs w:val="18"/>
              </w:rPr>
            </w:pPr>
            <w:r w:rsidRPr="006B3BEC">
              <w:rPr>
                <w:sz w:val="18"/>
                <w:szCs w:val="18"/>
              </w:rPr>
              <w:t>Fire deaths — all causes combined only; Fire injuries</w:t>
            </w:r>
          </w:p>
        </w:tc>
        <w:tc>
          <w:tcPr>
            <w:tcW w:w="981" w:type="pct"/>
          </w:tcPr>
          <w:p w:rsidR="00CB25BE" w:rsidRPr="006B3BEC" w:rsidRDefault="00CB25BE" w:rsidP="0018366C">
            <w:pPr>
              <w:pStyle w:val="TableBodyText"/>
              <w:ind w:right="28"/>
              <w:jc w:val="left"/>
              <w:rPr>
                <w:sz w:val="18"/>
                <w:szCs w:val="18"/>
              </w:rPr>
            </w:pPr>
            <w:r w:rsidRPr="006B3BEC">
              <w:rPr>
                <w:sz w:val="18"/>
                <w:szCs w:val="18"/>
              </w:rPr>
              <w:t>Residential structures with smoke alarms (two jurisdictions); All others</w:t>
            </w:r>
          </w:p>
        </w:tc>
      </w:tr>
      <w:tr w:rsidR="00CB25BE" w:rsidRPr="0031184F" w:rsidTr="0018366C">
        <w:trPr>
          <w:trHeight w:val="530"/>
        </w:trPr>
        <w:tc>
          <w:tcPr>
            <w:tcW w:w="211" w:type="pct"/>
            <w:vMerge/>
            <w:tcBorders>
              <w:bottom w:val="single" w:sz="4" w:space="0" w:color="auto"/>
            </w:tcBorders>
            <w:shd w:val="clear" w:color="auto" w:fill="99CCFF"/>
          </w:tcPr>
          <w:p w:rsidR="00CB25BE" w:rsidRPr="00827FDD" w:rsidRDefault="00CB25BE" w:rsidP="0018366C">
            <w:pPr>
              <w:pStyle w:val="TableBodyText"/>
              <w:jc w:val="left"/>
              <w:rPr>
                <w:color w:val="943634" w:themeColor="accent2" w:themeShade="BF"/>
                <w:sz w:val="18"/>
                <w:szCs w:val="18"/>
              </w:rPr>
            </w:pPr>
          </w:p>
        </w:tc>
        <w:tc>
          <w:tcPr>
            <w:tcW w:w="844" w:type="pct"/>
            <w:tcBorders>
              <w:bottom w:val="single" w:sz="4" w:space="0" w:color="auto"/>
            </w:tcBorders>
          </w:tcPr>
          <w:p w:rsidR="00CB25BE" w:rsidRPr="006B3BEC" w:rsidRDefault="00CB25BE" w:rsidP="0018366C">
            <w:pPr>
              <w:pStyle w:val="TableBodyText"/>
              <w:ind w:left="142" w:hanging="142"/>
              <w:jc w:val="left"/>
              <w:rPr>
                <w:sz w:val="18"/>
                <w:szCs w:val="18"/>
              </w:rPr>
            </w:pPr>
            <w:r w:rsidRPr="006B3BEC">
              <w:rPr>
                <w:sz w:val="18"/>
                <w:szCs w:val="18"/>
              </w:rPr>
              <w:t>Ambulance services</w:t>
            </w:r>
          </w:p>
        </w:tc>
        <w:tc>
          <w:tcPr>
            <w:tcW w:w="1424" w:type="pct"/>
            <w:tcBorders>
              <w:bottom w:val="single" w:sz="4" w:space="0" w:color="auto"/>
            </w:tcBorders>
          </w:tcPr>
          <w:p w:rsidR="00CB25BE" w:rsidRPr="006B3BEC" w:rsidRDefault="00CB25BE" w:rsidP="0018366C">
            <w:pPr>
              <w:pStyle w:val="TableBodyText"/>
              <w:ind w:right="28"/>
              <w:jc w:val="left"/>
              <w:rPr>
                <w:sz w:val="18"/>
                <w:szCs w:val="18"/>
              </w:rPr>
            </w:pPr>
            <w:r w:rsidRPr="006B3BEC">
              <w:rPr>
                <w:sz w:val="18"/>
                <w:szCs w:val="18"/>
              </w:rPr>
              <w:t>..</w:t>
            </w:r>
          </w:p>
        </w:tc>
        <w:tc>
          <w:tcPr>
            <w:tcW w:w="1540" w:type="pct"/>
            <w:tcBorders>
              <w:bottom w:val="single" w:sz="4" w:space="0" w:color="auto"/>
            </w:tcBorders>
          </w:tcPr>
          <w:p w:rsidR="00CB25BE" w:rsidRPr="006B3BEC" w:rsidRDefault="00CB25BE" w:rsidP="0018366C">
            <w:pPr>
              <w:pStyle w:val="TableBodyText"/>
              <w:ind w:right="28"/>
              <w:jc w:val="left"/>
              <w:rPr>
                <w:sz w:val="18"/>
                <w:szCs w:val="18"/>
              </w:rPr>
            </w:pPr>
            <w:r w:rsidRPr="006B3BEC">
              <w:rPr>
                <w:sz w:val="18"/>
                <w:szCs w:val="18"/>
              </w:rPr>
              <w:t>..</w:t>
            </w:r>
          </w:p>
        </w:tc>
        <w:tc>
          <w:tcPr>
            <w:tcW w:w="981" w:type="pct"/>
            <w:tcBorders>
              <w:bottom w:val="single" w:sz="4" w:space="0" w:color="auto"/>
            </w:tcBorders>
          </w:tcPr>
          <w:p w:rsidR="00CB25BE" w:rsidRPr="006B3BEC" w:rsidRDefault="00CB25BE" w:rsidP="0018366C">
            <w:pPr>
              <w:pStyle w:val="TableBodyText"/>
              <w:ind w:right="28"/>
              <w:jc w:val="left"/>
              <w:rPr>
                <w:sz w:val="18"/>
                <w:szCs w:val="18"/>
              </w:rPr>
            </w:pPr>
            <w:r w:rsidRPr="006B3BEC">
              <w:rPr>
                <w:sz w:val="18"/>
                <w:szCs w:val="18"/>
              </w:rPr>
              <w:t>All</w:t>
            </w:r>
          </w:p>
        </w:tc>
      </w:tr>
    </w:tbl>
    <w:p w:rsidR="00CB25BE" w:rsidRPr="0031184F" w:rsidRDefault="00CB25BE" w:rsidP="00CB25BE">
      <w:pPr>
        <w:pStyle w:val="TableTitle"/>
        <w:spacing w:before="0"/>
        <w:jc w:val="right"/>
        <w:rPr>
          <w:b w:val="0"/>
          <w:sz w:val="18"/>
          <w:szCs w:val="18"/>
        </w:rPr>
      </w:pPr>
      <w:r w:rsidRPr="0031184F">
        <w:rPr>
          <w:b w:val="0"/>
          <w:sz w:val="18"/>
          <w:szCs w:val="18"/>
        </w:rPr>
        <w:t>Continued on next page</w:t>
      </w:r>
    </w:p>
    <w:p w:rsidR="00CB25BE" w:rsidRPr="0031184F" w:rsidRDefault="00CB25BE" w:rsidP="00CB25BE">
      <w:pPr>
        <w:pStyle w:val="TableTitle"/>
        <w:spacing w:before="0"/>
        <w:rPr>
          <w:b w:val="0"/>
          <w:sz w:val="18"/>
          <w:szCs w:val="18"/>
        </w:rPr>
      </w:pPr>
      <w:r w:rsidRPr="0031184F">
        <w:rPr>
          <w:b w:val="0"/>
        </w:rPr>
        <w:br w:type="page"/>
      </w:r>
      <w:r w:rsidRPr="0031184F">
        <w:rPr>
          <w:b w:val="0"/>
        </w:rPr>
        <w:lastRenderedPageBreak/>
        <w:t>Table 2.1</w:t>
      </w:r>
      <w:r w:rsidRPr="0031184F">
        <w:tab/>
      </w:r>
      <w:r w:rsidRPr="0031184F">
        <w:rPr>
          <w:sz w:val="18"/>
          <w:szCs w:val="18"/>
        </w:rPr>
        <w:t>(continued)</w:t>
      </w:r>
    </w:p>
    <w:tbl>
      <w:tblPr>
        <w:tblW w:w="5000" w:type="pct"/>
        <w:tblLayout w:type="fixed"/>
        <w:tblLook w:val="0000" w:firstRow="0" w:lastRow="0" w:firstColumn="0" w:lastColumn="0" w:noHBand="0" w:noVBand="0"/>
      </w:tblPr>
      <w:tblGrid>
        <w:gridCol w:w="536"/>
        <w:gridCol w:w="2692"/>
        <w:gridCol w:w="3544"/>
        <w:gridCol w:w="4661"/>
        <w:gridCol w:w="2220"/>
      </w:tblGrid>
      <w:tr w:rsidR="00CB25BE" w:rsidRPr="0031184F" w:rsidTr="0018366C">
        <w:tc>
          <w:tcPr>
            <w:tcW w:w="1182" w:type="pct"/>
            <w:gridSpan w:val="2"/>
            <w:tcBorders>
              <w:top w:val="single" w:sz="4" w:space="0" w:color="auto"/>
              <w:bottom w:val="single" w:sz="4" w:space="0" w:color="auto"/>
            </w:tcBorders>
          </w:tcPr>
          <w:p w:rsidR="00CB25BE" w:rsidRPr="0031184F" w:rsidRDefault="00CB25BE" w:rsidP="0018366C">
            <w:pPr>
              <w:pStyle w:val="TableColumnHeading"/>
              <w:ind w:left="-113"/>
              <w:jc w:val="left"/>
            </w:pPr>
            <w:r>
              <w:rPr>
                <w:sz w:val="18"/>
                <w:szCs w:val="18"/>
              </w:rPr>
              <w:t>I</w:t>
            </w:r>
            <w:r w:rsidRPr="0031184F">
              <w:rPr>
                <w:sz w:val="18"/>
                <w:szCs w:val="18"/>
              </w:rPr>
              <w:t>ndicator framework</w:t>
            </w:r>
          </w:p>
        </w:tc>
        <w:tc>
          <w:tcPr>
            <w:tcW w:w="1298" w:type="pct"/>
            <w:tcBorders>
              <w:top w:val="single" w:sz="4" w:space="0" w:color="auto"/>
              <w:bottom w:val="single" w:sz="4" w:space="0" w:color="auto"/>
            </w:tcBorders>
          </w:tcPr>
          <w:p w:rsidR="00CB25BE" w:rsidRPr="00304FF0" w:rsidRDefault="00CB25BE" w:rsidP="0018366C">
            <w:pPr>
              <w:pStyle w:val="TableColumnHeading"/>
              <w:ind w:left="-113"/>
              <w:jc w:val="left"/>
              <w:rPr>
                <w:i w:val="0"/>
                <w:sz w:val="18"/>
                <w:szCs w:val="18"/>
              </w:rPr>
            </w:pPr>
            <w:r w:rsidRPr="0031184F">
              <w:rPr>
                <w:sz w:val="18"/>
                <w:szCs w:val="18"/>
              </w:rPr>
              <w:t>At or earlier than 2009 or 2009-10</w:t>
            </w:r>
            <w:r w:rsidRPr="00A1392C">
              <w:rPr>
                <w:rStyle w:val="NoteLabel"/>
                <w:i w:val="0"/>
              </w:rPr>
              <w:t>a</w:t>
            </w:r>
          </w:p>
        </w:tc>
        <w:tc>
          <w:tcPr>
            <w:tcW w:w="1707" w:type="pct"/>
            <w:tcBorders>
              <w:top w:val="single" w:sz="4" w:space="0" w:color="auto"/>
              <w:bottom w:val="single" w:sz="4" w:space="0" w:color="auto"/>
            </w:tcBorders>
          </w:tcPr>
          <w:p w:rsidR="00CB25BE" w:rsidRPr="0031184F" w:rsidRDefault="00CB25BE" w:rsidP="0018366C">
            <w:pPr>
              <w:pStyle w:val="TableColumnHeading"/>
              <w:ind w:left="-113"/>
              <w:jc w:val="left"/>
              <w:rPr>
                <w:sz w:val="18"/>
                <w:szCs w:val="18"/>
              </w:rPr>
            </w:pPr>
            <w:r w:rsidRPr="0031184F">
              <w:rPr>
                <w:sz w:val="18"/>
                <w:szCs w:val="18"/>
              </w:rPr>
              <w:t>Previous year (2010 or 2010-11)</w:t>
            </w:r>
          </w:p>
        </w:tc>
        <w:tc>
          <w:tcPr>
            <w:tcW w:w="813" w:type="pct"/>
            <w:tcBorders>
              <w:top w:val="single" w:sz="4" w:space="0" w:color="auto"/>
              <w:bottom w:val="single" w:sz="4" w:space="0" w:color="auto"/>
            </w:tcBorders>
          </w:tcPr>
          <w:p w:rsidR="00CB25BE" w:rsidRPr="0031184F" w:rsidRDefault="00CB25BE" w:rsidP="0018366C">
            <w:pPr>
              <w:pStyle w:val="TableColumnHeading"/>
              <w:spacing w:before="0" w:after="40"/>
              <w:ind w:left="-113" w:right="28"/>
              <w:jc w:val="left"/>
              <w:rPr>
                <w:sz w:val="18"/>
                <w:szCs w:val="18"/>
              </w:rPr>
            </w:pPr>
            <w:r w:rsidRPr="0031184F">
              <w:rPr>
                <w:sz w:val="18"/>
                <w:szCs w:val="18"/>
              </w:rPr>
              <w:t>Current year (2011 or 2011-12)</w:t>
            </w:r>
          </w:p>
        </w:tc>
      </w:tr>
      <w:tr w:rsidR="00CB25BE" w:rsidRPr="0031184F" w:rsidTr="0018366C">
        <w:tc>
          <w:tcPr>
            <w:tcW w:w="196" w:type="pct"/>
            <w:vMerge w:val="restart"/>
            <w:tcBorders>
              <w:top w:val="single" w:sz="4" w:space="0" w:color="auto"/>
              <w:bottom w:val="single" w:sz="4" w:space="0" w:color="auto"/>
            </w:tcBorders>
            <w:shd w:val="clear" w:color="auto" w:fill="auto"/>
            <w:textDirection w:val="btLr"/>
          </w:tcPr>
          <w:p w:rsidR="00CB25BE" w:rsidRPr="006B3BEC" w:rsidRDefault="00CB25BE" w:rsidP="0018366C">
            <w:pPr>
              <w:pStyle w:val="TableColumnHeading"/>
              <w:jc w:val="center"/>
              <w:rPr>
                <w:sz w:val="18"/>
                <w:szCs w:val="18"/>
              </w:rPr>
            </w:pPr>
            <w:r w:rsidRPr="006B3BEC">
              <w:rPr>
                <w:b/>
                <w:sz w:val="18"/>
                <w:szCs w:val="18"/>
              </w:rPr>
              <w:t>Health</w:t>
            </w:r>
          </w:p>
        </w:tc>
        <w:tc>
          <w:tcPr>
            <w:tcW w:w="985" w:type="pct"/>
            <w:tcBorders>
              <w:top w:val="single" w:sz="4" w:space="0" w:color="auto"/>
            </w:tcBorders>
          </w:tcPr>
          <w:p w:rsidR="00CB25BE" w:rsidRPr="006B3BEC" w:rsidRDefault="00CB25BE" w:rsidP="0018366C">
            <w:pPr>
              <w:pStyle w:val="TableBodyText"/>
              <w:ind w:left="29" w:hanging="142"/>
              <w:jc w:val="left"/>
              <w:rPr>
                <w:sz w:val="18"/>
                <w:szCs w:val="18"/>
              </w:rPr>
            </w:pPr>
            <w:r w:rsidRPr="006B3BEC">
              <w:rPr>
                <w:sz w:val="18"/>
                <w:szCs w:val="18"/>
              </w:rPr>
              <w:t>Health</w:t>
            </w:r>
          </w:p>
        </w:tc>
        <w:tc>
          <w:tcPr>
            <w:tcW w:w="1298" w:type="pct"/>
            <w:tcBorders>
              <w:top w:val="single" w:sz="4" w:space="0" w:color="auto"/>
            </w:tcBorders>
          </w:tcPr>
          <w:p w:rsidR="00CB25BE" w:rsidRPr="006B3BEC" w:rsidRDefault="00CB25BE" w:rsidP="0018366C">
            <w:pPr>
              <w:pStyle w:val="TableBodyText"/>
              <w:ind w:left="-113" w:right="28"/>
              <w:jc w:val="left"/>
              <w:rPr>
                <w:sz w:val="18"/>
                <w:szCs w:val="18"/>
              </w:rPr>
            </w:pPr>
            <w:r w:rsidRPr="006B3BEC">
              <w:rPr>
                <w:sz w:val="18"/>
                <w:szCs w:val="18"/>
              </w:rPr>
              <w:t xml:space="preserve">Potentially preventable diseases </w:t>
            </w:r>
            <w:r w:rsidRPr="006B3BEC">
              <w:rPr>
                <w:rFonts w:cs="Arial"/>
                <w:sz w:val="18"/>
                <w:szCs w:val="18"/>
              </w:rPr>
              <w:t>―</w:t>
            </w:r>
            <w:r w:rsidRPr="006B3BEC">
              <w:rPr>
                <w:sz w:val="18"/>
                <w:szCs w:val="18"/>
              </w:rPr>
              <w:t xml:space="preserve"> cancers; Access to services compared to need by type of service</w:t>
            </w:r>
          </w:p>
        </w:tc>
        <w:tc>
          <w:tcPr>
            <w:tcW w:w="1707" w:type="pct"/>
            <w:tcBorders>
              <w:top w:val="single" w:sz="4" w:space="0" w:color="auto"/>
            </w:tcBorders>
          </w:tcPr>
          <w:p w:rsidR="00CB25BE" w:rsidRPr="006B3BEC" w:rsidRDefault="00CB25BE" w:rsidP="0018366C">
            <w:pPr>
              <w:pStyle w:val="TableBodyText"/>
              <w:ind w:left="-113" w:right="28"/>
              <w:jc w:val="left"/>
              <w:rPr>
                <w:sz w:val="18"/>
                <w:szCs w:val="18"/>
              </w:rPr>
            </w:pPr>
            <w:r w:rsidRPr="006B3BEC">
              <w:rPr>
                <w:sz w:val="18"/>
                <w:szCs w:val="18"/>
              </w:rPr>
              <w:t>All others</w:t>
            </w:r>
          </w:p>
        </w:tc>
        <w:tc>
          <w:tcPr>
            <w:tcW w:w="813" w:type="pct"/>
            <w:tcBorders>
              <w:top w:val="single" w:sz="4" w:space="0" w:color="auto"/>
            </w:tcBorders>
          </w:tcPr>
          <w:p w:rsidR="00CB25BE" w:rsidRPr="006B3BEC" w:rsidRDefault="00CB25BE" w:rsidP="0018366C">
            <w:pPr>
              <w:pStyle w:val="TableBodyText"/>
              <w:ind w:left="-113" w:right="28"/>
              <w:jc w:val="left"/>
              <w:rPr>
                <w:sz w:val="18"/>
                <w:szCs w:val="18"/>
              </w:rPr>
            </w:pPr>
            <w:r w:rsidRPr="006B3BEC">
              <w:rPr>
                <w:sz w:val="18"/>
                <w:szCs w:val="18"/>
              </w:rPr>
              <w:t>Health risk factors; Mortality rates; Life expectancy; Median age at death; Health workforce</w:t>
            </w:r>
          </w:p>
        </w:tc>
      </w:tr>
      <w:tr w:rsidR="00CB25BE" w:rsidRPr="0031184F" w:rsidTr="0018366C">
        <w:tc>
          <w:tcPr>
            <w:tcW w:w="196" w:type="pct"/>
            <w:vMerge/>
            <w:tcBorders>
              <w:bottom w:val="single" w:sz="4" w:space="0" w:color="auto"/>
            </w:tcBorders>
            <w:textDirection w:val="btLr"/>
          </w:tcPr>
          <w:p w:rsidR="00CB25BE" w:rsidRPr="006B3BEC" w:rsidRDefault="00CB25BE" w:rsidP="0018366C">
            <w:pPr>
              <w:pStyle w:val="TableBodyText"/>
              <w:jc w:val="left"/>
            </w:pPr>
          </w:p>
        </w:tc>
        <w:tc>
          <w:tcPr>
            <w:tcW w:w="985" w:type="pct"/>
          </w:tcPr>
          <w:p w:rsidR="00CB25BE" w:rsidRPr="006B3BEC" w:rsidRDefault="00CB25BE" w:rsidP="0018366C">
            <w:pPr>
              <w:pStyle w:val="TableBodyText"/>
              <w:ind w:left="29" w:hanging="142"/>
              <w:jc w:val="left"/>
              <w:rPr>
                <w:sz w:val="18"/>
                <w:szCs w:val="18"/>
              </w:rPr>
            </w:pPr>
            <w:r w:rsidRPr="006B3BEC">
              <w:rPr>
                <w:sz w:val="18"/>
                <w:szCs w:val="18"/>
              </w:rPr>
              <w:t>Public hospitals</w:t>
            </w:r>
          </w:p>
        </w:tc>
        <w:tc>
          <w:tcPr>
            <w:tcW w:w="1298" w:type="pct"/>
          </w:tcPr>
          <w:p w:rsidR="00CB25BE" w:rsidRPr="006B3BEC" w:rsidRDefault="00CB25BE" w:rsidP="0018366C">
            <w:pPr>
              <w:pStyle w:val="TableBodyText"/>
              <w:ind w:left="-113" w:right="28"/>
              <w:jc w:val="left"/>
              <w:rPr>
                <w:sz w:val="18"/>
                <w:szCs w:val="18"/>
              </w:rPr>
            </w:pPr>
            <w:r w:rsidRPr="006B3BEC">
              <w:rPr>
                <w:sz w:val="18"/>
                <w:szCs w:val="18"/>
              </w:rPr>
              <w:t>..</w:t>
            </w:r>
          </w:p>
        </w:tc>
        <w:tc>
          <w:tcPr>
            <w:tcW w:w="1707" w:type="pct"/>
          </w:tcPr>
          <w:p w:rsidR="00CB25BE" w:rsidRPr="006B3BEC" w:rsidRDefault="00CB25BE" w:rsidP="0018366C">
            <w:pPr>
              <w:pStyle w:val="TableBodyText"/>
              <w:ind w:left="-113" w:right="28"/>
              <w:jc w:val="left"/>
              <w:rPr>
                <w:sz w:val="18"/>
                <w:szCs w:val="18"/>
              </w:rPr>
            </w:pPr>
            <w:r w:rsidRPr="006B3BEC">
              <w:rPr>
                <w:sz w:val="18"/>
                <w:szCs w:val="18"/>
              </w:rPr>
              <w:t>All others</w:t>
            </w:r>
          </w:p>
        </w:tc>
        <w:tc>
          <w:tcPr>
            <w:tcW w:w="813" w:type="pct"/>
          </w:tcPr>
          <w:p w:rsidR="00CB25BE" w:rsidRPr="006B3BEC" w:rsidRDefault="00CB25BE" w:rsidP="0018366C">
            <w:pPr>
              <w:pStyle w:val="TableBodyText"/>
              <w:ind w:left="-113" w:right="28"/>
              <w:jc w:val="left"/>
              <w:rPr>
                <w:sz w:val="18"/>
                <w:szCs w:val="18"/>
              </w:rPr>
            </w:pPr>
            <w:r w:rsidRPr="006B3BEC">
              <w:rPr>
                <w:sz w:val="18"/>
                <w:szCs w:val="18"/>
              </w:rPr>
              <w:t>Emergency department waiting times; Total elective surgery waiting times; Adverse events in public hospitals healthcare associated infections; Health workforce; Patient satisfaction</w:t>
            </w:r>
          </w:p>
        </w:tc>
      </w:tr>
      <w:tr w:rsidR="00CB25BE" w:rsidRPr="0031184F" w:rsidTr="0018366C">
        <w:tc>
          <w:tcPr>
            <w:tcW w:w="196" w:type="pct"/>
            <w:vMerge/>
            <w:tcBorders>
              <w:bottom w:val="single" w:sz="4" w:space="0" w:color="auto"/>
            </w:tcBorders>
            <w:textDirection w:val="btLr"/>
          </w:tcPr>
          <w:p w:rsidR="00CB25BE" w:rsidRPr="006B3BEC" w:rsidRDefault="00CB25BE" w:rsidP="0018366C">
            <w:pPr>
              <w:pStyle w:val="TableBodyText"/>
              <w:jc w:val="left"/>
            </w:pPr>
          </w:p>
        </w:tc>
        <w:tc>
          <w:tcPr>
            <w:tcW w:w="985" w:type="pct"/>
          </w:tcPr>
          <w:p w:rsidR="00CB25BE" w:rsidRPr="006B3BEC" w:rsidRDefault="00CB25BE" w:rsidP="0018366C">
            <w:pPr>
              <w:pStyle w:val="TableBodyText"/>
              <w:ind w:left="29" w:hanging="142"/>
              <w:jc w:val="left"/>
              <w:rPr>
                <w:sz w:val="18"/>
                <w:szCs w:val="18"/>
              </w:rPr>
            </w:pPr>
            <w:r w:rsidRPr="006B3BEC">
              <w:rPr>
                <w:sz w:val="18"/>
                <w:szCs w:val="18"/>
              </w:rPr>
              <w:t>Maternity services</w:t>
            </w:r>
          </w:p>
        </w:tc>
        <w:tc>
          <w:tcPr>
            <w:tcW w:w="1298" w:type="pct"/>
          </w:tcPr>
          <w:p w:rsidR="00CB25BE" w:rsidRPr="006B3BEC" w:rsidRDefault="00CB25BE" w:rsidP="0018366C">
            <w:pPr>
              <w:pStyle w:val="TableBodyText"/>
              <w:ind w:left="-113" w:right="28"/>
              <w:jc w:val="left"/>
              <w:rPr>
                <w:sz w:val="18"/>
                <w:szCs w:val="18"/>
              </w:rPr>
            </w:pPr>
            <w:r w:rsidRPr="006B3BEC">
              <w:rPr>
                <w:sz w:val="18"/>
                <w:szCs w:val="18"/>
              </w:rPr>
              <w:t>Recurrent cost per maternity separation; Average length of stay in public hospitals</w:t>
            </w:r>
          </w:p>
        </w:tc>
        <w:tc>
          <w:tcPr>
            <w:tcW w:w="1707" w:type="pct"/>
          </w:tcPr>
          <w:p w:rsidR="00CB25BE" w:rsidRPr="006B3BEC" w:rsidRDefault="00CB25BE" w:rsidP="0018366C">
            <w:pPr>
              <w:pStyle w:val="TableBodyText"/>
              <w:ind w:left="-113" w:right="28"/>
              <w:jc w:val="left"/>
              <w:rPr>
                <w:sz w:val="18"/>
                <w:szCs w:val="18"/>
              </w:rPr>
            </w:pPr>
            <w:r w:rsidRPr="006B3BEC">
              <w:rPr>
                <w:sz w:val="18"/>
                <w:szCs w:val="18"/>
              </w:rPr>
              <w:t>All others</w:t>
            </w:r>
          </w:p>
        </w:tc>
        <w:tc>
          <w:tcPr>
            <w:tcW w:w="813" w:type="pct"/>
          </w:tcPr>
          <w:p w:rsidR="00CB25BE" w:rsidRPr="006B3BEC" w:rsidRDefault="00CB25BE" w:rsidP="0018366C">
            <w:pPr>
              <w:pStyle w:val="TableBodyText"/>
              <w:ind w:left="-113" w:right="28"/>
              <w:jc w:val="left"/>
              <w:rPr>
                <w:sz w:val="18"/>
                <w:szCs w:val="18"/>
              </w:rPr>
            </w:pPr>
            <w:r w:rsidRPr="006B3BEC">
              <w:rPr>
                <w:sz w:val="18"/>
                <w:szCs w:val="18"/>
              </w:rPr>
              <w:t>Caesareans and inductions for selected primiparae; Apgar scores</w:t>
            </w:r>
          </w:p>
        </w:tc>
      </w:tr>
      <w:tr w:rsidR="00CB25BE" w:rsidRPr="0031184F" w:rsidTr="0018366C">
        <w:tblPrEx>
          <w:tblCellMar>
            <w:left w:w="0" w:type="dxa"/>
            <w:right w:w="0" w:type="dxa"/>
          </w:tblCellMar>
        </w:tblPrEx>
        <w:trPr>
          <w:cantSplit/>
          <w:trHeight w:val="1134"/>
        </w:trPr>
        <w:tc>
          <w:tcPr>
            <w:tcW w:w="196" w:type="pct"/>
            <w:vMerge/>
            <w:tcBorders>
              <w:bottom w:val="single" w:sz="4" w:space="0" w:color="auto"/>
            </w:tcBorders>
            <w:shd w:val="clear" w:color="auto" w:fill="auto"/>
            <w:textDirection w:val="btLr"/>
          </w:tcPr>
          <w:p w:rsidR="00CB25BE" w:rsidRPr="006B3BEC" w:rsidRDefault="00CB25BE" w:rsidP="0018366C">
            <w:pPr>
              <w:pStyle w:val="TableBodyText"/>
              <w:jc w:val="left"/>
            </w:pPr>
          </w:p>
        </w:tc>
        <w:tc>
          <w:tcPr>
            <w:tcW w:w="985" w:type="pct"/>
            <w:tcBorders>
              <w:top w:val="dotted" w:sz="4" w:space="0" w:color="auto"/>
              <w:bottom w:val="dotted" w:sz="4" w:space="0" w:color="auto"/>
            </w:tcBorders>
          </w:tcPr>
          <w:p w:rsidR="00CB25BE" w:rsidRPr="006B3BEC" w:rsidRDefault="00CB25BE" w:rsidP="0018366C">
            <w:pPr>
              <w:pStyle w:val="TableBodyText"/>
              <w:ind w:left="142" w:hanging="142"/>
              <w:jc w:val="left"/>
              <w:rPr>
                <w:sz w:val="18"/>
                <w:szCs w:val="18"/>
              </w:rPr>
            </w:pPr>
            <w:r w:rsidRPr="006B3BEC">
              <w:rPr>
                <w:sz w:val="18"/>
                <w:szCs w:val="18"/>
              </w:rPr>
              <w:t>Primary and community health</w:t>
            </w:r>
          </w:p>
        </w:tc>
        <w:tc>
          <w:tcPr>
            <w:tcW w:w="1298" w:type="pct"/>
            <w:tcBorders>
              <w:top w:val="dotted" w:sz="4"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 xml:space="preserve">Chronic disease management </w:t>
            </w:r>
            <w:r w:rsidRPr="006B3BEC">
              <w:rPr>
                <w:rFonts w:cs="Arial"/>
                <w:sz w:val="18"/>
                <w:szCs w:val="18"/>
              </w:rPr>
              <w:t>―</w:t>
            </w:r>
            <w:r w:rsidRPr="006B3BEC">
              <w:rPr>
                <w:sz w:val="18"/>
                <w:szCs w:val="18"/>
              </w:rPr>
              <w:t xml:space="preserve"> asthma; Influenza vaccination coverage for older people</w:t>
            </w:r>
          </w:p>
        </w:tc>
        <w:tc>
          <w:tcPr>
            <w:tcW w:w="1707" w:type="pct"/>
            <w:tcBorders>
              <w:top w:val="dotted" w:sz="4"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 xml:space="preserve">Indigenous primary healthcare that provided early detection services; Selected potentially preventable hospitalisations for </w:t>
            </w:r>
            <w:r w:rsidRPr="006B3BEC">
              <w:rPr>
                <w:rFonts w:cs="Arial"/>
                <w:sz w:val="18"/>
                <w:szCs w:val="18"/>
              </w:rPr>
              <w:t xml:space="preserve">― </w:t>
            </w:r>
            <w:r w:rsidRPr="006B3BEC">
              <w:rPr>
                <w:sz w:val="18"/>
                <w:szCs w:val="18"/>
              </w:rPr>
              <w:t>vaccine preventable, acute and chronic conditions, for diabetes, and of older people for falls</w:t>
            </w:r>
          </w:p>
        </w:tc>
        <w:tc>
          <w:tcPr>
            <w:tcW w:w="813" w:type="pct"/>
            <w:tcBorders>
              <w:top w:val="dotted" w:sz="4" w:space="0" w:color="auto"/>
              <w:bottom w:val="dotted" w:sz="4" w:space="0" w:color="auto"/>
            </w:tcBorders>
          </w:tcPr>
          <w:p w:rsidR="00CB25BE" w:rsidRPr="006B3BEC" w:rsidRDefault="00CB25BE" w:rsidP="0018366C">
            <w:pPr>
              <w:pStyle w:val="TableBodyText"/>
              <w:ind w:right="28"/>
              <w:jc w:val="left"/>
              <w:rPr>
                <w:sz w:val="18"/>
                <w:szCs w:val="18"/>
              </w:rPr>
            </w:pPr>
            <w:r w:rsidRPr="006B3BEC">
              <w:rPr>
                <w:sz w:val="18"/>
                <w:szCs w:val="18"/>
              </w:rPr>
              <w:t>All others</w:t>
            </w:r>
          </w:p>
        </w:tc>
      </w:tr>
      <w:tr w:rsidR="00CB25BE" w:rsidRPr="0031184F" w:rsidTr="0018366C">
        <w:tblPrEx>
          <w:tblCellMar>
            <w:left w:w="0" w:type="dxa"/>
            <w:right w:w="0" w:type="dxa"/>
          </w:tblCellMar>
        </w:tblPrEx>
        <w:trPr>
          <w:cantSplit/>
          <w:trHeight w:val="1134"/>
        </w:trPr>
        <w:tc>
          <w:tcPr>
            <w:tcW w:w="196" w:type="pct"/>
            <w:vMerge/>
            <w:tcBorders>
              <w:bottom w:val="single" w:sz="4" w:space="0" w:color="auto"/>
            </w:tcBorders>
            <w:shd w:val="clear" w:color="auto" w:fill="auto"/>
            <w:textDirection w:val="btLr"/>
          </w:tcPr>
          <w:p w:rsidR="00CB25BE" w:rsidRPr="006B3BEC" w:rsidRDefault="00CB25BE" w:rsidP="0018366C">
            <w:pPr>
              <w:pStyle w:val="TableBodyText"/>
              <w:jc w:val="left"/>
            </w:pPr>
          </w:p>
        </w:tc>
        <w:tc>
          <w:tcPr>
            <w:tcW w:w="985" w:type="pct"/>
            <w:tcBorders>
              <w:top w:val="dotted" w:sz="4" w:space="0" w:color="auto"/>
              <w:bottom w:val="single" w:sz="4" w:space="0" w:color="auto"/>
            </w:tcBorders>
          </w:tcPr>
          <w:p w:rsidR="00CB25BE" w:rsidRPr="006B3BEC" w:rsidRDefault="00CB25BE" w:rsidP="0018366C">
            <w:pPr>
              <w:pStyle w:val="TableBodyText"/>
              <w:ind w:left="142" w:hanging="142"/>
              <w:jc w:val="left"/>
              <w:rPr>
                <w:sz w:val="18"/>
                <w:szCs w:val="18"/>
              </w:rPr>
            </w:pPr>
            <w:r w:rsidRPr="006B3BEC">
              <w:rPr>
                <w:sz w:val="18"/>
                <w:szCs w:val="18"/>
              </w:rPr>
              <w:t>Mental health management</w:t>
            </w:r>
          </w:p>
        </w:tc>
        <w:tc>
          <w:tcPr>
            <w:tcW w:w="1298" w:type="pct"/>
            <w:tcBorders>
              <w:top w:val="dotted" w:sz="4" w:space="0" w:color="auto"/>
              <w:bottom w:val="single" w:sz="4" w:space="0" w:color="auto"/>
            </w:tcBorders>
          </w:tcPr>
          <w:p w:rsidR="00CB25BE" w:rsidRPr="006B3BEC" w:rsidRDefault="00CB25BE" w:rsidP="0018366C">
            <w:pPr>
              <w:pStyle w:val="TableBodyText"/>
              <w:ind w:right="28"/>
              <w:jc w:val="left"/>
              <w:rPr>
                <w:sz w:val="18"/>
                <w:szCs w:val="18"/>
              </w:rPr>
            </w:pPr>
            <w:r w:rsidRPr="006B3BEC">
              <w:rPr>
                <w:sz w:val="18"/>
                <w:szCs w:val="18"/>
              </w:rPr>
              <w:t>Prevalence of severe mental disorders</w:t>
            </w:r>
          </w:p>
        </w:tc>
        <w:tc>
          <w:tcPr>
            <w:tcW w:w="1707" w:type="pct"/>
            <w:tcBorders>
              <w:top w:val="dotted" w:sz="4" w:space="0" w:color="auto"/>
              <w:bottom w:val="single" w:sz="4" w:space="0" w:color="auto"/>
            </w:tcBorders>
          </w:tcPr>
          <w:p w:rsidR="00CB25BE" w:rsidRPr="006B3BEC" w:rsidRDefault="00CB25BE" w:rsidP="0018366C">
            <w:pPr>
              <w:pStyle w:val="TableBodyText"/>
              <w:ind w:right="28"/>
              <w:jc w:val="left"/>
              <w:rPr>
                <w:sz w:val="18"/>
                <w:szCs w:val="18"/>
              </w:rPr>
            </w:pPr>
            <w:r w:rsidRPr="006B3BEC">
              <w:rPr>
                <w:sz w:val="18"/>
                <w:szCs w:val="18"/>
              </w:rPr>
              <w:t>All others</w:t>
            </w:r>
          </w:p>
        </w:tc>
        <w:tc>
          <w:tcPr>
            <w:tcW w:w="813" w:type="pct"/>
            <w:tcBorders>
              <w:top w:val="dotted" w:sz="4" w:space="0" w:color="auto"/>
              <w:bottom w:val="single" w:sz="4" w:space="0" w:color="auto"/>
            </w:tcBorders>
          </w:tcPr>
          <w:p w:rsidR="00CB25BE" w:rsidRPr="006B3BEC" w:rsidRDefault="00CB25BE" w:rsidP="0018366C">
            <w:pPr>
              <w:pStyle w:val="TableBodyText"/>
              <w:jc w:val="left"/>
              <w:rPr>
                <w:sz w:val="18"/>
                <w:szCs w:val="18"/>
              </w:rPr>
            </w:pPr>
            <w:r w:rsidRPr="006B3BEC">
              <w:rPr>
                <w:sz w:val="18"/>
                <w:szCs w:val="18"/>
              </w:rPr>
              <w:t>Primary mental health care for children and young people; Social and economic inclusion of people with a mental illness</w:t>
            </w:r>
          </w:p>
        </w:tc>
      </w:tr>
    </w:tbl>
    <w:p w:rsidR="00CB25BE" w:rsidRPr="0031184F" w:rsidRDefault="00CB25BE" w:rsidP="00CB25BE">
      <w:pPr>
        <w:pStyle w:val="TableTitle"/>
        <w:spacing w:before="0"/>
        <w:jc w:val="right"/>
        <w:rPr>
          <w:b w:val="0"/>
          <w:sz w:val="18"/>
          <w:szCs w:val="18"/>
        </w:rPr>
      </w:pPr>
      <w:r w:rsidRPr="0031184F">
        <w:rPr>
          <w:b w:val="0"/>
          <w:sz w:val="18"/>
          <w:szCs w:val="18"/>
        </w:rPr>
        <w:t>Continued on next page</w:t>
      </w:r>
    </w:p>
    <w:p w:rsidR="00CB25BE" w:rsidRPr="0031184F" w:rsidRDefault="00CB25BE" w:rsidP="00CB25BE">
      <w:pPr>
        <w:pStyle w:val="TableTitle"/>
        <w:spacing w:before="120"/>
        <w:rPr>
          <w:sz w:val="18"/>
          <w:szCs w:val="18"/>
        </w:rPr>
      </w:pPr>
      <w:r w:rsidRPr="0031184F">
        <w:rPr>
          <w:b w:val="0"/>
        </w:rPr>
        <w:br w:type="page"/>
      </w:r>
      <w:r w:rsidRPr="0031184F">
        <w:rPr>
          <w:b w:val="0"/>
        </w:rPr>
        <w:lastRenderedPageBreak/>
        <w:t>Table 2.1</w:t>
      </w:r>
      <w:r w:rsidRPr="0031184F">
        <w:tab/>
      </w:r>
      <w:r w:rsidRPr="0031184F">
        <w:rPr>
          <w:sz w:val="18"/>
          <w:szCs w:val="18"/>
        </w:rPr>
        <w:t>(continued)</w:t>
      </w:r>
    </w:p>
    <w:tbl>
      <w:tblPr>
        <w:tblW w:w="0" w:type="auto"/>
        <w:tblBorders>
          <w:top w:val="single" w:sz="6" w:space="0" w:color="auto"/>
          <w:bottom w:val="single" w:sz="6" w:space="0" w:color="auto"/>
          <w:insideH w:val="dotted" w:sz="4" w:space="0" w:color="auto"/>
        </w:tblBorders>
        <w:tblCellMar>
          <w:left w:w="0" w:type="dxa"/>
          <w:right w:w="0" w:type="dxa"/>
        </w:tblCellMar>
        <w:tblLook w:val="0000" w:firstRow="0" w:lastRow="0" w:firstColumn="0" w:lastColumn="0" w:noHBand="0" w:noVBand="0"/>
      </w:tblPr>
      <w:tblGrid>
        <w:gridCol w:w="567"/>
        <w:gridCol w:w="3261"/>
        <w:gridCol w:w="2976"/>
        <w:gridCol w:w="3544"/>
        <w:gridCol w:w="3089"/>
      </w:tblGrid>
      <w:tr w:rsidR="00CB25BE" w:rsidRPr="0031184F" w:rsidTr="0018366C">
        <w:tc>
          <w:tcPr>
            <w:tcW w:w="3828" w:type="dxa"/>
            <w:gridSpan w:val="2"/>
            <w:tcBorders>
              <w:top w:val="single" w:sz="6" w:space="0" w:color="auto"/>
              <w:bottom w:val="single" w:sz="4" w:space="0" w:color="auto"/>
            </w:tcBorders>
          </w:tcPr>
          <w:p w:rsidR="00CB25BE" w:rsidRPr="006B3BEC" w:rsidRDefault="00CB25BE" w:rsidP="0018366C">
            <w:pPr>
              <w:pStyle w:val="TableColumnHeading"/>
              <w:jc w:val="left"/>
            </w:pPr>
            <w:r w:rsidRPr="006B3BEC">
              <w:rPr>
                <w:sz w:val="18"/>
                <w:szCs w:val="18"/>
              </w:rPr>
              <w:t>Indicator framework</w:t>
            </w:r>
          </w:p>
        </w:tc>
        <w:tc>
          <w:tcPr>
            <w:tcW w:w="2976" w:type="dxa"/>
            <w:tcBorders>
              <w:top w:val="single" w:sz="6" w:space="0" w:color="auto"/>
              <w:bottom w:val="single" w:sz="4" w:space="0" w:color="auto"/>
            </w:tcBorders>
          </w:tcPr>
          <w:p w:rsidR="00CB25BE" w:rsidRPr="006B3BEC" w:rsidRDefault="00CB25BE" w:rsidP="0018366C">
            <w:pPr>
              <w:pStyle w:val="TableColumnHeading"/>
              <w:jc w:val="left"/>
              <w:rPr>
                <w:i w:val="0"/>
                <w:sz w:val="18"/>
                <w:szCs w:val="18"/>
              </w:rPr>
            </w:pPr>
            <w:r w:rsidRPr="006B3BEC">
              <w:rPr>
                <w:sz w:val="18"/>
                <w:szCs w:val="18"/>
              </w:rPr>
              <w:t>At or earlier than 2009 or 2009-10</w:t>
            </w:r>
            <w:r w:rsidRPr="006B3BEC">
              <w:rPr>
                <w:rStyle w:val="NoteLabel"/>
                <w:i w:val="0"/>
              </w:rPr>
              <w:t>a</w:t>
            </w:r>
          </w:p>
        </w:tc>
        <w:tc>
          <w:tcPr>
            <w:tcW w:w="3544" w:type="dxa"/>
            <w:tcBorders>
              <w:top w:val="single" w:sz="6" w:space="0" w:color="auto"/>
              <w:bottom w:val="single" w:sz="4" w:space="0" w:color="auto"/>
            </w:tcBorders>
          </w:tcPr>
          <w:p w:rsidR="00CB25BE" w:rsidRPr="006B3BEC" w:rsidRDefault="00CB25BE" w:rsidP="0018366C">
            <w:pPr>
              <w:pStyle w:val="TableColumnHeading"/>
              <w:jc w:val="left"/>
              <w:rPr>
                <w:sz w:val="18"/>
                <w:szCs w:val="18"/>
              </w:rPr>
            </w:pPr>
            <w:r w:rsidRPr="006B3BEC">
              <w:rPr>
                <w:sz w:val="18"/>
                <w:szCs w:val="18"/>
              </w:rPr>
              <w:t>Previous year (2010 or 2010-11)</w:t>
            </w:r>
          </w:p>
        </w:tc>
        <w:tc>
          <w:tcPr>
            <w:tcW w:w="3089" w:type="dxa"/>
            <w:tcBorders>
              <w:top w:val="single" w:sz="6" w:space="0" w:color="auto"/>
              <w:bottom w:val="single" w:sz="4" w:space="0" w:color="auto"/>
            </w:tcBorders>
          </w:tcPr>
          <w:p w:rsidR="00CB25BE" w:rsidRPr="006B3BEC" w:rsidRDefault="00CB25BE" w:rsidP="0018366C">
            <w:pPr>
              <w:pStyle w:val="TableColumnHeading"/>
              <w:ind w:right="28"/>
              <w:jc w:val="left"/>
              <w:rPr>
                <w:sz w:val="18"/>
                <w:szCs w:val="18"/>
              </w:rPr>
            </w:pPr>
            <w:r w:rsidRPr="006B3BEC">
              <w:rPr>
                <w:sz w:val="18"/>
                <w:szCs w:val="18"/>
              </w:rPr>
              <w:t>Current year (2011 or 2011-12)</w:t>
            </w:r>
          </w:p>
        </w:tc>
      </w:tr>
      <w:tr w:rsidR="00CB25BE" w:rsidRPr="0031184F" w:rsidTr="0018366C">
        <w:tc>
          <w:tcPr>
            <w:tcW w:w="567" w:type="dxa"/>
            <w:vMerge w:val="restart"/>
            <w:tcBorders>
              <w:top w:val="single" w:sz="4" w:space="0" w:color="auto"/>
            </w:tcBorders>
            <w:textDirection w:val="btLr"/>
            <w:vAlign w:val="center"/>
          </w:tcPr>
          <w:p w:rsidR="00CB25BE" w:rsidRPr="006B3BEC" w:rsidRDefault="00CB25BE" w:rsidP="0018366C">
            <w:pPr>
              <w:pStyle w:val="TableColumnHeading"/>
              <w:jc w:val="center"/>
            </w:pPr>
            <w:r w:rsidRPr="006B3BEC">
              <w:rPr>
                <w:b/>
                <w:sz w:val="18"/>
                <w:szCs w:val="18"/>
              </w:rPr>
              <w:t>Community services</w:t>
            </w:r>
          </w:p>
        </w:tc>
        <w:tc>
          <w:tcPr>
            <w:tcW w:w="3261" w:type="dxa"/>
            <w:tcBorders>
              <w:top w:val="single" w:sz="4" w:space="0" w:color="auto"/>
            </w:tcBorders>
          </w:tcPr>
          <w:p w:rsidR="00CB25BE" w:rsidRPr="006B3BEC" w:rsidRDefault="00CB25BE" w:rsidP="0018366C">
            <w:pPr>
              <w:pStyle w:val="TableBodyText"/>
              <w:ind w:left="142" w:hanging="142"/>
              <w:jc w:val="left"/>
              <w:rPr>
                <w:sz w:val="18"/>
                <w:szCs w:val="18"/>
              </w:rPr>
            </w:pPr>
            <w:r w:rsidRPr="006B3BEC">
              <w:rPr>
                <w:sz w:val="18"/>
                <w:szCs w:val="18"/>
              </w:rPr>
              <w:t>Community services</w:t>
            </w:r>
          </w:p>
        </w:tc>
        <w:tc>
          <w:tcPr>
            <w:tcW w:w="2976" w:type="dxa"/>
            <w:tcBorders>
              <w:top w:val="single" w:sz="4" w:space="0" w:color="auto"/>
            </w:tcBorders>
          </w:tcPr>
          <w:p w:rsidR="00CB25BE" w:rsidRPr="006B3BEC" w:rsidRDefault="00CB25BE" w:rsidP="0018366C">
            <w:pPr>
              <w:pStyle w:val="TableBodyText"/>
              <w:jc w:val="left"/>
              <w:rPr>
                <w:sz w:val="18"/>
                <w:szCs w:val="18"/>
              </w:rPr>
            </w:pPr>
            <w:r w:rsidRPr="006B3BEC">
              <w:rPr>
                <w:sz w:val="18"/>
                <w:szCs w:val="18"/>
              </w:rPr>
              <w:t xml:space="preserve">Independence of older people and their carers; Participation of people with disability and their </w:t>
            </w:r>
            <w:proofErr w:type="spellStart"/>
            <w:r w:rsidRPr="006B3BEC">
              <w:rPr>
                <w:sz w:val="18"/>
                <w:szCs w:val="18"/>
              </w:rPr>
              <w:t>carers</w:t>
            </w:r>
            <w:proofErr w:type="spellEnd"/>
            <w:r w:rsidRPr="006B3BEC">
              <w:rPr>
                <w:sz w:val="18"/>
                <w:szCs w:val="18"/>
              </w:rPr>
              <w:t xml:space="preserve"> in the community; Improving child development</w:t>
            </w:r>
          </w:p>
        </w:tc>
        <w:tc>
          <w:tcPr>
            <w:tcW w:w="3544" w:type="dxa"/>
            <w:tcBorders>
              <w:top w:val="single" w:sz="4" w:space="0" w:color="auto"/>
            </w:tcBorders>
          </w:tcPr>
          <w:p w:rsidR="00CB25BE" w:rsidRPr="006B3BEC" w:rsidRDefault="00CB25BE" w:rsidP="0018366C">
            <w:pPr>
              <w:pStyle w:val="TableBodyText"/>
              <w:ind w:right="28"/>
              <w:jc w:val="left"/>
              <w:rPr>
                <w:sz w:val="18"/>
                <w:szCs w:val="18"/>
              </w:rPr>
            </w:pPr>
            <w:r w:rsidRPr="006B3BEC">
              <w:rPr>
                <w:sz w:val="18"/>
                <w:szCs w:val="18"/>
              </w:rPr>
              <w:t>Wellbeing of older people; Quality of life for people with disability and their carers</w:t>
            </w:r>
          </w:p>
        </w:tc>
        <w:tc>
          <w:tcPr>
            <w:tcW w:w="3089" w:type="dxa"/>
            <w:tcBorders>
              <w:top w:val="single" w:sz="4" w:space="0" w:color="auto"/>
            </w:tcBorders>
          </w:tcPr>
          <w:p w:rsidR="00CB25BE" w:rsidRPr="006B3BEC" w:rsidRDefault="00CB25BE" w:rsidP="0018366C">
            <w:pPr>
              <w:pStyle w:val="TableBodyText"/>
              <w:ind w:right="28"/>
              <w:jc w:val="left"/>
              <w:rPr>
                <w:sz w:val="18"/>
                <w:szCs w:val="18"/>
              </w:rPr>
            </w:pPr>
            <w:r w:rsidRPr="006B3BEC">
              <w:rPr>
                <w:sz w:val="18"/>
                <w:szCs w:val="18"/>
              </w:rPr>
              <w:t>Jobless families with children</w:t>
            </w:r>
          </w:p>
        </w:tc>
      </w:tr>
      <w:tr w:rsidR="00CB25BE" w:rsidRPr="0031184F" w:rsidTr="0018366C">
        <w:tc>
          <w:tcPr>
            <w:tcW w:w="567" w:type="dxa"/>
            <w:vMerge/>
          </w:tcPr>
          <w:p w:rsidR="00CB25BE" w:rsidRPr="006B3BEC" w:rsidRDefault="00CB25BE" w:rsidP="0018366C">
            <w:pPr>
              <w:pStyle w:val="TableBodyText"/>
              <w:jc w:val="left"/>
            </w:pPr>
          </w:p>
        </w:tc>
        <w:tc>
          <w:tcPr>
            <w:tcW w:w="3261" w:type="dxa"/>
          </w:tcPr>
          <w:p w:rsidR="00CB25BE" w:rsidRPr="006B3BEC" w:rsidRDefault="00CB25BE" w:rsidP="0018366C">
            <w:pPr>
              <w:pStyle w:val="TableBodyText"/>
              <w:ind w:left="142" w:hanging="142"/>
              <w:jc w:val="left"/>
              <w:rPr>
                <w:sz w:val="18"/>
                <w:szCs w:val="18"/>
              </w:rPr>
            </w:pPr>
            <w:r w:rsidRPr="006B3BEC">
              <w:rPr>
                <w:sz w:val="18"/>
                <w:szCs w:val="18"/>
              </w:rPr>
              <w:t>Aged care services</w:t>
            </w:r>
          </w:p>
        </w:tc>
        <w:tc>
          <w:tcPr>
            <w:tcW w:w="2976" w:type="dxa"/>
          </w:tcPr>
          <w:p w:rsidR="00CB25BE" w:rsidRPr="006B3BEC" w:rsidRDefault="00CB25BE" w:rsidP="0018366C">
            <w:pPr>
              <w:pStyle w:val="TableBodyText"/>
              <w:jc w:val="left"/>
              <w:rPr>
                <w:sz w:val="18"/>
                <w:szCs w:val="18"/>
              </w:rPr>
            </w:pPr>
            <w:r w:rsidRPr="006B3BEC">
              <w:rPr>
                <w:sz w:val="18"/>
                <w:szCs w:val="18"/>
              </w:rPr>
              <w:t>Unmet need for services to support older people requiring assistance with daily activities</w:t>
            </w:r>
            <w:r w:rsidRPr="006B3BEC">
              <w:rPr>
                <w:rStyle w:val="NoteLabel"/>
              </w:rPr>
              <w:t>a</w:t>
            </w:r>
          </w:p>
        </w:tc>
        <w:tc>
          <w:tcPr>
            <w:tcW w:w="3544" w:type="dxa"/>
          </w:tcPr>
          <w:p w:rsidR="00CB25BE" w:rsidRPr="006B3BEC" w:rsidRDefault="00CB25BE" w:rsidP="0018366C">
            <w:pPr>
              <w:pStyle w:val="TableBodyText"/>
              <w:ind w:right="28"/>
              <w:jc w:val="left"/>
              <w:rPr>
                <w:sz w:val="18"/>
                <w:szCs w:val="18"/>
              </w:rPr>
            </w:pPr>
            <w:r w:rsidRPr="006B3BEC">
              <w:rPr>
                <w:sz w:val="18"/>
                <w:szCs w:val="18"/>
              </w:rPr>
              <w:t>Assessed longer term care arrangements; Hospital patient days used by aged care type patients; Cost per output unit</w:t>
            </w:r>
          </w:p>
        </w:tc>
        <w:tc>
          <w:tcPr>
            <w:tcW w:w="3089" w:type="dxa"/>
          </w:tcPr>
          <w:p w:rsidR="00CB25BE" w:rsidRPr="006B3BEC" w:rsidRDefault="00CB25BE" w:rsidP="0018366C">
            <w:pPr>
              <w:pStyle w:val="TableBodyText"/>
              <w:ind w:right="28"/>
              <w:jc w:val="left"/>
              <w:rPr>
                <w:sz w:val="18"/>
                <w:szCs w:val="18"/>
              </w:rPr>
            </w:pPr>
            <w:r w:rsidRPr="006B3BEC">
              <w:rPr>
                <w:sz w:val="18"/>
                <w:szCs w:val="18"/>
              </w:rPr>
              <w:t>All others</w:t>
            </w:r>
          </w:p>
        </w:tc>
      </w:tr>
      <w:tr w:rsidR="00CB25BE" w:rsidRPr="0031184F" w:rsidTr="0018366C">
        <w:tc>
          <w:tcPr>
            <w:tcW w:w="567" w:type="dxa"/>
            <w:vMerge/>
          </w:tcPr>
          <w:p w:rsidR="00CB25BE" w:rsidRPr="006B3BEC" w:rsidRDefault="00CB25BE" w:rsidP="0018366C">
            <w:pPr>
              <w:pStyle w:val="TableBodyText"/>
              <w:jc w:val="left"/>
            </w:pPr>
          </w:p>
        </w:tc>
        <w:tc>
          <w:tcPr>
            <w:tcW w:w="3261" w:type="dxa"/>
          </w:tcPr>
          <w:p w:rsidR="00CB25BE" w:rsidRPr="006B3BEC" w:rsidRDefault="00CB25BE" w:rsidP="0018366C">
            <w:pPr>
              <w:pStyle w:val="TableBodyText"/>
              <w:ind w:left="142" w:hanging="142"/>
              <w:jc w:val="left"/>
              <w:rPr>
                <w:sz w:val="18"/>
                <w:szCs w:val="18"/>
              </w:rPr>
            </w:pPr>
            <w:r w:rsidRPr="006B3BEC">
              <w:rPr>
                <w:sz w:val="18"/>
                <w:szCs w:val="18"/>
              </w:rPr>
              <w:t>Services for people with disability</w:t>
            </w:r>
          </w:p>
        </w:tc>
        <w:tc>
          <w:tcPr>
            <w:tcW w:w="2976" w:type="dxa"/>
          </w:tcPr>
          <w:p w:rsidR="00CB25BE" w:rsidRPr="006B3BEC" w:rsidRDefault="00CB25BE" w:rsidP="0018366C">
            <w:pPr>
              <w:pStyle w:val="TableBodyText"/>
              <w:jc w:val="left"/>
              <w:rPr>
                <w:sz w:val="18"/>
                <w:szCs w:val="18"/>
              </w:rPr>
            </w:pPr>
            <w:r w:rsidRPr="006B3BEC">
              <w:rPr>
                <w:sz w:val="18"/>
                <w:szCs w:val="18"/>
              </w:rPr>
              <w:t>Client and carer satisfaction (three jurisdictions); Labour force participation and employment</w:t>
            </w:r>
            <w:r w:rsidRPr="006B3BEC">
              <w:rPr>
                <w:rFonts w:cs="Arial"/>
                <w:sz w:val="18"/>
                <w:szCs w:val="18"/>
              </w:rPr>
              <w:t xml:space="preserve"> </w:t>
            </w:r>
            <w:r w:rsidRPr="006B3BEC">
              <w:rPr>
                <w:sz w:val="18"/>
                <w:szCs w:val="18"/>
              </w:rPr>
              <w:t>of people with disability and of carers</w:t>
            </w:r>
          </w:p>
        </w:tc>
        <w:tc>
          <w:tcPr>
            <w:tcW w:w="3544" w:type="dxa"/>
          </w:tcPr>
          <w:p w:rsidR="00CB25BE" w:rsidRPr="006B3BEC" w:rsidRDefault="00CB25BE" w:rsidP="0018366C">
            <w:pPr>
              <w:pStyle w:val="TableBodyText"/>
              <w:ind w:right="28"/>
              <w:jc w:val="left"/>
              <w:rPr>
                <w:sz w:val="18"/>
                <w:szCs w:val="18"/>
              </w:rPr>
            </w:pPr>
            <w:r w:rsidRPr="006B3BEC">
              <w:rPr>
                <w:sz w:val="18"/>
                <w:szCs w:val="18"/>
              </w:rPr>
              <w:t>All others</w:t>
            </w:r>
          </w:p>
        </w:tc>
        <w:tc>
          <w:tcPr>
            <w:tcW w:w="3089" w:type="dxa"/>
          </w:tcPr>
          <w:p w:rsidR="00CB25BE" w:rsidRPr="006B3BEC" w:rsidRDefault="00CB25BE" w:rsidP="0018366C">
            <w:pPr>
              <w:pStyle w:val="TableBodyText"/>
              <w:ind w:right="28"/>
              <w:jc w:val="left"/>
              <w:rPr>
                <w:sz w:val="18"/>
                <w:szCs w:val="18"/>
              </w:rPr>
            </w:pPr>
            <w:r w:rsidRPr="006B3BEC">
              <w:rPr>
                <w:sz w:val="18"/>
                <w:szCs w:val="18"/>
              </w:rPr>
              <w:t>Quality assurance processes (five jurisdictions); Client and carer satisfaction (three jurisdictions); Administrative efficiency</w:t>
            </w:r>
          </w:p>
        </w:tc>
      </w:tr>
      <w:tr w:rsidR="00CB25BE" w:rsidRPr="0031184F" w:rsidTr="0018366C">
        <w:tc>
          <w:tcPr>
            <w:tcW w:w="567" w:type="dxa"/>
            <w:vMerge/>
          </w:tcPr>
          <w:p w:rsidR="00CB25BE" w:rsidRPr="006B3BEC" w:rsidRDefault="00CB25BE" w:rsidP="0018366C">
            <w:pPr>
              <w:pStyle w:val="TableBodyText"/>
              <w:jc w:val="left"/>
            </w:pPr>
          </w:p>
        </w:tc>
        <w:tc>
          <w:tcPr>
            <w:tcW w:w="3261" w:type="dxa"/>
          </w:tcPr>
          <w:p w:rsidR="00CB25BE" w:rsidRPr="006B3BEC" w:rsidRDefault="00CB25BE" w:rsidP="0018366C">
            <w:pPr>
              <w:pStyle w:val="TableBodyText"/>
              <w:ind w:right="28"/>
              <w:jc w:val="left"/>
              <w:rPr>
                <w:sz w:val="18"/>
                <w:szCs w:val="18"/>
              </w:rPr>
            </w:pPr>
            <w:r w:rsidRPr="006B3BEC">
              <w:rPr>
                <w:sz w:val="18"/>
                <w:szCs w:val="18"/>
              </w:rPr>
              <w:t>Child protection and out-of-home care</w:t>
            </w:r>
          </w:p>
        </w:tc>
        <w:tc>
          <w:tcPr>
            <w:tcW w:w="2976" w:type="dxa"/>
          </w:tcPr>
          <w:p w:rsidR="00CB25BE" w:rsidRPr="006B3BEC" w:rsidRDefault="00CB25BE" w:rsidP="0018366C">
            <w:pPr>
              <w:pStyle w:val="TableBodyText"/>
              <w:jc w:val="left"/>
              <w:rPr>
                <w:sz w:val="18"/>
                <w:szCs w:val="18"/>
              </w:rPr>
            </w:pPr>
            <w:r w:rsidRPr="006B3BEC">
              <w:rPr>
                <w:sz w:val="18"/>
                <w:szCs w:val="18"/>
              </w:rPr>
              <w:t>Client satisfaction (four jurisdictions)</w:t>
            </w:r>
          </w:p>
        </w:tc>
        <w:tc>
          <w:tcPr>
            <w:tcW w:w="3544" w:type="dxa"/>
          </w:tcPr>
          <w:p w:rsidR="00CB25BE" w:rsidRPr="006B3BEC" w:rsidRDefault="00CB25BE" w:rsidP="0018366C">
            <w:pPr>
              <w:pStyle w:val="TableBodyText"/>
              <w:ind w:right="28"/>
              <w:jc w:val="left"/>
              <w:rPr>
                <w:sz w:val="18"/>
                <w:szCs w:val="18"/>
              </w:rPr>
            </w:pPr>
            <w:r w:rsidRPr="006B3BEC">
              <w:rPr>
                <w:sz w:val="18"/>
                <w:szCs w:val="18"/>
              </w:rPr>
              <w:t>Improved safety</w:t>
            </w:r>
          </w:p>
        </w:tc>
        <w:tc>
          <w:tcPr>
            <w:tcW w:w="3089" w:type="dxa"/>
          </w:tcPr>
          <w:p w:rsidR="00CB25BE" w:rsidRPr="006B3BEC" w:rsidRDefault="00CB25BE" w:rsidP="0018366C">
            <w:pPr>
              <w:pStyle w:val="TableBodyText"/>
              <w:ind w:right="28"/>
              <w:jc w:val="left"/>
              <w:rPr>
                <w:sz w:val="18"/>
                <w:szCs w:val="18"/>
              </w:rPr>
            </w:pPr>
            <w:r w:rsidRPr="006B3BEC">
              <w:rPr>
                <w:sz w:val="18"/>
                <w:szCs w:val="18"/>
              </w:rPr>
              <w:t>All others</w:t>
            </w:r>
          </w:p>
        </w:tc>
      </w:tr>
      <w:tr w:rsidR="00CB25BE" w:rsidRPr="0031184F" w:rsidTr="0018366C">
        <w:tc>
          <w:tcPr>
            <w:tcW w:w="567" w:type="dxa"/>
            <w:vMerge/>
          </w:tcPr>
          <w:p w:rsidR="00CB25BE" w:rsidRPr="006B3BEC" w:rsidRDefault="00CB25BE" w:rsidP="0018366C">
            <w:pPr>
              <w:pStyle w:val="TableBodyText"/>
              <w:jc w:val="left"/>
            </w:pPr>
          </w:p>
        </w:tc>
        <w:tc>
          <w:tcPr>
            <w:tcW w:w="3261" w:type="dxa"/>
          </w:tcPr>
          <w:p w:rsidR="00CB25BE" w:rsidRPr="006B3BEC" w:rsidRDefault="00CB25BE" w:rsidP="0018366C">
            <w:pPr>
              <w:pStyle w:val="TableBodyText"/>
              <w:ind w:left="142" w:hanging="142"/>
              <w:jc w:val="left"/>
              <w:rPr>
                <w:sz w:val="18"/>
                <w:szCs w:val="18"/>
              </w:rPr>
            </w:pPr>
            <w:r w:rsidRPr="006B3BEC">
              <w:rPr>
                <w:sz w:val="18"/>
                <w:szCs w:val="18"/>
              </w:rPr>
              <w:t>Youth justice</w:t>
            </w:r>
          </w:p>
        </w:tc>
        <w:tc>
          <w:tcPr>
            <w:tcW w:w="2976" w:type="dxa"/>
          </w:tcPr>
          <w:p w:rsidR="00CB25BE" w:rsidRPr="006B3BEC" w:rsidRDefault="00CB25BE" w:rsidP="0018366C">
            <w:pPr>
              <w:pStyle w:val="TableBodyText"/>
              <w:jc w:val="left"/>
              <w:rPr>
                <w:sz w:val="18"/>
                <w:szCs w:val="18"/>
              </w:rPr>
            </w:pPr>
            <w:r w:rsidRPr="006B3BEC">
              <w:rPr>
                <w:sz w:val="18"/>
                <w:szCs w:val="18"/>
              </w:rPr>
              <w:t>..</w:t>
            </w:r>
          </w:p>
        </w:tc>
        <w:tc>
          <w:tcPr>
            <w:tcW w:w="3544" w:type="dxa"/>
          </w:tcPr>
          <w:p w:rsidR="00CB25BE" w:rsidRPr="006B3BEC" w:rsidRDefault="00CB25BE" w:rsidP="0018366C">
            <w:pPr>
              <w:pStyle w:val="TableBodyText"/>
              <w:ind w:right="28"/>
              <w:jc w:val="left"/>
              <w:rPr>
                <w:sz w:val="18"/>
                <w:szCs w:val="18"/>
              </w:rPr>
            </w:pPr>
            <w:r w:rsidRPr="006B3BEC">
              <w:rPr>
                <w:rFonts w:cs="Arial"/>
                <w:sz w:val="18"/>
                <w:szCs w:val="18"/>
              </w:rPr>
              <w:t>..</w:t>
            </w:r>
          </w:p>
        </w:tc>
        <w:tc>
          <w:tcPr>
            <w:tcW w:w="3089" w:type="dxa"/>
          </w:tcPr>
          <w:p w:rsidR="00CB25BE" w:rsidRPr="006B3BEC" w:rsidRDefault="00CB25BE" w:rsidP="0018366C">
            <w:pPr>
              <w:pStyle w:val="TableBodyText"/>
              <w:ind w:right="28"/>
              <w:jc w:val="left"/>
              <w:rPr>
                <w:sz w:val="18"/>
                <w:szCs w:val="18"/>
              </w:rPr>
            </w:pPr>
            <w:r w:rsidRPr="006B3BEC">
              <w:rPr>
                <w:sz w:val="18"/>
                <w:szCs w:val="18"/>
              </w:rPr>
              <w:t>All others</w:t>
            </w:r>
          </w:p>
        </w:tc>
      </w:tr>
    </w:tbl>
    <w:p w:rsidR="00CB25BE" w:rsidRPr="0031184F" w:rsidRDefault="00CB25BE" w:rsidP="00CB25BE">
      <w:pPr>
        <w:pStyle w:val="TableTitle"/>
        <w:spacing w:before="0"/>
        <w:jc w:val="right"/>
        <w:rPr>
          <w:b w:val="0"/>
          <w:sz w:val="18"/>
          <w:szCs w:val="18"/>
        </w:rPr>
      </w:pPr>
      <w:r w:rsidRPr="0031184F">
        <w:rPr>
          <w:b w:val="0"/>
          <w:sz w:val="18"/>
          <w:szCs w:val="18"/>
        </w:rPr>
        <w:t>Continued on next page</w:t>
      </w:r>
    </w:p>
    <w:p w:rsidR="00CB25BE" w:rsidRDefault="00CB25BE" w:rsidP="00CB25BE">
      <w:pPr>
        <w:rPr>
          <w:b/>
        </w:rPr>
      </w:pPr>
      <w:r w:rsidRPr="0031184F">
        <w:rPr>
          <w:b/>
        </w:rPr>
        <w:br w:type="page"/>
      </w:r>
    </w:p>
    <w:p w:rsidR="0094689A" w:rsidRPr="0094689A" w:rsidRDefault="0094689A" w:rsidP="0094689A">
      <w:pPr>
        <w:pStyle w:val="TableTitle"/>
        <w:spacing w:before="120"/>
        <w:rPr>
          <w:sz w:val="18"/>
          <w:szCs w:val="18"/>
        </w:rPr>
      </w:pPr>
      <w:r w:rsidRPr="0031184F">
        <w:rPr>
          <w:b w:val="0"/>
        </w:rPr>
        <w:lastRenderedPageBreak/>
        <w:t>Table 2.1</w:t>
      </w:r>
      <w:r w:rsidRPr="0094689A">
        <w:rPr>
          <w:b w:val="0"/>
        </w:rPr>
        <w:tab/>
      </w:r>
      <w:r w:rsidRPr="0094689A">
        <w:rPr>
          <w:sz w:val="18"/>
          <w:szCs w:val="18"/>
        </w:rPr>
        <w:t>(continued)</w:t>
      </w:r>
    </w:p>
    <w:tbl>
      <w:tblPr>
        <w:tblpPr w:leftFromText="180" w:rightFromText="180" w:vertAnchor="text" w:tblpY="1"/>
        <w:tblOverlap w:val="never"/>
        <w:tblW w:w="0" w:type="auto"/>
        <w:tblBorders>
          <w:top w:val="single" w:sz="6" w:space="0" w:color="auto"/>
          <w:bottom w:val="single" w:sz="6" w:space="0" w:color="auto"/>
          <w:insideH w:val="dotted" w:sz="4" w:space="0" w:color="auto"/>
        </w:tblBorders>
        <w:tblCellMar>
          <w:left w:w="0" w:type="dxa"/>
          <w:right w:w="0" w:type="dxa"/>
        </w:tblCellMar>
        <w:tblLook w:val="0000" w:firstRow="0" w:lastRow="0" w:firstColumn="0" w:lastColumn="0" w:noHBand="0" w:noVBand="0"/>
      </w:tblPr>
      <w:tblGrid>
        <w:gridCol w:w="3828"/>
        <w:gridCol w:w="2976"/>
        <w:gridCol w:w="3544"/>
        <w:gridCol w:w="3089"/>
      </w:tblGrid>
      <w:tr w:rsidR="00CB25BE" w:rsidRPr="005159CC" w:rsidTr="0018366C">
        <w:tc>
          <w:tcPr>
            <w:tcW w:w="3828" w:type="dxa"/>
            <w:tcBorders>
              <w:top w:val="single" w:sz="6" w:space="0" w:color="auto"/>
              <w:bottom w:val="single" w:sz="4" w:space="0" w:color="auto"/>
            </w:tcBorders>
          </w:tcPr>
          <w:p w:rsidR="00CB25BE" w:rsidRPr="005159CC" w:rsidRDefault="00CB25BE" w:rsidP="0018366C">
            <w:pPr>
              <w:pStyle w:val="TableColumnHeading"/>
              <w:jc w:val="left"/>
              <w:rPr>
                <w:sz w:val="18"/>
                <w:szCs w:val="18"/>
              </w:rPr>
            </w:pPr>
            <w:r>
              <w:rPr>
                <w:sz w:val="18"/>
                <w:szCs w:val="18"/>
              </w:rPr>
              <w:t>I</w:t>
            </w:r>
            <w:r w:rsidRPr="0031184F">
              <w:rPr>
                <w:sz w:val="18"/>
                <w:szCs w:val="18"/>
              </w:rPr>
              <w:t>ndicator framework</w:t>
            </w:r>
          </w:p>
        </w:tc>
        <w:tc>
          <w:tcPr>
            <w:tcW w:w="2976" w:type="dxa"/>
            <w:tcBorders>
              <w:top w:val="single" w:sz="6" w:space="0" w:color="auto"/>
              <w:bottom w:val="single" w:sz="4" w:space="0" w:color="auto"/>
            </w:tcBorders>
          </w:tcPr>
          <w:p w:rsidR="00CB25BE" w:rsidRPr="0031184F" w:rsidRDefault="00CB25BE" w:rsidP="0018366C">
            <w:pPr>
              <w:pStyle w:val="TableColumnHeading"/>
              <w:jc w:val="left"/>
              <w:rPr>
                <w:sz w:val="18"/>
                <w:szCs w:val="18"/>
              </w:rPr>
            </w:pPr>
            <w:r w:rsidRPr="0031184F">
              <w:rPr>
                <w:sz w:val="18"/>
                <w:szCs w:val="18"/>
              </w:rPr>
              <w:t>At or earlier than 2009 or 2009-10</w:t>
            </w:r>
            <w:r w:rsidRPr="00304FF0">
              <w:rPr>
                <w:rStyle w:val="NoteLabel"/>
                <w:i w:val="0"/>
                <w:color w:val="943634" w:themeColor="accent2" w:themeShade="BF"/>
              </w:rPr>
              <w:t>a</w:t>
            </w:r>
          </w:p>
        </w:tc>
        <w:tc>
          <w:tcPr>
            <w:tcW w:w="3544" w:type="dxa"/>
            <w:tcBorders>
              <w:top w:val="single" w:sz="6" w:space="0" w:color="auto"/>
              <w:bottom w:val="single" w:sz="4" w:space="0" w:color="auto"/>
            </w:tcBorders>
          </w:tcPr>
          <w:p w:rsidR="00CB25BE" w:rsidRPr="0031184F" w:rsidRDefault="00CB25BE" w:rsidP="0018366C">
            <w:pPr>
              <w:pStyle w:val="TableColumnHeading"/>
              <w:jc w:val="left"/>
              <w:rPr>
                <w:sz w:val="18"/>
                <w:szCs w:val="18"/>
              </w:rPr>
            </w:pPr>
            <w:r w:rsidRPr="0031184F">
              <w:rPr>
                <w:sz w:val="18"/>
                <w:szCs w:val="18"/>
              </w:rPr>
              <w:t>Previous year (2010 or 2010-11)</w:t>
            </w:r>
          </w:p>
        </w:tc>
        <w:tc>
          <w:tcPr>
            <w:tcW w:w="3089" w:type="dxa"/>
            <w:tcBorders>
              <w:top w:val="single" w:sz="6" w:space="0" w:color="auto"/>
              <w:bottom w:val="single" w:sz="4" w:space="0" w:color="auto"/>
            </w:tcBorders>
          </w:tcPr>
          <w:p w:rsidR="00CB25BE" w:rsidRPr="0031184F" w:rsidRDefault="00CB25BE" w:rsidP="0018366C">
            <w:pPr>
              <w:pStyle w:val="TableColumnHeading"/>
              <w:ind w:right="28"/>
              <w:jc w:val="left"/>
              <w:rPr>
                <w:sz w:val="18"/>
                <w:szCs w:val="18"/>
              </w:rPr>
            </w:pPr>
            <w:r w:rsidRPr="0031184F">
              <w:rPr>
                <w:sz w:val="18"/>
                <w:szCs w:val="18"/>
              </w:rPr>
              <w:t>Current year (2011 or 2011-12)</w:t>
            </w:r>
          </w:p>
        </w:tc>
      </w:tr>
    </w:tbl>
    <w:tbl>
      <w:tblPr>
        <w:tblW w:w="0" w:type="auto"/>
        <w:tblBorders>
          <w:top w:val="single" w:sz="6" w:space="0" w:color="auto"/>
          <w:bottom w:val="single" w:sz="6" w:space="0" w:color="auto"/>
          <w:insideH w:val="dotted" w:sz="4" w:space="0" w:color="auto"/>
        </w:tblBorders>
        <w:tblCellMar>
          <w:left w:w="0" w:type="dxa"/>
          <w:right w:w="0" w:type="dxa"/>
        </w:tblCellMar>
        <w:tblLook w:val="0000" w:firstRow="0" w:lastRow="0" w:firstColumn="0" w:lastColumn="0" w:noHBand="0" w:noVBand="0"/>
      </w:tblPr>
      <w:tblGrid>
        <w:gridCol w:w="851"/>
        <w:gridCol w:w="2977"/>
        <w:gridCol w:w="2976"/>
        <w:gridCol w:w="3544"/>
        <w:gridCol w:w="3089"/>
      </w:tblGrid>
      <w:tr w:rsidR="00CB25BE" w:rsidRPr="0031184F" w:rsidTr="0018366C">
        <w:trPr>
          <w:trHeight w:val="549"/>
        </w:trPr>
        <w:tc>
          <w:tcPr>
            <w:tcW w:w="851" w:type="dxa"/>
            <w:vMerge w:val="restart"/>
            <w:tcBorders>
              <w:top w:val="nil"/>
              <w:bottom w:val="single" w:sz="4" w:space="0" w:color="auto"/>
            </w:tcBorders>
            <w:textDirection w:val="btLr"/>
            <w:vAlign w:val="center"/>
          </w:tcPr>
          <w:p w:rsidR="00CB25BE" w:rsidRPr="006B3BEC" w:rsidRDefault="00CB25BE" w:rsidP="0018366C">
            <w:pPr>
              <w:pStyle w:val="TableColumnHeading"/>
              <w:jc w:val="center"/>
              <w:rPr>
                <w:b/>
                <w:sz w:val="18"/>
                <w:szCs w:val="18"/>
              </w:rPr>
            </w:pPr>
            <w:r w:rsidRPr="006B3BEC">
              <w:rPr>
                <w:b/>
                <w:sz w:val="18"/>
                <w:szCs w:val="18"/>
              </w:rPr>
              <w:t>Housing and homelessness services</w:t>
            </w:r>
          </w:p>
        </w:tc>
        <w:tc>
          <w:tcPr>
            <w:tcW w:w="2977" w:type="dxa"/>
            <w:tcBorders>
              <w:top w:val="nil"/>
              <w:bottom w:val="nil"/>
            </w:tcBorders>
          </w:tcPr>
          <w:p w:rsidR="00CB25BE" w:rsidRPr="006B3BEC" w:rsidRDefault="00CB25BE" w:rsidP="0018366C">
            <w:pPr>
              <w:pStyle w:val="TableBodyText"/>
              <w:ind w:left="142" w:hanging="142"/>
              <w:jc w:val="left"/>
              <w:rPr>
                <w:sz w:val="18"/>
                <w:szCs w:val="18"/>
              </w:rPr>
            </w:pPr>
            <w:r>
              <w:rPr>
                <w:sz w:val="18"/>
                <w:szCs w:val="18"/>
              </w:rPr>
              <w:t>Housing and homelessness</w:t>
            </w:r>
          </w:p>
        </w:tc>
        <w:tc>
          <w:tcPr>
            <w:tcW w:w="2976" w:type="dxa"/>
            <w:tcBorders>
              <w:top w:val="nil"/>
              <w:bottom w:val="nil"/>
            </w:tcBorders>
          </w:tcPr>
          <w:p w:rsidR="00CB25BE" w:rsidRPr="006B3BEC" w:rsidRDefault="00CB25BE" w:rsidP="0018366C">
            <w:pPr>
              <w:pStyle w:val="TableBodyText"/>
              <w:jc w:val="left"/>
              <w:rPr>
                <w:sz w:val="18"/>
                <w:szCs w:val="18"/>
              </w:rPr>
            </w:pPr>
            <w:r>
              <w:rPr>
                <w:sz w:val="18"/>
                <w:szCs w:val="18"/>
              </w:rPr>
              <w:t>Low income households in rental stress</w:t>
            </w:r>
          </w:p>
        </w:tc>
        <w:tc>
          <w:tcPr>
            <w:tcW w:w="3544" w:type="dxa"/>
            <w:tcBorders>
              <w:top w:val="nil"/>
              <w:bottom w:val="nil"/>
            </w:tcBorders>
          </w:tcPr>
          <w:p w:rsidR="00CB25BE" w:rsidRPr="006B3BEC" w:rsidRDefault="00CB25BE" w:rsidP="0018366C">
            <w:pPr>
              <w:pStyle w:val="TableBodyText"/>
              <w:ind w:right="28"/>
              <w:jc w:val="left"/>
              <w:rPr>
                <w:sz w:val="18"/>
                <w:szCs w:val="18"/>
              </w:rPr>
            </w:pPr>
            <w:r>
              <w:rPr>
                <w:sz w:val="18"/>
                <w:szCs w:val="18"/>
              </w:rPr>
              <w:t>..</w:t>
            </w:r>
          </w:p>
        </w:tc>
        <w:tc>
          <w:tcPr>
            <w:tcW w:w="3089" w:type="dxa"/>
            <w:tcBorders>
              <w:top w:val="nil"/>
              <w:bottom w:val="nil"/>
            </w:tcBorders>
          </w:tcPr>
          <w:p w:rsidR="00CB25BE" w:rsidRPr="006B3BEC" w:rsidRDefault="00CB25BE" w:rsidP="0018366C">
            <w:pPr>
              <w:pStyle w:val="TableBodyText"/>
              <w:ind w:right="28"/>
              <w:jc w:val="left"/>
              <w:rPr>
                <w:sz w:val="18"/>
                <w:szCs w:val="18"/>
              </w:rPr>
            </w:pPr>
            <w:r>
              <w:rPr>
                <w:sz w:val="18"/>
                <w:szCs w:val="18"/>
              </w:rPr>
              <w:t>All others</w:t>
            </w:r>
          </w:p>
        </w:tc>
      </w:tr>
      <w:tr w:rsidR="00CB25BE" w:rsidRPr="0031184F" w:rsidTr="0018366C">
        <w:trPr>
          <w:trHeight w:val="557"/>
        </w:trPr>
        <w:tc>
          <w:tcPr>
            <w:tcW w:w="851" w:type="dxa"/>
            <w:vMerge/>
            <w:tcBorders>
              <w:top w:val="dotted" w:sz="4" w:space="0" w:color="auto"/>
              <w:bottom w:val="single" w:sz="4" w:space="0" w:color="auto"/>
            </w:tcBorders>
            <w:textDirection w:val="btLr"/>
            <w:vAlign w:val="center"/>
          </w:tcPr>
          <w:p w:rsidR="00CB25BE" w:rsidRPr="006B3BEC" w:rsidRDefault="00CB25BE" w:rsidP="0018366C">
            <w:pPr>
              <w:pStyle w:val="TableColumnHeading"/>
              <w:jc w:val="center"/>
              <w:rPr>
                <w:b/>
                <w:sz w:val="18"/>
                <w:szCs w:val="18"/>
              </w:rPr>
            </w:pPr>
          </w:p>
        </w:tc>
        <w:tc>
          <w:tcPr>
            <w:tcW w:w="2977" w:type="dxa"/>
            <w:tcBorders>
              <w:top w:val="nil"/>
              <w:bottom w:val="nil"/>
            </w:tcBorders>
          </w:tcPr>
          <w:p w:rsidR="00CB25BE" w:rsidRPr="006B3BEC" w:rsidRDefault="00CB25BE" w:rsidP="0018366C">
            <w:pPr>
              <w:pStyle w:val="TableBodyText"/>
              <w:ind w:left="142" w:hanging="142"/>
              <w:jc w:val="left"/>
              <w:rPr>
                <w:sz w:val="18"/>
                <w:szCs w:val="18"/>
              </w:rPr>
            </w:pPr>
            <w:r>
              <w:rPr>
                <w:sz w:val="18"/>
                <w:szCs w:val="18"/>
              </w:rPr>
              <w:t>Social housing</w:t>
            </w:r>
          </w:p>
        </w:tc>
        <w:tc>
          <w:tcPr>
            <w:tcW w:w="2976" w:type="dxa"/>
            <w:tcBorders>
              <w:top w:val="nil"/>
              <w:bottom w:val="nil"/>
            </w:tcBorders>
          </w:tcPr>
          <w:p w:rsidR="00CB25BE" w:rsidRPr="006B3BEC" w:rsidRDefault="00CB25BE" w:rsidP="0018366C">
            <w:pPr>
              <w:pStyle w:val="TableBodyText"/>
              <w:jc w:val="left"/>
              <w:rPr>
                <w:sz w:val="18"/>
                <w:szCs w:val="18"/>
              </w:rPr>
            </w:pPr>
            <w:r>
              <w:rPr>
                <w:sz w:val="18"/>
                <w:szCs w:val="18"/>
              </w:rPr>
              <w:t xml:space="preserve">Dwelling condition for </w:t>
            </w:r>
            <w:proofErr w:type="spellStart"/>
            <w:r>
              <w:rPr>
                <w:sz w:val="18"/>
                <w:szCs w:val="18"/>
              </w:rPr>
              <w:t>ICH</w:t>
            </w:r>
            <w:proofErr w:type="spellEnd"/>
          </w:p>
        </w:tc>
        <w:tc>
          <w:tcPr>
            <w:tcW w:w="3544" w:type="dxa"/>
            <w:tcBorders>
              <w:top w:val="nil"/>
              <w:bottom w:val="nil"/>
            </w:tcBorders>
          </w:tcPr>
          <w:p w:rsidR="00CB25BE" w:rsidRPr="006B3BEC" w:rsidRDefault="00CB25BE" w:rsidP="0018366C">
            <w:pPr>
              <w:pStyle w:val="TableBodyText"/>
              <w:ind w:right="28"/>
              <w:jc w:val="left"/>
              <w:rPr>
                <w:sz w:val="18"/>
                <w:szCs w:val="18"/>
              </w:rPr>
            </w:pPr>
            <w:r>
              <w:rPr>
                <w:sz w:val="18"/>
                <w:szCs w:val="18"/>
              </w:rPr>
              <w:t xml:space="preserve">Rent collection rate for community housing; All other indicators for </w:t>
            </w:r>
            <w:proofErr w:type="spellStart"/>
            <w:r>
              <w:rPr>
                <w:sz w:val="18"/>
                <w:szCs w:val="18"/>
              </w:rPr>
              <w:t>ICH</w:t>
            </w:r>
            <w:proofErr w:type="spellEnd"/>
          </w:p>
        </w:tc>
        <w:tc>
          <w:tcPr>
            <w:tcW w:w="3089" w:type="dxa"/>
            <w:tcBorders>
              <w:top w:val="nil"/>
              <w:bottom w:val="nil"/>
            </w:tcBorders>
          </w:tcPr>
          <w:p w:rsidR="00CB25BE" w:rsidRPr="006B3BEC" w:rsidRDefault="00CB25BE" w:rsidP="0018366C">
            <w:pPr>
              <w:pStyle w:val="TableBodyText"/>
              <w:ind w:right="28"/>
              <w:jc w:val="left"/>
              <w:rPr>
                <w:sz w:val="18"/>
                <w:szCs w:val="18"/>
              </w:rPr>
            </w:pPr>
            <w:r w:rsidRPr="006B3BEC">
              <w:rPr>
                <w:sz w:val="18"/>
                <w:szCs w:val="18"/>
              </w:rPr>
              <w:t xml:space="preserve">All for public housing and </w:t>
            </w:r>
            <w:proofErr w:type="spellStart"/>
            <w:r w:rsidRPr="006B3BEC">
              <w:rPr>
                <w:sz w:val="18"/>
                <w:szCs w:val="18"/>
              </w:rPr>
              <w:t>SOMIH</w:t>
            </w:r>
            <w:proofErr w:type="spellEnd"/>
            <w:r w:rsidRPr="006B3BEC">
              <w:rPr>
                <w:sz w:val="18"/>
                <w:szCs w:val="18"/>
              </w:rPr>
              <w:t>; All other indicators for community housing</w:t>
            </w:r>
          </w:p>
        </w:tc>
      </w:tr>
      <w:tr w:rsidR="00CB25BE" w:rsidRPr="0031184F" w:rsidTr="0018366C">
        <w:trPr>
          <w:trHeight w:val="44"/>
        </w:trPr>
        <w:tc>
          <w:tcPr>
            <w:tcW w:w="851" w:type="dxa"/>
            <w:vMerge/>
            <w:tcBorders>
              <w:top w:val="dotted" w:sz="4" w:space="0" w:color="auto"/>
              <w:bottom w:val="single" w:sz="4" w:space="0" w:color="auto"/>
            </w:tcBorders>
            <w:textDirection w:val="btLr"/>
            <w:vAlign w:val="center"/>
          </w:tcPr>
          <w:p w:rsidR="00CB25BE" w:rsidRPr="006B3BEC" w:rsidRDefault="00CB25BE" w:rsidP="0018366C">
            <w:pPr>
              <w:pStyle w:val="TableColumnHeading"/>
              <w:jc w:val="center"/>
              <w:rPr>
                <w:b/>
                <w:sz w:val="18"/>
                <w:szCs w:val="18"/>
              </w:rPr>
            </w:pPr>
          </w:p>
        </w:tc>
        <w:tc>
          <w:tcPr>
            <w:tcW w:w="2977" w:type="dxa"/>
            <w:tcBorders>
              <w:top w:val="nil"/>
              <w:bottom w:val="single" w:sz="4" w:space="0" w:color="auto"/>
            </w:tcBorders>
          </w:tcPr>
          <w:p w:rsidR="00CB25BE" w:rsidRDefault="00CB25BE" w:rsidP="0018366C">
            <w:pPr>
              <w:pStyle w:val="TableBodyText"/>
              <w:ind w:left="142" w:hanging="142"/>
              <w:jc w:val="left"/>
              <w:rPr>
                <w:sz w:val="18"/>
                <w:szCs w:val="18"/>
              </w:rPr>
            </w:pPr>
            <w:r>
              <w:rPr>
                <w:sz w:val="18"/>
                <w:szCs w:val="18"/>
              </w:rPr>
              <w:t>Homelessness services</w:t>
            </w:r>
          </w:p>
        </w:tc>
        <w:tc>
          <w:tcPr>
            <w:tcW w:w="2976" w:type="dxa"/>
            <w:tcBorders>
              <w:top w:val="nil"/>
              <w:bottom w:val="single" w:sz="4" w:space="0" w:color="auto"/>
            </w:tcBorders>
          </w:tcPr>
          <w:p w:rsidR="00CB25BE" w:rsidRDefault="00CB25BE" w:rsidP="0018366C">
            <w:pPr>
              <w:pStyle w:val="TableBodyText"/>
              <w:jc w:val="left"/>
              <w:rPr>
                <w:sz w:val="18"/>
                <w:szCs w:val="18"/>
              </w:rPr>
            </w:pPr>
            <w:r>
              <w:rPr>
                <w:sz w:val="18"/>
                <w:szCs w:val="18"/>
              </w:rPr>
              <w:t>..</w:t>
            </w:r>
          </w:p>
        </w:tc>
        <w:tc>
          <w:tcPr>
            <w:tcW w:w="3544" w:type="dxa"/>
            <w:tcBorders>
              <w:top w:val="nil"/>
              <w:bottom w:val="single" w:sz="4" w:space="0" w:color="auto"/>
            </w:tcBorders>
          </w:tcPr>
          <w:p w:rsidR="00CB25BE" w:rsidRDefault="00CB25BE" w:rsidP="0018366C">
            <w:pPr>
              <w:pStyle w:val="TableBodyText"/>
              <w:ind w:right="28"/>
              <w:jc w:val="left"/>
              <w:rPr>
                <w:sz w:val="18"/>
                <w:szCs w:val="18"/>
              </w:rPr>
            </w:pPr>
            <w:r>
              <w:rPr>
                <w:sz w:val="18"/>
                <w:szCs w:val="18"/>
              </w:rPr>
              <w:t>..</w:t>
            </w:r>
          </w:p>
        </w:tc>
        <w:tc>
          <w:tcPr>
            <w:tcW w:w="3089" w:type="dxa"/>
            <w:tcBorders>
              <w:top w:val="nil"/>
              <w:bottom w:val="single" w:sz="4" w:space="0" w:color="auto"/>
            </w:tcBorders>
          </w:tcPr>
          <w:p w:rsidR="00CB25BE" w:rsidRPr="006B3BEC" w:rsidRDefault="00CB25BE" w:rsidP="0018366C">
            <w:pPr>
              <w:pStyle w:val="TableBodyText"/>
              <w:ind w:right="28"/>
              <w:jc w:val="left"/>
              <w:rPr>
                <w:sz w:val="18"/>
                <w:szCs w:val="18"/>
              </w:rPr>
            </w:pPr>
            <w:r>
              <w:rPr>
                <w:sz w:val="18"/>
                <w:szCs w:val="18"/>
              </w:rPr>
              <w:t>All</w:t>
            </w:r>
          </w:p>
        </w:tc>
      </w:tr>
    </w:tbl>
    <w:p w:rsidR="00C778B3" w:rsidRDefault="00CB25BE" w:rsidP="00C778B3">
      <w:pPr>
        <w:pStyle w:val="Note"/>
      </w:pPr>
      <w:proofErr w:type="spellStart"/>
      <w:r w:rsidRPr="0031184F">
        <w:t>ICH</w:t>
      </w:r>
      <w:proofErr w:type="spellEnd"/>
      <w:r w:rsidRPr="0031184F">
        <w:t xml:space="preserve"> = Indigenous community housing. </w:t>
      </w:r>
      <w:proofErr w:type="spellStart"/>
      <w:r>
        <w:t>SHSC</w:t>
      </w:r>
      <w:proofErr w:type="spellEnd"/>
      <w:r>
        <w:t xml:space="preserve"> = </w:t>
      </w:r>
      <w:r w:rsidRPr="006B3BEC">
        <w:t>Specialist Homeles</w:t>
      </w:r>
      <w:r>
        <w:t>sness Services collection.</w:t>
      </w:r>
      <w:r w:rsidRPr="006B3BEC">
        <w:t xml:space="preserve"> </w:t>
      </w:r>
      <w:proofErr w:type="spellStart"/>
      <w:r>
        <w:t>SOMIH</w:t>
      </w:r>
      <w:proofErr w:type="spellEnd"/>
      <w:r>
        <w:t xml:space="preserve"> = State-</w:t>
      </w:r>
      <w:r w:rsidRPr="0031184F">
        <w:t xml:space="preserve">owned and managed </w:t>
      </w:r>
      <w:r>
        <w:t xml:space="preserve">Indigenous </w:t>
      </w:r>
      <w:r w:rsidRPr="0031184F">
        <w:t xml:space="preserve">housing. </w:t>
      </w:r>
      <w:r w:rsidRPr="0031184F">
        <w:rPr>
          <w:rStyle w:val="NoteLabel"/>
        </w:rPr>
        <w:t>a</w:t>
      </w:r>
      <w:r w:rsidRPr="0031184F">
        <w:t xml:space="preserve"> </w:t>
      </w:r>
      <w:r>
        <w:t>Some data are collected infrequently. The following data, for example, affect the timeliness of reporting in this edition: a</w:t>
      </w:r>
      <w:r w:rsidRPr="0031184F">
        <w:t xml:space="preserve">sthma management data are from a survey conducted </w:t>
      </w:r>
      <w:r>
        <w:t>approximately triennially; i</w:t>
      </w:r>
      <w:r w:rsidRPr="005D06D5">
        <w:t>nfluenza vaccination coverage for older people</w:t>
      </w:r>
      <w:r>
        <w:t xml:space="preserve"> data are from a survey conducted approximately biennially or triennially; national y</w:t>
      </w:r>
      <w:r w:rsidRPr="007D7F69">
        <w:t xml:space="preserve">ears 6 and 10 </w:t>
      </w:r>
      <w:r>
        <w:t>learning outcomes data for each of three learning domains are collected in a rolling triennial cycle; international learning outcomes</w:t>
      </w:r>
      <w:r w:rsidRPr="006E4F39">
        <w:t xml:space="preserve"> </w:t>
      </w:r>
      <w:r>
        <w:t>data for students aged 15 years in</w:t>
      </w:r>
      <w:r w:rsidRPr="006E4F39">
        <w:t xml:space="preserve"> reading literacy, mathematical literacy and scientific literacy</w:t>
      </w:r>
      <w:r>
        <w:t xml:space="preserve"> were last collected in 2012 but were not available for this edition; i</w:t>
      </w:r>
      <w:r w:rsidRPr="00C04F50">
        <w:t>ndependence o</w:t>
      </w:r>
      <w:r>
        <w:t xml:space="preserve">f older people and their </w:t>
      </w:r>
      <w:proofErr w:type="spellStart"/>
      <w:r>
        <w:t>carers</w:t>
      </w:r>
      <w:proofErr w:type="spellEnd"/>
      <w:r>
        <w:t>, unmet need of older people, and p</w:t>
      </w:r>
      <w:r w:rsidRPr="00C04F50">
        <w:t xml:space="preserve">articipation of people with disability and their </w:t>
      </w:r>
      <w:proofErr w:type="spellStart"/>
      <w:r w:rsidRPr="00C04F50">
        <w:t>carers</w:t>
      </w:r>
      <w:proofErr w:type="spellEnd"/>
      <w:r w:rsidRPr="00C04F50">
        <w:t xml:space="preserve"> in the community</w:t>
      </w:r>
      <w:r>
        <w:t xml:space="preserve">, data are from a </w:t>
      </w:r>
      <w:r w:rsidRPr="00791E86">
        <w:t xml:space="preserve">survey conducted triennially; </w:t>
      </w:r>
      <w:r w:rsidRPr="00791E86">
        <w:rPr>
          <w:szCs w:val="18"/>
        </w:rPr>
        <w:t xml:space="preserve">improving child development </w:t>
      </w:r>
      <w:r>
        <w:rPr>
          <w:szCs w:val="18"/>
        </w:rPr>
        <w:t>data are</w:t>
      </w:r>
      <w:r w:rsidRPr="00791E86">
        <w:rPr>
          <w:szCs w:val="18"/>
        </w:rPr>
        <w:t xml:space="preserve"> from an administrative collection undertaken triennially;</w:t>
      </w:r>
      <w:r w:rsidRPr="00791E86">
        <w:t xml:space="preserve"> wellbeing of older people, and </w:t>
      </w:r>
      <w:r w:rsidRPr="00791E86">
        <w:rPr>
          <w:szCs w:val="18"/>
        </w:rPr>
        <w:t xml:space="preserve">quality of life for people with disability and their </w:t>
      </w:r>
      <w:proofErr w:type="spellStart"/>
      <w:r w:rsidRPr="00791E86">
        <w:rPr>
          <w:szCs w:val="18"/>
        </w:rPr>
        <w:t>carers</w:t>
      </w:r>
      <w:proofErr w:type="spellEnd"/>
      <w:r w:rsidRPr="00791E86">
        <w:rPr>
          <w:szCs w:val="18"/>
        </w:rPr>
        <w:t>,</w:t>
      </w:r>
      <w:r w:rsidRPr="00791E86">
        <w:t xml:space="preserve"> data are from a survey conducted quadrennially; </w:t>
      </w:r>
      <w:r w:rsidRPr="00791E86">
        <w:rPr>
          <w:szCs w:val="18"/>
        </w:rPr>
        <w:t xml:space="preserve">low income households in rental stress are from a survey conducted biennially; and dwelling condition for Indigenous community housing </w:t>
      </w:r>
      <w:r>
        <w:rPr>
          <w:szCs w:val="18"/>
        </w:rPr>
        <w:t xml:space="preserve">are </w:t>
      </w:r>
      <w:r w:rsidRPr="00791E86">
        <w:rPr>
          <w:szCs w:val="18"/>
        </w:rPr>
        <w:t>from a survey last conducted in 2006</w:t>
      </w:r>
      <w:r w:rsidRPr="00791E86">
        <w:t>. .. Not applicable.</w:t>
      </w:r>
    </w:p>
    <w:p w:rsidR="00CB25BE" w:rsidRDefault="00CB25BE" w:rsidP="00C778B3">
      <w:pPr>
        <w:pStyle w:val="Note"/>
      </w:pPr>
      <w:r w:rsidRPr="00791E86">
        <w:rPr>
          <w:i/>
        </w:rPr>
        <w:t>Source</w:t>
      </w:r>
      <w:r w:rsidRPr="00791E86">
        <w:t xml:space="preserve">: Sector </w:t>
      </w:r>
      <w:r w:rsidR="00F81E85">
        <w:t>overviews B–G and chapters 3–17</w:t>
      </w:r>
      <w:r w:rsidR="00F81E85" w:rsidRPr="00801BE3">
        <w:t>; 201</w:t>
      </w:r>
      <w:r w:rsidR="00F81E85">
        <w:t>3</w:t>
      </w:r>
      <w:r w:rsidR="00F81E85" w:rsidRPr="00801BE3">
        <w:t xml:space="preserve"> Report, table 2.</w:t>
      </w:r>
      <w:r w:rsidR="00F81E85">
        <w:t>1</w:t>
      </w:r>
      <w:r w:rsidR="00F81E85" w:rsidRPr="00801BE3">
        <w:t xml:space="preserve">, </w:t>
      </w:r>
      <w:r w:rsidR="00F81E85">
        <w:t>pp. 2.6–9</w:t>
      </w:r>
      <w:r w:rsidR="00F81E85" w:rsidRPr="00801BE3">
        <w:t>.</w:t>
      </w:r>
    </w:p>
    <w:p w:rsidR="00EE2915" w:rsidRPr="00EE2915" w:rsidRDefault="00EE2915" w:rsidP="00EE2915">
      <w:pPr>
        <w:pStyle w:val="BodyText"/>
        <w:rPr>
          <w:highlight w:val="yellow"/>
        </w:rPr>
      </w:pPr>
    </w:p>
    <w:p w:rsidR="00EE2915" w:rsidRPr="00EE2915" w:rsidRDefault="00EE2915" w:rsidP="00EE2915">
      <w:pPr>
        <w:pStyle w:val="BodyText"/>
        <w:rPr>
          <w:highlight w:val="yellow"/>
        </w:rPr>
        <w:sectPr w:rsidR="00EE2915" w:rsidRPr="00EE2915" w:rsidSect="00EE2915">
          <w:headerReference w:type="even" r:id="rId13"/>
          <w:headerReference w:type="default" r:id="rId14"/>
          <w:footerReference w:type="even" r:id="rId15"/>
          <w:footerReference w:type="default" r:id="rId16"/>
          <w:headerReference w:type="first" r:id="rId17"/>
          <w:pgSz w:w="16840" w:h="11907" w:orient="landscape" w:code="9"/>
          <w:pgMar w:top="1814" w:right="1985" w:bottom="1304" w:left="1418" w:header="1701" w:footer="567" w:gutter="0"/>
          <w:pgNumType w:chapSep="period"/>
          <w:cols w:space="720"/>
        </w:sectPr>
      </w:pPr>
    </w:p>
    <w:p w:rsidR="00B93F80" w:rsidRPr="00B93F80" w:rsidRDefault="00B93F80" w:rsidP="00B93F80">
      <w:pPr>
        <w:pStyle w:val="Heading3"/>
      </w:pPr>
      <w:bookmarkStart w:id="13" w:name="_Toc346787798"/>
      <w:bookmarkStart w:id="14" w:name="_Toc346801386"/>
      <w:bookmarkStart w:id="15" w:name="_Toc346801654"/>
      <w:bookmarkStart w:id="16" w:name="_Toc320770522"/>
      <w:r w:rsidRPr="00B93F80">
        <w:lastRenderedPageBreak/>
        <w:t>Comparability of data</w:t>
      </w:r>
      <w:bookmarkEnd w:id="13"/>
      <w:bookmarkEnd w:id="14"/>
      <w:bookmarkEnd w:id="15"/>
    </w:p>
    <w:p w:rsidR="00B93F80" w:rsidRPr="00B93F80" w:rsidRDefault="00B93F80" w:rsidP="00B93F80">
      <w:pPr>
        <w:pStyle w:val="BodyText"/>
      </w:pPr>
      <w:r w:rsidRPr="00B93F80">
        <w:t>Data are generally considered to be directly comparable when definitions, counting rules and the scope of measurement are consistent (and if applicable, the sample size is large enough to be statistically reliable — explained in the statistical appendix). Performance indicator framework (</w:t>
      </w:r>
      <w:proofErr w:type="spellStart"/>
      <w:r w:rsidRPr="00B93F80">
        <w:t>PIF</w:t>
      </w:r>
      <w:proofErr w:type="spellEnd"/>
      <w:r w:rsidRPr="00B93F80">
        <w:t xml:space="preserve">) diagrams in each chapter are shaded to reflect indicator comparability. Table 2.2 in the 2013 Report summarises the proportions of performance indicators in each service area (1) with comparable data and (2) with data reported, both comparable and not directly comparable. Of the 19 service area </w:t>
      </w:r>
      <w:proofErr w:type="spellStart"/>
      <w:r w:rsidRPr="00B93F80">
        <w:t>PIFs</w:t>
      </w:r>
      <w:proofErr w:type="spellEnd"/>
      <w:r w:rsidRPr="00B93F80">
        <w:t>, 12 have over 50 per cent of indicators reported on a comparable basis.</w:t>
      </w:r>
    </w:p>
    <w:p w:rsidR="00DB0E58" w:rsidRPr="0031184F" w:rsidRDefault="00DB0E58" w:rsidP="00DB0E58">
      <w:pPr>
        <w:pStyle w:val="Heading3"/>
      </w:pPr>
      <w:bookmarkStart w:id="17" w:name="_Toc346787799"/>
      <w:bookmarkStart w:id="18" w:name="_Toc346801387"/>
      <w:bookmarkStart w:id="19" w:name="_Toc346801655"/>
      <w:r w:rsidRPr="0031184F">
        <w:t>Changes to administrative data collections</w:t>
      </w:r>
      <w:bookmarkEnd w:id="17"/>
      <w:bookmarkEnd w:id="18"/>
      <w:bookmarkEnd w:id="19"/>
    </w:p>
    <w:p w:rsidR="00DB0E58" w:rsidRDefault="00DB0E58" w:rsidP="00DB0E58">
      <w:pPr>
        <w:pStyle w:val="BodyText"/>
      </w:pPr>
      <w:r w:rsidRPr="0031184F">
        <w:t xml:space="preserve">Major data developments currently underway will improve the quality of </w:t>
      </w:r>
      <w:r>
        <w:t xml:space="preserve">RoGS reporting in the future. For school education, </w:t>
      </w:r>
      <w:r w:rsidRPr="003D3EAE">
        <w:t>nationally consistent definitions of most student background characteristics have been adopted for national reporting on students’ educational achievement and outcomes. Ministers have endorsed standard definitions of sex, Indigenous status, socioeconomic background, language background and geographic location. A definition of students with disability for nationally comparable reporting on students’ outcomes is under development. Student background information collected from parents through the enrolment process using the agreed data collectio</w:t>
      </w:r>
      <w:r>
        <w:t>n specifications and method</w:t>
      </w:r>
      <w:r w:rsidRPr="003D3EAE">
        <w:t xml:space="preserve"> is linked to student </w:t>
      </w:r>
      <w:r>
        <w:t>assessment results.</w:t>
      </w:r>
    </w:p>
    <w:p w:rsidR="00EE2915" w:rsidRPr="00B93F80" w:rsidRDefault="00EE2915" w:rsidP="00EE2915">
      <w:pPr>
        <w:pStyle w:val="Heading3"/>
      </w:pPr>
      <w:bookmarkStart w:id="20" w:name="_Toc285815870"/>
      <w:bookmarkStart w:id="21" w:name="_Toc320770523"/>
      <w:bookmarkStart w:id="22" w:name="_Toc346787800"/>
      <w:bookmarkStart w:id="23" w:name="_Toc346801388"/>
      <w:bookmarkStart w:id="24" w:name="_Toc346801656"/>
      <w:bookmarkEnd w:id="16"/>
      <w:r w:rsidRPr="00B93F80">
        <w:t>Indigenous data in the 201</w:t>
      </w:r>
      <w:r w:rsidR="0018366C" w:rsidRPr="00B93F80">
        <w:t>3</w:t>
      </w:r>
      <w:r w:rsidRPr="00B93F80">
        <w:t xml:space="preserve"> Report</w:t>
      </w:r>
      <w:bookmarkEnd w:id="20"/>
      <w:bookmarkEnd w:id="21"/>
      <w:bookmarkEnd w:id="22"/>
      <w:bookmarkEnd w:id="23"/>
      <w:bookmarkEnd w:id="24"/>
    </w:p>
    <w:p w:rsidR="0018366C" w:rsidRPr="00B93F80" w:rsidRDefault="0018366C" w:rsidP="0018366C">
      <w:pPr>
        <w:pStyle w:val="BodyText"/>
      </w:pPr>
      <w:bookmarkStart w:id="25" w:name="_Toc320770524"/>
      <w:r w:rsidRPr="00B93F80">
        <w:t>Some chapters of RoGS focus on the performance of agencies in providing services to specific groups in society — for example, the chapters on aged care services, services to people with disability and children’s services. Across RoGS, the Steering Committee also seeks to report on the performance of agencies providing services for three identified special needs groups: Indigenous Australians; people living in communities outside the capital cities (that is, people living in other metropolitan areas, or rural and remote communities); and people from a non</w:t>
      </w:r>
      <w:r w:rsidRPr="00B93F80">
        <w:noBreakHyphen/>
        <w:t xml:space="preserve">English speaking background. However, for many services, there is a paucity of data on outcomes for these groups. </w:t>
      </w:r>
    </w:p>
    <w:p w:rsidR="00EE2915" w:rsidRPr="00CE6EB5" w:rsidRDefault="00EE2915" w:rsidP="00CE6EB5">
      <w:pPr>
        <w:keepNext/>
        <w:spacing w:before="480" w:line="320" w:lineRule="exact"/>
        <w:outlineLvl w:val="3"/>
        <w:rPr>
          <w:rFonts w:ascii="Arial" w:hAnsi="Arial"/>
          <w:i/>
          <w:sz w:val="24"/>
          <w:szCs w:val="20"/>
        </w:rPr>
      </w:pPr>
      <w:bookmarkStart w:id="26" w:name="_Toc346801657"/>
      <w:r w:rsidRPr="00CE6EB5">
        <w:rPr>
          <w:rFonts w:ascii="Arial" w:hAnsi="Arial"/>
          <w:i/>
          <w:sz w:val="24"/>
          <w:szCs w:val="20"/>
        </w:rPr>
        <w:lastRenderedPageBreak/>
        <w:t>Indigenous Australians</w:t>
      </w:r>
      <w:bookmarkEnd w:id="25"/>
      <w:bookmarkEnd w:id="26"/>
    </w:p>
    <w:p w:rsidR="0018366C" w:rsidRPr="00933C8C" w:rsidRDefault="0018366C" w:rsidP="0018366C">
      <w:pPr>
        <w:pStyle w:val="BodyText"/>
      </w:pPr>
      <w:r w:rsidRPr="00933C8C">
        <w:t>In May 1997, the (then) Prime Minister asked the Review to give particular attention to the performance of mainstream services in meeting the needs of Indigenous Australians. Table 2.2 provides an indication of which service areas report at least one data item on Indigenous Australians.</w:t>
      </w:r>
    </w:p>
    <w:p w:rsidR="0018366C" w:rsidRDefault="0018366C" w:rsidP="0018366C">
      <w:pPr>
        <w:pStyle w:val="TableTitle"/>
      </w:pPr>
      <w:r w:rsidRPr="00CE45A7">
        <w:rPr>
          <w:b w:val="0"/>
        </w:rPr>
        <w:t xml:space="preserve">Table </w:t>
      </w:r>
      <w:r w:rsidR="00626592">
        <w:rPr>
          <w:b w:val="0"/>
        </w:rPr>
        <w:t>2.2</w:t>
      </w:r>
      <w:r w:rsidRPr="00CE45A7">
        <w:tab/>
        <w:t>Reporting of at least one data item on Indigenous Australians, 2013 RoGS</w:t>
      </w:r>
    </w:p>
    <w:tbl>
      <w:tblPr>
        <w:tblW w:w="5000" w:type="pct"/>
        <w:tblCellMar>
          <w:left w:w="0" w:type="dxa"/>
          <w:right w:w="0" w:type="dxa"/>
        </w:tblCellMar>
        <w:tblLook w:val="0000" w:firstRow="0" w:lastRow="0" w:firstColumn="0" w:lastColumn="0" w:noHBand="0" w:noVBand="0"/>
      </w:tblPr>
      <w:tblGrid>
        <w:gridCol w:w="2552"/>
        <w:gridCol w:w="1134"/>
        <w:gridCol w:w="1276"/>
        <w:gridCol w:w="1276"/>
        <w:gridCol w:w="1417"/>
        <w:gridCol w:w="1134"/>
      </w:tblGrid>
      <w:tr w:rsidR="00CE45A7" w:rsidRPr="0031184F" w:rsidTr="00CE45A7">
        <w:tc>
          <w:tcPr>
            <w:tcW w:w="1452" w:type="pct"/>
            <w:tcBorders>
              <w:top w:val="single" w:sz="6" w:space="0" w:color="auto"/>
            </w:tcBorders>
          </w:tcPr>
          <w:p w:rsidR="00CE45A7" w:rsidRPr="0031184F" w:rsidRDefault="00CE45A7" w:rsidP="00CE45A7">
            <w:pPr>
              <w:pStyle w:val="TableColumnHeading"/>
              <w:jc w:val="left"/>
              <w:rPr>
                <w:sz w:val="18"/>
                <w:szCs w:val="18"/>
              </w:rPr>
            </w:pPr>
          </w:p>
        </w:tc>
        <w:tc>
          <w:tcPr>
            <w:tcW w:w="645" w:type="pct"/>
            <w:tcBorders>
              <w:top w:val="single" w:sz="6" w:space="0" w:color="auto"/>
            </w:tcBorders>
          </w:tcPr>
          <w:p w:rsidR="00CE45A7" w:rsidRPr="0031184F" w:rsidRDefault="00CE45A7" w:rsidP="00CE45A7">
            <w:pPr>
              <w:pStyle w:val="TableColumnHeading"/>
              <w:rPr>
                <w:sz w:val="18"/>
                <w:szCs w:val="18"/>
              </w:rPr>
            </w:pPr>
          </w:p>
        </w:tc>
        <w:tc>
          <w:tcPr>
            <w:tcW w:w="726" w:type="pct"/>
            <w:tcBorders>
              <w:top w:val="single" w:sz="6" w:space="0" w:color="auto"/>
            </w:tcBorders>
          </w:tcPr>
          <w:p w:rsidR="00CE45A7" w:rsidRPr="0031184F" w:rsidRDefault="00CE45A7" w:rsidP="00CE45A7">
            <w:pPr>
              <w:pStyle w:val="TableColumnHeading"/>
              <w:rPr>
                <w:sz w:val="18"/>
                <w:szCs w:val="18"/>
              </w:rPr>
            </w:pPr>
          </w:p>
        </w:tc>
        <w:tc>
          <w:tcPr>
            <w:tcW w:w="2177" w:type="pct"/>
            <w:gridSpan w:val="3"/>
            <w:tcBorders>
              <w:top w:val="single" w:sz="6" w:space="0" w:color="auto"/>
              <w:bottom w:val="single" w:sz="6" w:space="0" w:color="auto"/>
            </w:tcBorders>
          </w:tcPr>
          <w:p w:rsidR="00CE45A7" w:rsidRPr="0031184F" w:rsidRDefault="00CE45A7" w:rsidP="00CE45A7">
            <w:pPr>
              <w:pStyle w:val="TableColumnHeading"/>
              <w:ind w:right="28"/>
              <w:jc w:val="center"/>
              <w:rPr>
                <w:sz w:val="18"/>
                <w:szCs w:val="18"/>
              </w:rPr>
            </w:pPr>
            <w:r w:rsidRPr="0031184F">
              <w:rPr>
                <w:sz w:val="18"/>
                <w:szCs w:val="18"/>
              </w:rPr>
              <w:t>Outputs</w:t>
            </w:r>
          </w:p>
        </w:tc>
      </w:tr>
      <w:tr w:rsidR="00CE45A7" w:rsidRPr="0031184F" w:rsidTr="00CE45A7">
        <w:tc>
          <w:tcPr>
            <w:tcW w:w="1452" w:type="pct"/>
            <w:tcBorders>
              <w:bottom w:val="single" w:sz="6" w:space="0" w:color="auto"/>
            </w:tcBorders>
          </w:tcPr>
          <w:p w:rsidR="00CE45A7" w:rsidRPr="0031184F" w:rsidRDefault="00CE45A7" w:rsidP="00CE45A7">
            <w:pPr>
              <w:pStyle w:val="TableColumnHeading"/>
              <w:jc w:val="left"/>
              <w:rPr>
                <w:sz w:val="18"/>
                <w:szCs w:val="18"/>
              </w:rPr>
            </w:pPr>
            <w:r w:rsidRPr="0031184F">
              <w:rPr>
                <w:sz w:val="18"/>
                <w:szCs w:val="18"/>
              </w:rPr>
              <w:t>Service area/indicator framework</w:t>
            </w:r>
          </w:p>
        </w:tc>
        <w:tc>
          <w:tcPr>
            <w:tcW w:w="645" w:type="pct"/>
            <w:tcBorders>
              <w:bottom w:val="single" w:sz="6" w:space="0" w:color="auto"/>
            </w:tcBorders>
          </w:tcPr>
          <w:p w:rsidR="00CE45A7" w:rsidRPr="0031184F" w:rsidRDefault="00CE45A7" w:rsidP="00CE45A7">
            <w:pPr>
              <w:pStyle w:val="TableColumnHeading"/>
              <w:jc w:val="center"/>
              <w:rPr>
                <w:sz w:val="18"/>
                <w:szCs w:val="18"/>
              </w:rPr>
            </w:pPr>
            <w:r w:rsidRPr="0031184F">
              <w:rPr>
                <w:sz w:val="18"/>
                <w:szCs w:val="18"/>
              </w:rPr>
              <w:br/>
              <w:t>Descriptive</w:t>
            </w:r>
          </w:p>
        </w:tc>
        <w:tc>
          <w:tcPr>
            <w:tcW w:w="726" w:type="pct"/>
            <w:tcBorders>
              <w:bottom w:val="single" w:sz="6" w:space="0" w:color="auto"/>
            </w:tcBorders>
          </w:tcPr>
          <w:p w:rsidR="00CE45A7" w:rsidRPr="0031184F" w:rsidRDefault="00CE45A7" w:rsidP="00CE45A7">
            <w:pPr>
              <w:pStyle w:val="TableColumnHeading"/>
              <w:jc w:val="center"/>
              <w:rPr>
                <w:sz w:val="18"/>
                <w:szCs w:val="18"/>
              </w:rPr>
            </w:pPr>
            <w:r w:rsidRPr="0031184F">
              <w:rPr>
                <w:sz w:val="18"/>
                <w:szCs w:val="18"/>
              </w:rPr>
              <w:br/>
              <w:t>Outcomes</w:t>
            </w:r>
          </w:p>
        </w:tc>
        <w:tc>
          <w:tcPr>
            <w:tcW w:w="726" w:type="pct"/>
            <w:tcBorders>
              <w:top w:val="single" w:sz="6" w:space="0" w:color="auto"/>
              <w:bottom w:val="single" w:sz="6" w:space="0" w:color="auto"/>
            </w:tcBorders>
          </w:tcPr>
          <w:p w:rsidR="00CE45A7" w:rsidRPr="0031184F" w:rsidRDefault="00CE45A7" w:rsidP="00CE45A7">
            <w:pPr>
              <w:pStyle w:val="TableColumnHeading"/>
              <w:jc w:val="center"/>
              <w:rPr>
                <w:sz w:val="18"/>
                <w:szCs w:val="18"/>
              </w:rPr>
            </w:pPr>
            <w:r w:rsidRPr="0031184F">
              <w:rPr>
                <w:sz w:val="18"/>
                <w:szCs w:val="18"/>
              </w:rPr>
              <w:br/>
              <w:t>Equity</w:t>
            </w:r>
          </w:p>
        </w:tc>
        <w:tc>
          <w:tcPr>
            <w:tcW w:w="806" w:type="pct"/>
            <w:tcBorders>
              <w:top w:val="single" w:sz="6" w:space="0" w:color="auto"/>
              <w:bottom w:val="single" w:sz="6" w:space="0" w:color="auto"/>
            </w:tcBorders>
          </w:tcPr>
          <w:p w:rsidR="00CE45A7" w:rsidRPr="0031184F" w:rsidRDefault="00CE45A7" w:rsidP="00CE45A7">
            <w:pPr>
              <w:pStyle w:val="TableColumnHeading"/>
              <w:jc w:val="center"/>
              <w:rPr>
                <w:sz w:val="18"/>
                <w:szCs w:val="18"/>
              </w:rPr>
            </w:pPr>
            <w:r w:rsidRPr="0031184F">
              <w:rPr>
                <w:sz w:val="18"/>
                <w:szCs w:val="18"/>
              </w:rPr>
              <w:br/>
              <w:t>Effectiveness</w:t>
            </w:r>
          </w:p>
        </w:tc>
        <w:tc>
          <w:tcPr>
            <w:tcW w:w="646" w:type="pct"/>
            <w:tcBorders>
              <w:top w:val="single" w:sz="6" w:space="0" w:color="auto"/>
              <w:bottom w:val="single" w:sz="6" w:space="0" w:color="auto"/>
            </w:tcBorders>
          </w:tcPr>
          <w:p w:rsidR="00CE45A7" w:rsidRPr="0031184F" w:rsidRDefault="00CE45A7" w:rsidP="00CE45A7">
            <w:pPr>
              <w:pStyle w:val="TableColumnHeading"/>
              <w:ind w:right="28"/>
              <w:jc w:val="center"/>
              <w:rPr>
                <w:sz w:val="18"/>
                <w:szCs w:val="18"/>
              </w:rPr>
            </w:pPr>
            <w:r w:rsidRPr="0031184F">
              <w:rPr>
                <w:sz w:val="18"/>
                <w:szCs w:val="18"/>
              </w:rPr>
              <w:br/>
              <w:t>Efficiency</w:t>
            </w:r>
          </w:p>
        </w:tc>
      </w:tr>
      <w:tr w:rsidR="00CE45A7" w:rsidRPr="0031184F" w:rsidTr="00CE45A7">
        <w:tc>
          <w:tcPr>
            <w:tcW w:w="5000" w:type="pct"/>
            <w:gridSpan w:val="6"/>
            <w:tcBorders>
              <w:top w:val="single" w:sz="6" w:space="0" w:color="auto"/>
            </w:tcBorders>
          </w:tcPr>
          <w:p w:rsidR="00CE45A7" w:rsidRPr="0031184F" w:rsidRDefault="00CE45A7" w:rsidP="00CE45A7">
            <w:pPr>
              <w:pStyle w:val="TableColumnHeading"/>
              <w:jc w:val="left"/>
              <w:rPr>
                <w:sz w:val="18"/>
                <w:szCs w:val="18"/>
              </w:rPr>
            </w:pPr>
            <w:r w:rsidRPr="0031184F">
              <w:rPr>
                <w:sz w:val="18"/>
                <w:szCs w:val="18"/>
              </w:rPr>
              <w:t>Child care, education and training</w:t>
            </w:r>
          </w:p>
        </w:tc>
      </w:tr>
      <w:tr w:rsidR="00CE45A7" w:rsidRPr="0031184F" w:rsidTr="00CE45A7">
        <w:tc>
          <w:tcPr>
            <w:tcW w:w="1452" w:type="pct"/>
          </w:tcPr>
          <w:p w:rsidR="00CE45A7" w:rsidRPr="0031184F" w:rsidRDefault="00CE45A7" w:rsidP="00CE45A7">
            <w:pPr>
              <w:pStyle w:val="TableBodyText"/>
              <w:jc w:val="left"/>
              <w:rPr>
                <w:sz w:val="18"/>
                <w:szCs w:val="18"/>
              </w:rPr>
            </w:pPr>
            <w:r w:rsidRPr="0031184F">
              <w:rPr>
                <w:sz w:val="18"/>
                <w:szCs w:val="18"/>
              </w:rPr>
              <w:t>Early childhood, education and care</w:t>
            </w:r>
          </w:p>
        </w:tc>
        <w:tc>
          <w:tcPr>
            <w:tcW w:w="645" w:type="pct"/>
          </w:tcPr>
          <w:p w:rsidR="00CE45A7" w:rsidRPr="0031184F" w:rsidRDefault="00CE45A7" w:rsidP="00CE45A7">
            <w:pPr>
              <w:pStyle w:val="TableBodyText"/>
              <w:jc w:val="center"/>
              <w:rPr>
                <w:sz w:val="18"/>
                <w:szCs w:val="18"/>
              </w:rPr>
            </w:pPr>
            <w:r w:rsidRPr="0031184F">
              <w:rPr>
                <w:sz w:val="18"/>
                <w:szCs w:val="18"/>
              </w:rPr>
              <w:t>x</w:t>
            </w:r>
          </w:p>
        </w:tc>
        <w:tc>
          <w:tcPr>
            <w:tcW w:w="726" w:type="pct"/>
          </w:tcPr>
          <w:p w:rsidR="00CE45A7" w:rsidRPr="0031184F" w:rsidRDefault="00CE45A7" w:rsidP="00CE45A7">
            <w:pPr>
              <w:pStyle w:val="TableBodyText"/>
              <w:jc w:val="center"/>
              <w:rPr>
                <w:sz w:val="18"/>
                <w:szCs w:val="18"/>
              </w:rPr>
            </w:pPr>
            <w:r w:rsidRPr="0031184F">
              <w:rPr>
                <w:sz w:val="18"/>
                <w:szCs w:val="18"/>
              </w:rPr>
              <w:t>x</w:t>
            </w:r>
          </w:p>
        </w:tc>
        <w:tc>
          <w:tcPr>
            <w:tcW w:w="72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806" w:type="pct"/>
          </w:tcPr>
          <w:p w:rsidR="00CE45A7" w:rsidRPr="0031184F" w:rsidRDefault="00CE45A7" w:rsidP="00CE45A7">
            <w:pPr>
              <w:pStyle w:val="TableBodyText"/>
              <w:jc w:val="center"/>
              <w:rPr>
                <w:sz w:val="18"/>
                <w:szCs w:val="18"/>
              </w:rPr>
            </w:pPr>
            <w:r w:rsidRPr="0031184F">
              <w:rPr>
                <w:sz w:val="18"/>
                <w:szCs w:val="18"/>
              </w:rPr>
              <w:t>x</w:t>
            </w:r>
          </w:p>
        </w:tc>
        <w:tc>
          <w:tcPr>
            <w:tcW w:w="646" w:type="pct"/>
          </w:tcPr>
          <w:p w:rsidR="00CE45A7" w:rsidRPr="0031184F" w:rsidRDefault="00CE45A7" w:rsidP="00CE45A7">
            <w:pPr>
              <w:pStyle w:val="TableBodyText"/>
              <w:ind w:right="28"/>
              <w:jc w:val="center"/>
              <w:rPr>
                <w:sz w:val="18"/>
                <w:szCs w:val="18"/>
              </w:rPr>
            </w:pPr>
            <w:r w:rsidRPr="0031184F">
              <w:rPr>
                <w:sz w:val="18"/>
                <w:szCs w:val="18"/>
              </w:rPr>
              <w:t>x</w:t>
            </w:r>
          </w:p>
        </w:tc>
      </w:tr>
      <w:tr w:rsidR="00CE45A7" w:rsidRPr="0031184F" w:rsidTr="00CE45A7">
        <w:tc>
          <w:tcPr>
            <w:tcW w:w="1452" w:type="pct"/>
          </w:tcPr>
          <w:p w:rsidR="00CE45A7" w:rsidRPr="0031184F" w:rsidRDefault="00CE45A7" w:rsidP="00CE45A7">
            <w:pPr>
              <w:pStyle w:val="TableBodyText"/>
              <w:jc w:val="left"/>
              <w:rPr>
                <w:sz w:val="18"/>
                <w:szCs w:val="18"/>
              </w:rPr>
            </w:pPr>
            <w:r w:rsidRPr="0031184F">
              <w:rPr>
                <w:sz w:val="18"/>
                <w:szCs w:val="18"/>
              </w:rPr>
              <w:t>School education</w:t>
            </w:r>
          </w:p>
        </w:tc>
        <w:tc>
          <w:tcPr>
            <w:tcW w:w="645"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72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72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80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646" w:type="pct"/>
          </w:tcPr>
          <w:p w:rsidR="00CE45A7" w:rsidRPr="0031184F" w:rsidRDefault="00CE45A7" w:rsidP="00CE45A7">
            <w:pPr>
              <w:pStyle w:val="TableBodyText"/>
              <w:ind w:right="28"/>
              <w:jc w:val="center"/>
              <w:rPr>
                <w:sz w:val="18"/>
                <w:szCs w:val="18"/>
              </w:rPr>
            </w:pPr>
            <w:r w:rsidRPr="0031184F">
              <w:rPr>
                <w:sz w:val="18"/>
                <w:szCs w:val="18"/>
              </w:rPr>
              <w:t>x</w:t>
            </w:r>
          </w:p>
        </w:tc>
      </w:tr>
      <w:tr w:rsidR="00CE45A7" w:rsidRPr="0031184F" w:rsidTr="00CE45A7">
        <w:tc>
          <w:tcPr>
            <w:tcW w:w="1452" w:type="pct"/>
          </w:tcPr>
          <w:p w:rsidR="00CE45A7" w:rsidRPr="0031184F" w:rsidRDefault="00CE45A7" w:rsidP="00CE45A7">
            <w:pPr>
              <w:pStyle w:val="TableBodyText"/>
              <w:jc w:val="left"/>
              <w:rPr>
                <w:sz w:val="18"/>
                <w:szCs w:val="18"/>
              </w:rPr>
            </w:pPr>
            <w:r w:rsidRPr="0031184F">
              <w:rPr>
                <w:sz w:val="18"/>
                <w:szCs w:val="18"/>
              </w:rPr>
              <w:t>VET</w:t>
            </w:r>
          </w:p>
        </w:tc>
        <w:tc>
          <w:tcPr>
            <w:tcW w:w="645" w:type="pct"/>
          </w:tcPr>
          <w:p w:rsidR="00CE45A7" w:rsidRPr="0031184F" w:rsidRDefault="00CE45A7" w:rsidP="00CE45A7">
            <w:pPr>
              <w:pStyle w:val="TableBodyText"/>
              <w:jc w:val="center"/>
              <w:rPr>
                <w:sz w:val="18"/>
                <w:szCs w:val="18"/>
              </w:rPr>
            </w:pPr>
            <w:r w:rsidRPr="0031184F">
              <w:rPr>
                <w:sz w:val="18"/>
                <w:szCs w:val="18"/>
              </w:rPr>
              <w:t>x</w:t>
            </w:r>
          </w:p>
        </w:tc>
        <w:tc>
          <w:tcPr>
            <w:tcW w:w="72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72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80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646" w:type="pct"/>
          </w:tcPr>
          <w:p w:rsidR="00CE45A7" w:rsidRPr="0031184F" w:rsidRDefault="00CE45A7" w:rsidP="00CE45A7">
            <w:pPr>
              <w:pStyle w:val="TableBodyText"/>
              <w:ind w:right="28"/>
              <w:jc w:val="center"/>
              <w:rPr>
                <w:sz w:val="18"/>
                <w:szCs w:val="18"/>
              </w:rPr>
            </w:pPr>
            <w:r w:rsidRPr="0031184F">
              <w:rPr>
                <w:sz w:val="18"/>
                <w:szCs w:val="18"/>
              </w:rPr>
              <w:t>x</w:t>
            </w:r>
          </w:p>
        </w:tc>
      </w:tr>
      <w:tr w:rsidR="00CE45A7" w:rsidRPr="0031184F" w:rsidTr="00CE45A7">
        <w:tc>
          <w:tcPr>
            <w:tcW w:w="1452" w:type="pct"/>
          </w:tcPr>
          <w:p w:rsidR="00CE45A7" w:rsidRPr="0031184F" w:rsidRDefault="00CE45A7" w:rsidP="00CE45A7">
            <w:pPr>
              <w:pStyle w:val="TableColumnHeading"/>
              <w:jc w:val="left"/>
              <w:rPr>
                <w:sz w:val="18"/>
                <w:szCs w:val="18"/>
              </w:rPr>
            </w:pPr>
            <w:r w:rsidRPr="0031184F">
              <w:rPr>
                <w:sz w:val="18"/>
                <w:szCs w:val="18"/>
              </w:rPr>
              <w:t>Justice</w:t>
            </w:r>
          </w:p>
        </w:tc>
        <w:tc>
          <w:tcPr>
            <w:tcW w:w="645" w:type="pct"/>
          </w:tcPr>
          <w:p w:rsidR="00CE45A7" w:rsidRPr="0031184F" w:rsidRDefault="00CE45A7" w:rsidP="00CE45A7">
            <w:pPr>
              <w:pStyle w:val="TableColumnHeading"/>
              <w:jc w:val="center"/>
              <w:rPr>
                <w:sz w:val="18"/>
                <w:szCs w:val="18"/>
              </w:rPr>
            </w:pPr>
          </w:p>
        </w:tc>
        <w:tc>
          <w:tcPr>
            <w:tcW w:w="726" w:type="pct"/>
          </w:tcPr>
          <w:p w:rsidR="00CE45A7" w:rsidRPr="0031184F" w:rsidRDefault="00CE45A7" w:rsidP="00CE45A7">
            <w:pPr>
              <w:pStyle w:val="TableColumnHeading"/>
              <w:jc w:val="center"/>
              <w:rPr>
                <w:b/>
                <w:sz w:val="18"/>
                <w:szCs w:val="18"/>
              </w:rPr>
            </w:pPr>
          </w:p>
        </w:tc>
        <w:tc>
          <w:tcPr>
            <w:tcW w:w="726" w:type="pct"/>
          </w:tcPr>
          <w:p w:rsidR="00CE45A7" w:rsidRPr="0031184F" w:rsidRDefault="00CE45A7" w:rsidP="00CE45A7">
            <w:pPr>
              <w:pStyle w:val="TableColumnHeading"/>
              <w:jc w:val="center"/>
              <w:rPr>
                <w:b/>
                <w:sz w:val="18"/>
                <w:szCs w:val="18"/>
              </w:rPr>
            </w:pPr>
          </w:p>
        </w:tc>
        <w:tc>
          <w:tcPr>
            <w:tcW w:w="806" w:type="pct"/>
          </w:tcPr>
          <w:p w:rsidR="00CE45A7" w:rsidRPr="0031184F" w:rsidRDefault="00CE45A7" w:rsidP="00CE45A7">
            <w:pPr>
              <w:pStyle w:val="TableColumnHeading"/>
              <w:jc w:val="center"/>
              <w:rPr>
                <w:b/>
                <w:sz w:val="18"/>
                <w:szCs w:val="18"/>
              </w:rPr>
            </w:pPr>
          </w:p>
        </w:tc>
        <w:tc>
          <w:tcPr>
            <w:tcW w:w="646" w:type="pct"/>
          </w:tcPr>
          <w:p w:rsidR="00CE45A7" w:rsidRPr="0031184F" w:rsidRDefault="00CE45A7" w:rsidP="00CE45A7">
            <w:pPr>
              <w:pStyle w:val="TableColumnHeading"/>
              <w:jc w:val="center"/>
              <w:rPr>
                <w:b/>
                <w:sz w:val="18"/>
                <w:szCs w:val="18"/>
              </w:rPr>
            </w:pPr>
          </w:p>
        </w:tc>
      </w:tr>
      <w:tr w:rsidR="00CE45A7" w:rsidRPr="0031184F" w:rsidTr="00CE45A7">
        <w:tc>
          <w:tcPr>
            <w:tcW w:w="1452" w:type="pct"/>
          </w:tcPr>
          <w:p w:rsidR="00CE45A7" w:rsidRPr="0031184F" w:rsidRDefault="00CE45A7" w:rsidP="00CE45A7">
            <w:pPr>
              <w:pStyle w:val="TableBodyText"/>
              <w:jc w:val="left"/>
              <w:rPr>
                <w:sz w:val="18"/>
                <w:szCs w:val="18"/>
              </w:rPr>
            </w:pPr>
            <w:r w:rsidRPr="0031184F">
              <w:rPr>
                <w:sz w:val="18"/>
                <w:szCs w:val="18"/>
              </w:rPr>
              <w:t>Police services</w:t>
            </w:r>
          </w:p>
        </w:tc>
        <w:tc>
          <w:tcPr>
            <w:tcW w:w="645"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72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72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80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646" w:type="pct"/>
          </w:tcPr>
          <w:p w:rsidR="00CE45A7" w:rsidRPr="0031184F" w:rsidRDefault="00CE45A7" w:rsidP="00CE45A7">
            <w:pPr>
              <w:pStyle w:val="TableBodyText"/>
              <w:ind w:right="28"/>
              <w:jc w:val="center"/>
              <w:rPr>
                <w:sz w:val="18"/>
                <w:szCs w:val="18"/>
              </w:rPr>
            </w:pPr>
            <w:r w:rsidRPr="0031184F">
              <w:rPr>
                <w:sz w:val="18"/>
                <w:szCs w:val="18"/>
              </w:rPr>
              <w:t>x</w:t>
            </w:r>
          </w:p>
        </w:tc>
      </w:tr>
      <w:tr w:rsidR="00CE45A7" w:rsidRPr="0031184F" w:rsidTr="00CE45A7">
        <w:tc>
          <w:tcPr>
            <w:tcW w:w="1452" w:type="pct"/>
          </w:tcPr>
          <w:p w:rsidR="00CE45A7" w:rsidRPr="0031184F" w:rsidRDefault="00CE45A7" w:rsidP="00CE45A7">
            <w:pPr>
              <w:pStyle w:val="TableBodyText"/>
              <w:jc w:val="left"/>
              <w:rPr>
                <w:sz w:val="18"/>
                <w:szCs w:val="18"/>
              </w:rPr>
            </w:pPr>
            <w:r w:rsidRPr="0031184F">
              <w:rPr>
                <w:sz w:val="18"/>
                <w:szCs w:val="18"/>
              </w:rPr>
              <w:t>Courts</w:t>
            </w:r>
          </w:p>
        </w:tc>
        <w:tc>
          <w:tcPr>
            <w:tcW w:w="645" w:type="pct"/>
          </w:tcPr>
          <w:p w:rsidR="00CE45A7" w:rsidRPr="0031184F" w:rsidRDefault="00CE45A7" w:rsidP="00CE45A7">
            <w:pPr>
              <w:pStyle w:val="TableBodyText"/>
              <w:jc w:val="center"/>
              <w:rPr>
                <w:sz w:val="18"/>
                <w:szCs w:val="18"/>
              </w:rPr>
            </w:pPr>
            <w:r w:rsidRPr="0031184F">
              <w:rPr>
                <w:sz w:val="18"/>
                <w:szCs w:val="18"/>
              </w:rPr>
              <w:t>x</w:t>
            </w:r>
          </w:p>
        </w:tc>
        <w:tc>
          <w:tcPr>
            <w:tcW w:w="726" w:type="pct"/>
          </w:tcPr>
          <w:p w:rsidR="00CE45A7" w:rsidRPr="0031184F" w:rsidRDefault="00CE45A7" w:rsidP="00CE45A7">
            <w:pPr>
              <w:pStyle w:val="TableBodyText"/>
              <w:jc w:val="center"/>
              <w:rPr>
                <w:sz w:val="18"/>
                <w:szCs w:val="18"/>
              </w:rPr>
            </w:pPr>
            <w:r w:rsidRPr="0031184F">
              <w:rPr>
                <w:sz w:val="18"/>
                <w:szCs w:val="18"/>
              </w:rPr>
              <w:t>x</w:t>
            </w:r>
          </w:p>
        </w:tc>
        <w:tc>
          <w:tcPr>
            <w:tcW w:w="726" w:type="pct"/>
          </w:tcPr>
          <w:p w:rsidR="00CE45A7" w:rsidRPr="0031184F" w:rsidRDefault="00CE45A7" w:rsidP="00CE45A7">
            <w:pPr>
              <w:pStyle w:val="TableBodyText"/>
              <w:jc w:val="center"/>
              <w:rPr>
                <w:sz w:val="18"/>
                <w:szCs w:val="18"/>
              </w:rPr>
            </w:pPr>
            <w:r w:rsidRPr="0031184F">
              <w:rPr>
                <w:sz w:val="18"/>
                <w:szCs w:val="18"/>
              </w:rPr>
              <w:t>x</w:t>
            </w:r>
          </w:p>
        </w:tc>
        <w:tc>
          <w:tcPr>
            <w:tcW w:w="806" w:type="pct"/>
          </w:tcPr>
          <w:p w:rsidR="00CE45A7" w:rsidRPr="0031184F" w:rsidRDefault="00CE45A7" w:rsidP="00CE45A7">
            <w:pPr>
              <w:pStyle w:val="TableBodyText"/>
              <w:jc w:val="center"/>
              <w:rPr>
                <w:sz w:val="18"/>
                <w:szCs w:val="18"/>
              </w:rPr>
            </w:pPr>
            <w:r w:rsidRPr="0031184F">
              <w:rPr>
                <w:sz w:val="18"/>
                <w:szCs w:val="18"/>
              </w:rPr>
              <w:t>x</w:t>
            </w:r>
          </w:p>
        </w:tc>
        <w:tc>
          <w:tcPr>
            <w:tcW w:w="646" w:type="pct"/>
          </w:tcPr>
          <w:p w:rsidR="00CE45A7" w:rsidRPr="0031184F" w:rsidRDefault="00CE45A7" w:rsidP="00CE45A7">
            <w:pPr>
              <w:pStyle w:val="TableBodyText"/>
              <w:ind w:right="28"/>
              <w:jc w:val="center"/>
              <w:rPr>
                <w:sz w:val="18"/>
                <w:szCs w:val="18"/>
              </w:rPr>
            </w:pPr>
            <w:r w:rsidRPr="0031184F">
              <w:rPr>
                <w:sz w:val="18"/>
                <w:szCs w:val="18"/>
              </w:rPr>
              <w:t>x</w:t>
            </w:r>
          </w:p>
        </w:tc>
      </w:tr>
      <w:tr w:rsidR="00CE45A7" w:rsidRPr="0031184F" w:rsidTr="00CE45A7">
        <w:tc>
          <w:tcPr>
            <w:tcW w:w="1452" w:type="pct"/>
          </w:tcPr>
          <w:p w:rsidR="00CE45A7" w:rsidRPr="0031184F" w:rsidRDefault="00CE45A7" w:rsidP="00CE45A7">
            <w:pPr>
              <w:pStyle w:val="TableBodyText"/>
              <w:jc w:val="left"/>
              <w:rPr>
                <w:sz w:val="18"/>
                <w:szCs w:val="18"/>
              </w:rPr>
            </w:pPr>
            <w:r w:rsidRPr="0031184F">
              <w:rPr>
                <w:sz w:val="18"/>
                <w:szCs w:val="18"/>
              </w:rPr>
              <w:t>Corrective services</w:t>
            </w:r>
          </w:p>
        </w:tc>
        <w:tc>
          <w:tcPr>
            <w:tcW w:w="645"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726" w:type="pct"/>
          </w:tcPr>
          <w:p w:rsidR="00CE45A7" w:rsidRPr="0031184F" w:rsidRDefault="00CE45A7" w:rsidP="00CE45A7">
            <w:pPr>
              <w:pStyle w:val="TableBodyText"/>
              <w:jc w:val="center"/>
              <w:rPr>
                <w:sz w:val="18"/>
                <w:szCs w:val="18"/>
              </w:rPr>
            </w:pPr>
            <w:r w:rsidRPr="0031184F">
              <w:rPr>
                <w:sz w:val="18"/>
                <w:szCs w:val="18"/>
              </w:rPr>
              <w:t>x</w:t>
            </w:r>
          </w:p>
        </w:tc>
        <w:tc>
          <w:tcPr>
            <w:tcW w:w="726" w:type="pct"/>
          </w:tcPr>
          <w:p w:rsidR="00CE45A7" w:rsidRPr="0031184F" w:rsidRDefault="00CE45A7" w:rsidP="00CE45A7">
            <w:pPr>
              <w:pStyle w:val="TableBodyText"/>
              <w:jc w:val="center"/>
              <w:rPr>
                <w:sz w:val="18"/>
                <w:szCs w:val="18"/>
              </w:rPr>
            </w:pPr>
            <w:r w:rsidRPr="0031184F">
              <w:rPr>
                <w:sz w:val="18"/>
                <w:szCs w:val="18"/>
              </w:rPr>
              <w:t>x</w:t>
            </w:r>
          </w:p>
        </w:tc>
        <w:tc>
          <w:tcPr>
            <w:tcW w:w="80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646" w:type="pct"/>
          </w:tcPr>
          <w:p w:rsidR="00CE45A7" w:rsidRPr="0031184F" w:rsidRDefault="00CE45A7" w:rsidP="00CE45A7">
            <w:pPr>
              <w:pStyle w:val="TableBodyText"/>
              <w:ind w:right="28"/>
              <w:jc w:val="center"/>
              <w:rPr>
                <w:sz w:val="18"/>
                <w:szCs w:val="18"/>
              </w:rPr>
            </w:pPr>
            <w:r w:rsidRPr="0031184F">
              <w:rPr>
                <w:sz w:val="18"/>
                <w:szCs w:val="18"/>
              </w:rPr>
              <w:t>x</w:t>
            </w:r>
          </w:p>
        </w:tc>
      </w:tr>
      <w:tr w:rsidR="00CE45A7" w:rsidRPr="0031184F" w:rsidTr="00CE45A7">
        <w:tc>
          <w:tcPr>
            <w:tcW w:w="5000" w:type="pct"/>
            <w:gridSpan w:val="6"/>
          </w:tcPr>
          <w:p w:rsidR="00CE45A7" w:rsidRPr="0031184F" w:rsidRDefault="00CE45A7" w:rsidP="00CE45A7">
            <w:pPr>
              <w:pStyle w:val="TableColumnHeading"/>
              <w:jc w:val="left"/>
              <w:rPr>
                <w:sz w:val="18"/>
                <w:szCs w:val="18"/>
              </w:rPr>
            </w:pPr>
            <w:r w:rsidRPr="0031184F">
              <w:rPr>
                <w:sz w:val="18"/>
                <w:szCs w:val="18"/>
              </w:rPr>
              <w:t>Emergency management</w:t>
            </w:r>
          </w:p>
        </w:tc>
      </w:tr>
      <w:tr w:rsidR="00CE45A7" w:rsidRPr="0031184F" w:rsidTr="00CE45A7">
        <w:tc>
          <w:tcPr>
            <w:tcW w:w="1452" w:type="pct"/>
          </w:tcPr>
          <w:p w:rsidR="00CE45A7" w:rsidRPr="0031184F" w:rsidRDefault="00CE45A7" w:rsidP="00CE45A7">
            <w:pPr>
              <w:pStyle w:val="TableBodyText"/>
              <w:jc w:val="left"/>
              <w:rPr>
                <w:sz w:val="18"/>
                <w:szCs w:val="18"/>
              </w:rPr>
            </w:pPr>
            <w:r w:rsidRPr="0031184F">
              <w:rPr>
                <w:sz w:val="18"/>
                <w:szCs w:val="18"/>
              </w:rPr>
              <w:t>Fire services</w:t>
            </w:r>
          </w:p>
        </w:tc>
        <w:tc>
          <w:tcPr>
            <w:tcW w:w="645" w:type="pct"/>
          </w:tcPr>
          <w:p w:rsidR="00CE45A7" w:rsidRPr="0031184F" w:rsidRDefault="00CE45A7" w:rsidP="00CE45A7">
            <w:pPr>
              <w:pStyle w:val="TableBodyText"/>
              <w:jc w:val="center"/>
              <w:rPr>
                <w:sz w:val="18"/>
                <w:szCs w:val="18"/>
              </w:rPr>
            </w:pPr>
            <w:r w:rsidRPr="0031184F">
              <w:rPr>
                <w:sz w:val="18"/>
                <w:szCs w:val="18"/>
              </w:rPr>
              <w:t>x</w:t>
            </w:r>
          </w:p>
        </w:tc>
        <w:tc>
          <w:tcPr>
            <w:tcW w:w="726" w:type="pct"/>
          </w:tcPr>
          <w:p w:rsidR="00CE45A7" w:rsidRPr="0031184F" w:rsidRDefault="00CE45A7" w:rsidP="00CE45A7">
            <w:pPr>
              <w:pStyle w:val="TableBodyText"/>
              <w:jc w:val="center"/>
              <w:rPr>
                <w:sz w:val="18"/>
                <w:szCs w:val="18"/>
              </w:rPr>
            </w:pPr>
            <w:r w:rsidRPr="0031184F">
              <w:rPr>
                <w:sz w:val="18"/>
                <w:szCs w:val="18"/>
              </w:rPr>
              <w:t>x</w:t>
            </w:r>
          </w:p>
        </w:tc>
        <w:tc>
          <w:tcPr>
            <w:tcW w:w="726" w:type="pct"/>
          </w:tcPr>
          <w:p w:rsidR="00CE45A7" w:rsidRPr="0031184F" w:rsidRDefault="00CE45A7" w:rsidP="00CE45A7">
            <w:pPr>
              <w:pStyle w:val="TableBodyText"/>
              <w:jc w:val="center"/>
              <w:rPr>
                <w:sz w:val="18"/>
                <w:szCs w:val="18"/>
              </w:rPr>
            </w:pPr>
            <w:r w:rsidRPr="0031184F">
              <w:rPr>
                <w:sz w:val="18"/>
                <w:szCs w:val="18"/>
              </w:rPr>
              <w:t>x</w:t>
            </w:r>
          </w:p>
        </w:tc>
        <w:tc>
          <w:tcPr>
            <w:tcW w:w="806" w:type="pct"/>
          </w:tcPr>
          <w:p w:rsidR="00CE45A7" w:rsidRPr="0031184F" w:rsidRDefault="00CE45A7" w:rsidP="00CE45A7">
            <w:pPr>
              <w:pStyle w:val="TableBodyText"/>
              <w:jc w:val="center"/>
              <w:rPr>
                <w:sz w:val="18"/>
                <w:szCs w:val="18"/>
              </w:rPr>
            </w:pPr>
            <w:r w:rsidRPr="0031184F">
              <w:rPr>
                <w:sz w:val="18"/>
                <w:szCs w:val="18"/>
              </w:rPr>
              <w:t>x</w:t>
            </w:r>
          </w:p>
        </w:tc>
        <w:tc>
          <w:tcPr>
            <w:tcW w:w="646" w:type="pct"/>
          </w:tcPr>
          <w:p w:rsidR="00CE45A7" w:rsidRPr="0031184F" w:rsidRDefault="00CE45A7" w:rsidP="00CE45A7">
            <w:pPr>
              <w:pStyle w:val="TableBodyText"/>
              <w:ind w:right="28"/>
              <w:jc w:val="center"/>
              <w:rPr>
                <w:sz w:val="18"/>
                <w:szCs w:val="18"/>
              </w:rPr>
            </w:pPr>
            <w:r w:rsidRPr="0031184F">
              <w:rPr>
                <w:sz w:val="18"/>
                <w:szCs w:val="18"/>
              </w:rPr>
              <w:t>x</w:t>
            </w:r>
          </w:p>
        </w:tc>
      </w:tr>
      <w:tr w:rsidR="00CE45A7" w:rsidRPr="0031184F" w:rsidTr="00CE45A7">
        <w:tc>
          <w:tcPr>
            <w:tcW w:w="1452" w:type="pct"/>
          </w:tcPr>
          <w:p w:rsidR="00CE45A7" w:rsidRPr="0031184F" w:rsidRDefault="00CE45A7" w:rsidP="00CE45A7">
            <w:pPr>
              <w:pStyle w:val="TableBodyText"/>
              <w:jc w:val="left"/>
              <w:rPr>
                <w:sz w:val="18"/>
                <w:szCs w:val="18"/>
              </w:rPr>
            </w:pPr>
            <w:r w:rsidRPr="0031184F">
              <w:rPr>
                <w:sz w:val="18"/>
                <w:szCs w:val="18"/>
              </w:rPr>
              <w:t>Ambulance services</w:t>
            </w:r>
          </w:p>
        </w:tc>
        <w:tc>
          <w:tcPr>
            <w:tcW w:w="645" w:type="pct"/>
          </w:tcPr>
          <w:p w:rsidR="00CE45A7" w:rsidRPr="0031184F" w:rsidRDefault="00CE45A7" w:rsidP="00CE45A7">
            <w:pPr>
              <w:pStyle w:val="TableBodyText"/>
              <w:jc w:val="center"/>
              <w:rPr>
                <w:sz w:val="18"/>
                <w:szCs w:val="18"/>
              </w:rPr>
            </w:pPr>
            <w:r w:rsidRPr="0031184F">
              <w:rPr>
                <w:sz w:val="18"/>
                <w:szCs w:val="18"/>
              </w:rPr>
              <w:t>x</w:t>
            </w:r>
          </w:p>
        </w:tc>
        <w:tc>
          <w:tcPr>
            <w:tcW w:w="726" w:type="pct"/>
          </w:tcPr>
          <w:p w:rsidR="00CE45A7" w:rsidRPr="0031184F" w:rsidRDefault="00CE45A7" w:rsidP="00CE45A7">
            <w:pPr>
              <w:pStyle w:val="TableBodyText"/>
              <w:jc w:val="center"/>
              <w:rPr>
                <w:sz w:val="18"/>
                <w:szCs w:val="18"/>
              </w:rPr>
            </w:pPr>
            <w:r w:rsidRPr="0031184F">
              <w:rPr>
                <w:sz w:val="18"/>
                <w:szCs w:val="18"/>
              </w:rPr>
              <w:t>x</w:t>
            </w:r>
          </w:p>
        </w:tc>
        <w:tc>
          <w:tcPr>
            <w:tcW w:w="726" w:type="pct"/>
          </w:tcPr>
          <w:p w:rsidR="00CE45A7" w:rsidRPr="0031184F" w:rsidRDefault="00CE45A7" w:rsidP="00CE45A7">
            <w:pPr>
              <w:pStyle w:val="TableBodyText"/>
              <w:jc w:val="center"/>
              <w:rPr>
                <w:sz w:val="18"/>
                <w:szCs w:val="18"/>
              </w:rPr>
            </w:pPr>
            <w:r w:rsidRPr="0031184F">
              <w:rPr>
                <w:sz w:val="18"/>
                <w:szCs w:val="18"/>
              </w:rPr>
              <w:t>x</w:t>
            </w:r>
          </w:p>
        </w:tc>
        <w:tc>
          <w:tcPr>
            <w:tcW w:w="806" w:type="pct"/>
          </w:tcPr>
          <w:p w:rsidR="00CE45A7" w:rsidRPr="0031184F" w:rsidRDefault="00CE45A7" w:rsidP="00CE45A7">
            <w:pPr>
              <w:pStyle w:val="TableBodyText"/>
              <w:jc w:val="center"/>
              <w:rPr>
                <w:sz w:val="18"/>
                <w:szCs w:val="18"/>
              </w:rPr>
            </w:pPr>
            <w:r w:rsidRPr="0031184F">
              <w:rPr>
                <w:sz w:val="18"/>
                <w:szCs w:val="18"/>
              </w:rPr>
              <w:t>x</w:t>
            </w:r>
          </w:p>
        </w:tc>
        <w:tc>
          <w:tcPr>
            <w:tcW w:w="646" w:type="pct"/>
          </w:tcPr>
          <w:p w:rsidR="00CE45A7" w:rsidRPr="0031184F" w:rsidRDefault="00CE45A7" w:rsidP="00CE45A7">
            <w:pPr>
              <w:pStyle w:val="TableBodyText"/>
              <w:ind w:right="28"/>
              <w:jc w:val="center"/>
              <w:rPr>
                <w:sz w:val="18"/>
                <w:szCs w:val="18"/>
              </w:rPr>
            </w:pPr>
            <w:r w:rsidRPr="0031184F">
              <w:rPr>
                <w:sz w:val="18"/>
                <w:szCs w:val="18"/>
              </w:rPr>
              <w:t>x</w:t>
            </w:r>
          </w:p>
        </w:tc>
      </w:tr>
      <w:tr w:rsidR="00CE45A7" w:rsidRPr="0031184F" w:rsidTr="00CE45A7">
        <w:tc>
          <w:tcPr>
            <w:tcW w:w="1452" w:type="pct"/>
          </w:tcPr>
          <w:p w:rsidR="00CE45A7" w:rsidRPr="0031184F" w:rsidRDefault="00CE45A7" w:rsidP="00CE45A7">
            <w:pPr>
              <w:pStyle w:val="TableColumnHeading"/>
              <w:jc w:val="left"/>
              <w:rPr>
                <w:sz w:val="18"/>
                <w:szCs w:val="18"/>
              </w:rPr>
            </w:pPr>
            <w:r w:rsidRPr="0031184F">
              <w:rPr>
                <w:sz w:val="18"/>
                <w:szCs w:val="18"/>
              </w:rPr>
              <w:t>Health</w:t>
            </w:r>
          </w:p>
        </w:tc>
        <w:tc>
          <w:tcPr>
            <w:tcW w:w="645" w:type="pct"/>
          </w:tcPr>
          <w:p w:rsidR="00CE45A7" w:rsidRPr="0031184F" w:rsidRDefault="00CE45A7" w:rsidP="00CE45A7">
            <w:pPr>
              <w:pStyle w:val="TableColumnHeading"/>
              <w:jc w:val="center"/>
              <w:rPr>
                <w:sz w:val="18"/>
                <w:szCs w:val="18"/>
              </w:rPr>
            </w:pPr>
          </w:p>
        </w:tc>
        <w:tc>
          <w:tcPr>
            <w:tcW w:w="726" w:type="pct"/>
          </w:tcPr>
          <w:p w:rsidR="00CE45A7" w:rsidRPr="0031184F" w:rsidRDefault="00CE45A7" w:rsidP="00CE45A7">
            <w:pPr>
              <w:pStyle w:val="TableColumnHeading"/>
              <w:jc w:val="center"/>
              <w:rPr>
                <w:b/>
                <w:sz w:val="18"/>
                <w:szCs w:val="18"/>
              </w:rPr>
            </w:pPr>
          </w:p>
        </w:tc>
        <w:tc>
          <w:tcPr>
            <w:tcW w:w="726" w:type="pct"/>
          </w:tcPr>
          <w:p w:rsidR="00CE45A7" w:rsidRPr="0031184F" w:rsidRDefault="00CE45A7" w:rsidP="00CE45A7">
            <w:pPr>
              <w:pStyle w:val="TableColumnHeading"/>
              <w:jc w:val="center"/>
              <w:rPr>
                <w:b/>
                <w:sz w:val="18"/>
                <w:szCs w:val="18"/>
              </w:rPr>
            </w:pPr>
          </w:p>
        </w:tc>
        <w:tc>
          <w:tcPr>
            <w:tcW w:w="806" w:type="pct"/>
          </w:tcPr>
          <w:p w:rsidR="00CE45A7" w:rsidRPr="0031184F" w:rsidRDefault="00CE45A7" w:rsidP="00CE45A7">
            <w:pPr>
              <w:pStyle w:val="TableColumnHeading"/>
              <w:jc w:val="center"/>
              <w:rPr>
                <w:b/>
                <w:sz w:val="18"/>
                <w:szCs w:val="18"/>
              </w:rPr>
            </w:pPr>
          </w:p>
        </w:tc>
        <w:tc>
          <w:tcPr>
            <w:tcW w:w="646" w:type="pct"/>
          </w:tcPr>
          <w:p w:rsidR="00CE45A7" w:rsidRPr="0031184F" w:rsidRDefault="00CE45A7" w:rsidP="00CE45A7">
            <w:pPr>
              <w:pStyle w:val="TableColumnHeading"/>
              <w:jc w:val="center"/>
              <w:rPr>
                <w:b/>
                <w:sz w:val="18"/>
                <w:szCs w:val="18"/>
              </w:rPr>
            </w:pPr>
          </w:p>
        </w:tc>
      </w:tr>
      <w:tr w:rsidR="00CE45A7" w:rsidRPr="0031184F" w:rsidTr="00CE45A7">
        <w:tc>
          <w:tcPr>
            <w:tcW w:w="1452" w:type="pct"/>
          </w:tcPr>
          <w:p w:rsidR="00CE45A7" w:rsidRPr="0031184F" w:rsidRDefault="00CE45A7" w:rsidP="00CE45A7">
            <w:pPr>
              <w:pStyle w:val="TableBodyText"/>
              <w:ind w:left="142" w:hanging="136"/>
              <w:jc w:val="left"/>
              <w:rPr>
                <w:sz w:val="18"/>
                <w:szCs w:val="18"/>
              </w:rPr>
            </w:pPr>
            <w:r w:rsidRPr="0031184F">
              <w:rPr>
                <w:sz w:val="18"/>
                <w:szCs w:val="18"/>
              </w:rPr>
              <w:t>Public hospitals</w:t>
            </w:r>
          </w:p>
        </w:tc>
        <w:tc>
          <w:tcPr>
            <w:tcW w:w="645"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726" w:type="pct"/>
          </w:tcPr>
          <w:p w:rsidR="00CE45A7" w:rsidRPr="0031184F" w:rsidRDefault="00CE45A7" w:rsidP="00CE45A7">
            <w:pPr>
              <w:pStyle w:val="TableBodyText"/>
              <w:jc w:val="center"/>
              <w:rPr>
                <w:sz w:val="18"/>
                <w:szCs w:val="18"/>
              </w:rPr>
            </w:pPr>
            <w:r w:rsidRPr="0031184F">
              <w:rPr>
                <w:sz w:val="18"/>
                <w:szCs w:val="18"/>
              </w:rPr>
              <w:t>x</w:t>
            </w:r>
          </w:p>
        </w:tc>
        <w:tc>
          <w:tcPr>
            <w:tcW w:w="726" w:type="pct"/>
          </w:tcPr>
          <w:p w:rsidR="00CE45A7" w:rsidRPr="0031184F" w:rsidRDefault="00CE45A7" w:rsidP="00CE45A7">
            <w:pPr>
              <w:pStyle w:val="TableBodyText"/>
              <w:jc w:val="center"/>
              <w:rPr>
                <w:sz w:val="18"/>
                <w:szCs w:val="18"/>
              </w:rPr>
            </w:pPr>
            <w:r w:rsidRPr="0031184F">
              <w:rPr>
                <w:sz w:val="18"/>
                <w:szCs w:val="18"/>
              </w:rPr>
              <w:t>x</w:t>
            </w:r>
          </w:p>
        </w:tc>
        <w:tc>
          <w:tcPr>
            <w:tcW w:w="80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646" w:type="pct"/>
          </w:tcPr>
          <w:p w:rsidR="00CE45A7" w:rsidRPr="0031184F" w:rsidRDefault="00CE45A7" w:rsidP="00CE45A7">
            <w:pPr>
              <w:pStyle w:val="TableBodyText"/>
              <w:jc w:val="center"/>
              <w:rPr>
                <w:sz w:val="18"/>
                <w:szCs w:val="18"/>
              </w:rPr>
            </w:pPr>
            <w:r w:rsidRPr="0031184F">
              <w:rPr>
                <w:sz w:val="18"/>
                <w:szCs w:val="18"/>
              </w:rPr>
              <w:t>x</w:t>
            </w:r>
          </w:p>
        </w:tc>
      </w:tr>
      <w:tr w:rsidR="00CE45A7" w:rsidRPr="0031184F" w:rsidTr="00CE45A7">
        <w:tc>
          <w:tcPr>
            <w:tcW w:w="1452" w:type="pct"/>
          </w:tcPr>
          <w:p w:rsidR="00CE45A7" w:rsidRPr="0031184F" w:rsidRDefault="00CE45A7" w:rsidP="00CE45A7">
            <w:pPr>
              <w:pStyle w:val="TableBodyText"/>
              <w:ind w:left="142" w:hanging="136"/>
              <w:jc w:val="left"/>
              <w:rPr>
                <w:sz w:val="18"/>
                <w:szCs w:val="18"/>
              </w:rPr>
            </w:pPr>
            <w:r w:rsidRPr="0031184F">
              <w:rPr>
                <w:sz w:val="18"/>
                <w:szCs w:val="18"/>
              </w:rPr>
              <w:t>Maternity services</w:t>
            </w:r>
          </w:p>
        </w:tc>
        <w:tc>
          <w:tcPr>
            <w:tcW w:w="645" w:type="pct"/>
          </w:tcPr>
          <w:p w:rsidR="00CE45A7" w:rsidRPr="0031184F" w:rsidRDefault="00CE45A7" w:rsidP="00CE45A7">
            <w:pPr>
              <w:pStyle w:val="TableBodyText"/>
              <w:jc w:val="center"/>
              <w:rPr>
                <w:sz w:val="18"/>
                <w:szCs w:val="18"/>
              </w:rPr>
            </w:pPr>
            <w:r w:rsidRPr="0031184F">
              <w:rPr>
                <w:sz w:val="18"/>
                <w:szCs w:val="18"/>
              </w:rPr>
              <w:t>x</w:t>
            </w:r>
          </w:p>
        </w:tc>
        <w:tc>
          <w:tcPr>
            <w:tcW w:w="72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726" w:type="pct"/>
          </w:tcPr>
          <w:p w:rsidR="00CE45A7" w:rsidRPr="0031184F" w:rsidRDefault="00CE45A7" w:rsidP="00CE45A7">
            <w:pPr>
              <w:pStyle w:val="TableBodyText"/>
              <w:jc w:val="center"/>
              <w:rPr>
                <w:sz w:val="18"/>
                <w:szCs w:val="18"/>
              </w:rPr>
            </w:pPr>
            <w:r w:rsidRPr="0031184F">
              <w:rPr>
                <w:sz w:val="18"/>
                <w:szCs w:val="18"/>
              </w:rPr>
              <w:t>x</w:t>
            </w:r>
          </w:p>
        </w:tc>
        <w:tc>
          <w:tcPr>
            <w:tcW w:w="806" w:type="pct"/>
          </w:tcPr>
          <w:p w:rsidR="00CE45A7" w:rsidRPr="0031184F" w:rsidRDefault="00CE45A7" w:rsidP="00CE45A7">
            <w:pPr>
              <w:pStyle w:val="TableBodyText"/>
              <w:jc w:val="center"/>
              <w:rPr>
                <w:sz w:val="18"/>
                <w:szCs w:val="18"/>
              </w:rPr>
            </w:pPr>
            <w:r w:rsidRPr="0031184F">
              <w:rPr>
                <w:sz w:val="18"/>
                <w:szCs w:val="18"/>
              </w:rPr>
              <w:t>x</w:t>
            </w:r>
          </w:p>
        </w:tc>
        <w:tc>
          <w:tcPr>
            <w:tcW w:w="646" w:type="pct"/>
          </w:tcPr>
          <w:p w:rsidR="00CE45A7" w:rsidRPr="0031184F" w:rsidRDefault="00CE45A7" w:rsidP="00CE45A7">
            <w:pPr>
              <w:pStyle w:val="TableBodyText"/>
              <w:jc w:val="center"/>
              <w:rPr>
                <w:sz w:val="18"/>
                <w:szCs w:val="18"/>
              </w:rPr>
            </w:pPr>
            <w:r w:rsidRPr="0031184F">
              <w:rPr>
                <w:sz w:val="18"/>
                <w:szCs w:val="18"/>
              </w:rPr>
              <w:t>x</w:t>
            </w:r>
          </w:p>
        </w:tc>
      </w:tr>
      <w:tr w:rsidR="00CE45A7" w:rsidRPr="0031184F" w:rsidTr="00CE45A7">
        <w:tc>
          <w:tcPr>
            <w:tcW w:w="1452" w:type="pct"/>
          </w:tcPr>
          <w:p w:rsidR="00CE45A7" w:rsidRPr="0031184F" w:rsidRDefault="00CE45A7" w:rsidP="00CE45A7">
            <w:pPr>
              <w:pStyle w:val="TableBodyText"/>
              <w:ind w:left="142" w:hanging="136"/>
              <w:jc w:val="left"/>
              <w:rPr>
                <w:sz w:val="18"/>
                <w:szCs w:val="18"/>
              </w:rPr>
            </w:pPr>
            <w:r w:rsidRPr="0031184F">
              <w:rPr>
                <w:sz w:val="18"/>
                <w:szCs w:val="18"/>
              </w:rPr>
              <w:t>Primary and community health</w:t>
            </w:r>
          </w:p>
        </w:tc>
        <w:tc>
          <w:tcPr>
            <w:tcW w:w="645"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72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72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80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646" w:type="pct"/>
          </w:tcPr>
          <w:p w:rsidR="00CE45A7" w:rsidRPr="0031184F" w:rsidRDefault="00CE45A7" w:rsidP="00CE45A7">
            <w:pPr>
              <w:pStyle w:val="TableBodyText"/>
              <w:jc w:val="center"/>
              <w:rPr>
                <w:sz w:val="18"/>
                <w:szCs w:val="18"/>
              </w:rPr>
            </w:pPr>
            <w:r w:rsidRPr="0031184F">
              <w:rPr>
                <w:sz w:val="18"/>
                <w:szCs w:val="18"/>
              </w:rPr>
              <w:t>x</w:t>
            </w:r>
          </w:p>
        </w:tc>
      </w:tr>
      <w:tr w:rsidR="00CE45A7" w:rsidRPr="0031184F" w:rsidTr="00CE45A7">
        <w:tc>
          <w:tcPr>
            <w:tcW w:w="1452" w:type="pct"/>
          </w:tcPr>
          <w:p w:rsidR="00CE45A7" w:rsidRPr="0031184F" w:rsidRDefault="00CE45A7" w:rsidP="00CE45A7">
            <w:pPr>
              <w:pStyle w:val="TableBodyText"/>
              <w:ind w:left="142" w:hanging="136"/>
              <w:jc w:val="left"/>
              <w:rPr>
                <w:sz w:val="18"/>
                <w:szCs w:val="18"/>
              </w:rPr>
            </w:pPr>
            <w:r w:rsidRPr="0031184F">
              <w:rPr>
                <w:sz w:val="18"/>
                <w:szCs w:val="18"/>
              </w:rPr>
              <w:t>Mental health management</w:t>
            </w:r>
          </w:p>
        </w:tc>
        <w:tc>
          <w:tcPr>
            <w:tcW w:w="645"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72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72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806" w:type="pct"/>
          </w:tcPr>
          <w:p w:rsidR="00CE45A7" w:rsidRPr="0031184F" w:rsidRDefault="00CE45A7" w:rsidP="00CE45A7">
            <w:pPr>
              <w:pStyle w:val="TableBodyText"/>
              <w:jc w:val="center"/>
              <w:rPr>
                <w:sz w:val="18"/>
                <w:szCs w:val="18"/>
              </w:rPr>
            </w:pPr>
            <w:r w:rsidRPr="0031184F">
              <w:rPr>
                <w:sz w:val="18"/>
                <w:szCs w:val="18"/>
              </w:rPr>
              <w:t>x</w:t>
            </w:r>
          </w:p>
        </w:tc>
        <w:tc>
          <w:tcPr>
            <w:tcW w:w="646" w:type="pct"/>
          </w:tcPr>
          <w:p w:rsidR="00CE45A7" w:rsidRPr="0031184F" w:rsidRDefault="00CE45A7" w:rsidP="00CE45A7">
            <w:pPr>
              <w:pStyle w:val="TableBodyText"/>
              <w:jc w:val="center"/>
              <w:rPr>
                <w:sz w:val="18"/>
                <w:szCs w:val="18"/>
              </w:rPr>
            </w:pPr>
            <w:r w:rsidRPr="0031184F">
              <w:rPr>
                <w:sz w:val="18"/>
                <w:szCs w:val="18"/>
              </w:rPr>
              <w:t>x</w:t>
            </w:r>
          </w:p>
        </w:tc>
      </w:tr>
      <w:tr w:rsidR="00CE45A7" w:rsidRPr="0031184F" w:rsidTr="00CE45A7">
        <w:tc>
          <w:tcPr>
            <w:tcW w:w="1452" w:type="pct"/>
          </w:tcPr>
          <w:p w:rsidR="00CE45A7" w:rsidRPr="0031184F" w:rsidRDefault="00CE45A7" w:rsidP="00CE45A7">
            <w:pPr>
              <w:pStyle w:val="TableColumnHeading"/>
              <w:ind w:left="142" w:hanging="136"/>
              <w:jc w:val="left"/>
              <w:rPr>
                <w:sz w:val="18"/>
                <w:szCs w:val="18"/>
              </w:rPr>
            </w:pPr>
            <w:r w:rsidRPr="0031184F">
              <w:rPr>
                <w:sz w:val="18"/>
                <w:szCs w:val="18"/>
              </w:rPr>
              <w:t>Community services</w:t>
            </w:r>
          </w:p>
        </w:tc>
        <w:tc>
          <w:tcPr>
            <w:tcW w:w="645" w:type="pct"/>
          </w:tcPr>
          <w:p w:rsidR="00CE45A7" w:rsidRPr="0031184F" w:rsidRDefault="00CE45A7" w:rsidP="00CE45A7">
            <w:pPr>
              <w:pStyle w:val="TableColumnHeading"/>
              <w:jc w:val="center"/>
              <w:rPr>
                <w:b/>
                <w:sz w:val="18"/>
                <w:szCs w:val="18"/>
              </w:rPr>
            </w:pPr>
          </w:p>
        </w:tc>
        <w:tc>
          <w:tcPr>
            <w:tcW w:w="726" w:type="pct"/>
          </w:tcPr>
          <w:p w:rsidR="00CE45A7" w:rsidRPr="0031184F" w:rsidRDefault="00CE45A7" w:rsidP="00CE45A7">
            <w:pPr>
              <w:pStyle w:val="TableColumnHeading"/>
              <w:jc w:val="center"/>
              <w:rPr>
                <w:b/>
                <w:sz w:val="18"/>
                <w:szCs w:val="18"/>
              </w:rPr>
            </w:pPr>
          </w:p>
        </w:tc>
        <w:tc>
          <w:tcPr>
            <w:tcW w:w="726" w:type="pct"/>
          </w:tcPr>
          <w:p w:rsidR="00CE45A7" w:rsidRPr="0031184F" w:rsidRDefault="00CE45A7" w:rsidP="00CE45A7">
            <w:pPr>
              <w:pStyle w:val="TableColumnHeading"/>
              <w:jc w:val="center"/>
              <w:rPr>
                <w:b/>
                <w:sz w:val="18"/>
                <w:szCs w:val="18"/>
              </w:rPr>
            </w:pPr>
          </w:p>
        </w:tc>
        <w:tc>
          <w:tcPr>
            <w:tcW w:w="806" w:type="pct"/>
          </w:tcPr>
          <w:p w:rsidR="00CE45A7" w:rsidRPr="0031184F" w:rsidRDefault="00CE45A7" w:rsidP="00CE45A7">
            <w:pPr>
              <w:pStyle w:val="TableColumnHeading"/>
              <w:jc w:val="center"/>
              <w:rPr>
                <w:b/>
                <w:sz w:val="18"/>
                <w:szCs w:val="18"/>
              </w:rPr>
            </w:pPr>
          </w:p>
        </w:tc>
        <w:tc>
          <w:tcPr>
            <w:tcW w:w="646" w:type="pct"/>
          </w:tcPr>
          <w:p w:rsidR="00CE45A7" w:rsidRPr="0031184F" w:rsidRDefault="00CE45A7" w:rsidP="00CE45A7">
            <w:pPr>
              <w:pStyle w:val="TableColumnHeading"/>
              <w:jc w:val="center"/>
              <w:rPr>
                <w:b/>
                <w:sz w:val="18"/>
                <w:szCs w:val="18"/>
              </w:rPr>
            </w:pPr>
          </w:p>
        </w:tc>
      </w:tr>
      <w:tr w:rsidR="00CE45A7" w:rsidRPr="0031184F" w:rsidTr="00CE45A7">
        <w:tc>
          <w:tcPr>
            <w:tcW w:w="1452" w:type="pct"/>
          </w:tcPr>
          <w:p w:rsidR="00CE45A7" w:rsidRPr="0031184F" w:rsidRDefault="00CE45A7" w:rsidP="00CE45A7">
            <w:pPr>
              <w:pStyle w:val="TableBodyText"/>
              <w:ind w:left="142" w:hanging="136"/>
              <w:jc w:val="left"/>
              <w:rPr>
                <w:sz w:val="18"/>
                <w:szCs w:val="18"/>
              </w:rPr>
            </w:pPr>
            <w:r w:rsidRPr="0031184F">
              <w:rPr>
                <w:sz w:val="18"/>
                <w:szCs w:val="18"/>
              </w:rPr>
              <w:t>Aged care services</w:t>
            </w:r>
          </w:p>
        </w:tc>
        <w:tc>
          <w:tcPr>
            <w:tcW w:w="645"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726" w:type="pct"/>
          </w:tcPr>
          <w:p w:rsidR="00CE45A7" w:rsidRPr="0031184F" w:rsidRDefault="00CE45A7" w:rsidP="00CE45A7">
            <w:pPr>
              <w:pStyle w:val="TableBodyText"/>
              <w:jc w:val="center"/>
              <w:rPr>
                <w:sz w:val="18"/>
                <w:szCs w:val="18"/>
              </w:rPr>
            </w:pPr>
            <w:r w:rsidRPr="0031184F">
              <w:rPr>
                <w:sz w:val="18"/>
                <w:szCs w:val="18"/>
              </w:rPr>
              <w:t>x</w:t>
            </w:r>
          </w:p>
        </w:tc>
        <w:tc>
          <w:tcPr>
            <w:tcW w:w="72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80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646" w:type="pct"/>
          </w:tcPr>
          <w:p w:rsidR="00CE45A7" w:rsidRPr="0031184F" w:rsidRDefault="00CE45A7" w:rsidP="00CE45A7">
            <w:pPr>
              <w:pStyle w:val="TableBodyText"/>
              <w:jc w:val="center"/>
              <w:rPr>
                <w:sz w:val="18"/>
                <w:szCs w:val="18"/>
              </w:rPr>
            </w:pPr>
            <w:r w:rsidRPr="0031184F">
              <w:rPr>
                <w:sz w:val="18"/>
                <w:szCs w:val="18"/>
              </w:rPr>
              <w:sym w:font="Wingdings" w:char="F0FC"/>
            </w:r>
          </w:p>
        </w:tc>
      </w:tr>
      <w:tr w:rsidR="00CE45A7" w:rsidRPr="0031184F" w:rsidTr="00CE45A7">
        <w:tc>
          <w:tcPr>
            <w:tcW w:w="1452" w:type="pct"/>
          </w:tcPr>
          <w:p w:rsidR="00CE45A7" w:rsidRPr="0031184F" w:rsidRDefault="00CE45A7" w:rsidP="00CE45A7">
            <w:pPr>
              <w:pStyle w:val="TableBodyText"/>
              <w:ind w:left="142" w:hanging="136"/>
              <w:jc w:val="left"/>
              <w:rPr>
                <w:sz w:val="18"/>
                <w:szCs w:val="18"/>
              </w:rPr>
            </w:pPr>
            <w:r w:rsidRPr="0031184F">
              <w:rPr>
                <w:sz w:val="18"/>
                <w:szCs w:val="18"/>
              </w:rPr>
              <w:t>Services for people with disability</w:t>
            </w:r>
          </w:p>
        </w:tc>
        <w:tc>
          <w:tcPr>
            <w:tcW w:w="645"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726" w:type="pct"/>
          </w:tcPr>
          <w:p w:rsidR="00CE45A7" w:rsidRPr="0031184F" w:rsidRDefault="00CE45A7" w:rsidP="00CE45A7">
            <w:pPr>
              <w:pStyle w:val="TableBodyText"/>
              <w:jc w:val="center"/>
              <w:rPr>
                <w:sz w:val="18"/>
                <w:szCs w:val="18"/>
              </w:rPr>
            </w:pPr>
            <w:r w:rsidRPr="0031184F">
              <w:rPr>
                <w:sz w:val="18"/>
                <w:szCs w:val="18"/>
              </w:rPr>
              <w:t>x</w:t>
            </w:r>
          </w:p>
        </w:tc>
        <w:tc>
          <w:tcPr>
            <w:tcW w:w="72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80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646" w:type="pct"/>
          </w:tcPr>
          <w:p w:rsidR="00CE45A7" w:rsidRPr="0031184F" w:rsidRDefault="00CE45A7" w:rsidP="00CE45A7">
            <w:pPr>
              <w:pStyle w:val="TableBodyText"/>
              <w:jc w:val="center"/>
              <w:rPr>
                <w:sz w:val="18"/>
                <w:szCs w:val="18"/>
              </w:rPr>
            </w:pPr>
            <w:r w:rsidRPr="0031184F">
              <w:rPr>
                <w:sz w:val="18"/>
                <w:szCs w:val="18"/>
              </w:rPr>
              <w:t>x</w:t>
            </w:r>
          </w:p>
        </w:tc>
      </w:tr>
      <w:tr w:rsidR="00CE45A7" w:rsidRPr="0031184F" w:rsidTr="00CE45A7">
        <w:tc>
          <w:tcPr>
            <w:tcW w:w="1452" w:type="pct"/>
          </w:tcPr>
          <w:p w:rsidR="00CE45A7" w:rsidRPr="0031184F" w:rsidRDefault="00CE45A7" w:rsidP="00CE45A7">
            <w:pPr>
              <w:pStyle w:val="TableBodyText"/>
              <w:ind w:left="142" w:hanging="136"/>
              <w:jc w:val="left"/>
              <w:rPr>
                <w:sz w:val="18"/>
                <w:szCs w:val="18"/>
              </w:rPr>
            </w:pPr>
            <w:r w:rsidRPr="0031184F">
              <w:rPr>
                <w:sz w:val="18"/>
                <w:szCs w:val="18"/>
              </w:rPr>
              <w:t xml:space="preserve">Child protection and </w:t>
            </w:r>
            <w:r w:rsidRPr="0031184F">
              <w:rPr>
                <w:sz w:val="18"/>
                <w:szCs w:val="18"/>
              </w:rPr>
              <w:br/>
              <w:t>out-of-home care</w:t>
            </w:r>
          </w:p>
        </w:tc>
        <w:tc>
          <w:tcPr>
            <w:tcW w:w="645"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726" w:type="pct"/>
          </w:tcPr>
          <w:p w:rsidR="00CE45A7" w:rsidRPr="0031184F" w:rsidRDefault="00CE45A7" w:rsidP="00CE45A7">
            <w:pPr>
              <w:pStyle w:val="TableBodyText"/>
              <w:jc w:val="center"/>
              <w:rPr>
                <w:sz w:val="18"/>
                <w:szCs w:val="18"/>
              </w:rPr>
            </w:pPr>
            <w:r w:rsidRPr="0031184F">
              <w:rPr>
                <w:sz w:val="18"/>
                <w:szCs w:val="18"/>
              </w:rPr>
              <w:t>x</w:t>
            </w:r>
          </w:p>
        </w:tc>
        <w:tc>
          <w:tcPr>
            <w:tcW w:w="726" w:type="pct"/>
          </w:tcPr>
          <w:p w:rsidR="00CE45A7" w:rsidRPr="0031184F" w:rsidRDefault="00CE45A7" w:rsidP="00CE45A7">
            <w:pPr>
              <w:pStyle w:val="TableBodyText"/>
              <w:jc w:val="center"/>
              <w:rPr>
                <w:sz w:val="18"/>
                <w:szCs w:val="18"/>
              </w:rPr>
            </w:pPr>
            <w:r w:rsidRPr="0031184F">
              <w:rPr>
                <w:sz w:val="18"/>
                <w:szCs w:val="18"/>
              </w:rPr>
              <w:t>x</w:t>
            </w:r>
          </w:p>
        </w:tc>
        <w:tc>
          <w:tcPr>
            <w:tcW w:w="80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646" w:type="pct"/>
          </w:tcPr>
          <w:p w:rsidR="00CE45A7" w:rsidRPr="0031184F" w:rsidRDefault="00CE45A7" w:rsidP="00CE45A7">
            <w:pPr>
              <w:pStyle w:val="TableBodyText"/>
              <w:jc w:val="center"/>
              <w:rPr>
                <w:sz w:val="18"/>
                <w:szCs w:val="18"/>
              </w:rPr>
            </w:pPr>
            <w:r w:rsidRPr="0031184F">
              <w:rPr>
                <w:sz w:val="18"/>
                <w:szCs w:val="18"/>
              </w:rPr>
              <w:t>x</w:t>
            </w:r>
          </w:p>
        </w:tc>
      </w:tr>
      <w:tr w:rsidR="00CE45A7" w:rsidRPr="0031184F" w:rsidTr="00CE45A7">
        <w:tc>
          <w:tcPr>
            <w:tcW w:w="1452" w:type="pct"/>
          </w:tcPr>
          <w:p w:rsidR="00CE45A7" w:rsidRPr="0031184F" w:rsidRDefault="00CE45A7" w:rsidP="00CE45A7">
            <w:pPr>
              <w:pStyle w:val="TableBodyText"/>
              <w:ind w:left="142" w:hanging="136"/>
              <w:jc w:val="left"/>
              <w:rPr>
                <w:sz w:val="18"/>
                <w:szCs w:val="18"/>
              </w:rPr>
            </w:pPr>
            <w:r w:rsidRPr="0031184F">
              <w:rPr>
                <w:sz w:val="18"/>
                <w:szCs w:val="18"/>
              </w:rPr>
              <w:t>Youth justice services</w:t>
            </w:r>
          </w:p>
        </w:tc>
        <w:tc>
          <w:tcPr>
            <w:tcW w:w="645"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726" w:type="pct"/>
          </w:tcPr>
          <w:p w:rsidR="00CE45A7" w:rsidRPr="0031184F" w:rsidRDefault="00CE45A7" w:rsidP="00CE45A7">
            <w:pPr>
              <w:pStyle w:val="TableBodyText"/>
              <w:jc w:val="center"/>
              <w:rPr>
                <w:sz w:val="18"/>
                <w:szCs w:val="18"/>
              </w:rPr>
            </w:pPr>
            <w:r w:rsidRPr="0031184F">
              <w:rPr>
                <w:sz w:val="18"/>
                <w:szCs w:val="18"/>
              </w:rPr>
              <w:t>x</w:t>
            </w:r>
          </w:p>
        </w:tc>
        <w:tc>
          <w:tcPr>
            <w:tcW w:w="726" w:type="pct"/>
          </w:tcPr>
          <w:p w:rsidR="00CE45A7" w:rsidRPr="0031184F" w:rsidRDefault="00CE45A7" w:rsidP="00CE45A7">
            <w:pPr>
              <w:pStyle w:val="TableBodyText"/>
              <w:jc w:val="center"/>
              <w:rPr>
                <w:sz w:val="18"/>
                <w:szCs w:val="18"/>
              </w:rPr>
            </w:pPr>
            <w:r w:rsidRPr="0031184F">
              <w:rPr>
                <w:sz w:val="18"/>
                <w:szCs w:val="18"/>
              </w:rPr>
              <w:t>x</w:t>
            </w:r>
          </w:p>
        </w:tc>
        <w:tc>
          <w:tcPr>
            <w:tcW w:w="80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646" w:type="pct"/>
          </w:tcPr>
          <w:p w:rsidR="00CE45A7" w:rsidRPr="0031184F" w:rsidRDefault="00CE45A7" w:rsidP="00CE45A7">
            <w:pPr>
              <w:pStyle w:val="TableBodyText"/>
              <w:jc w:val="center"/>
              <w:rPr>
                <w:sz w:val="18"/>
                <w:szCs w:val="18"/>
              </w:rPr>
            </w:pPr>
            <w:r w:rsidRPr="0031184F">
              <w:rPr>
                <w:sz w:val="18"/>
                <w:szCs w:val="18"/>
              </w:rPr>
              <w:t>x</w:t>
            </w:r>
          </w:p>
        </w:tc>
      </w:tr>
      <w:tr w:rsidR="00CE45A7" w:rsidRPr="0031184F" w:rsidTr="00CE45A7">
        <w:tc>
          <w:tcPr>
            <w:tcW w:w="1452" w:type="pct"/>
          </w:tcPr>
          <w:p w:rsidR="00CE45A7" w:rsidRPr="0031184F" w:rsidRDefault="00CE45A7" w:rsidP="00CE45A7">
            <w:pPr>
              <w:pStyle w:val="TableColumnHeading"/>
              <w:ind w:left="142" w:hanging="136"/>
              <w:jc w:val="left"/>
              <w:rPr>
                <w:sz w:val="18"/>
                <w:szCs w:val="18"/>
              </w:rPr>
            </w:pPr>
            <w:r w:rsidRPr="0031184F">
              <w:rPr>
                <w:sz w:val="18"/>
                <w:szCs w:val="18"/>
              </w:rPr>
              <w:t>Housing and homelessness</w:t>
            </w:r>
          </w:p>
        </w:tc>
        <w:tc>
          <w:tcPr>
            <w:tcW w:w="645" w:type="pct"/>
          </w:tcPr>
          <w:p w:rsidR="00CE45A7" w:rsidRPr="0031184F" w:rsidRDefault="00CE45A7" w:rsidP="00CE45A7">
            <w:pPr>
              <w:pStyle w:val="TableBodyText"/>
              <w:jc w:val="center"/>
              <w:rPr>
                <w:sz w:val="18"/>
                <w:szCs w:val="18"/>
              </w:rPr>
            </w:pPr>
          </w:p>
        </w:tc>
        <w:tc>
          <w:tcPr>
            <w:tcW w:w="726" w:type="pct"/>
          </w:tcPr>
          <w:p w:rsidR="00CE45A7" w:rsidRPr="0031184F" w:rsidRDefault="00CE45A7" w:rsidP="00CE45A7">
            <w:pPr>
              <w:pStyle w:val="TableBodyText"/>
              <w:jc w:val="center"/>
              <w:rPr>
                <w:sz w:val="18"/>
                <w:szCs w:val="18"/>
              </w:rPr>
            </w:pPr>
          </w:p>
        </w:tc>
        <w:tc>
          <w:tcPr>
            <w:tcW w:w="726" w:type="pct"/>
          </w:tcPr>
          <w:p w:rsidR="00CE45A7" w:rsidRPr="0031184F" w:rsidRDefault="00CE45A7" w:rsidP="00CE45A7">
            <w:pPr>
              <w:pStyle w:val="TableBodyText"/>
              <w:jc w:val="center"/>
              <w:rPr>
                <w:sz w:val="18"/>
                <w:szCs w:val="18"/>
              </w:rPr>
            </w:pPr>
          </w:p>
        </w:tc>
        <w:tc>
          <w:tcPr>
            <w:tcW w:w="806" w:type="pct"/>
          </w:tcPr>
          <w:p w:rsidR="00CE45A7" w:rsidRPr="0031184F" w:rsidRDefault="00CE45A7" w:rsidP="00CE45A7">
            <w:pPr>
              <w:pStyle w:val="TableBodyText"/>
              <w:jc w:val="center"/>
              <w:rPr>
                <w:sz w:val="18"/>
                <w:szCs w:val="18"/>
              </w:rPr>
            </w:pPr>
          </w:p>
        </w:tc>
        <w:tc>
          <w:tcPr>
            <w:tcW w:w="646" w:type="pct"/>
          </w:tcPr>
          <w:p w:rsidR="00CE45A7" w:rsidRPr="0031184F" w:rsidRDefault="00CE45A7" w:rsidP="00CE45A7">
            <w:pPr>
              <w:pStyle w:val="TableBodyText"/>
              <w:jc w:val="center"/>
              <w:rPr>
                <w:sz w:val="18"/>
                <w:szCs w:val="18"/>
              </w:rPr>
            </w:pPr>
          </w:p>
        </w:tc>
      </w:tr>
      <w:tr w:rsidR="00CE45A7" w:rsidRPr="0031184F" w:rsidTr="00CE45A7">
        <w:tc>
          <w:tcPr>
            <w:tcW w:w="1452" w:type="pct"/>
          </w:tcPr>
          <w:p w:rsidR="00CE45A7" w:rsidRPr="0031184F" w:rsidRDefault="00CE45A7" w:rsidP="00CE45A7">
            <w:pPr>
              <w:pStyle w:val="TableBodyText"/>
              <w:ind w:left="142" w:hanging="136"/>
              <w:jc w:val="left"/>
              <w:rPr>
                <w:sz w:val="18"/>
                <w:szCs w:val="18"/>
              </w:rPr>
            </w:pPr>
            <w:r w:rsidRPr="0031184F">
              <w:rPr>
                <w:sz w:val="18"/>
                <w:szCs w:val="18"/>
              </w:rPr>
              <w:t>Social housing</w:t>
            </w:r>
          </w:p>
        </w:tc>
        <w:tc>
          <w:tcPr>
            <w:tcW w:w="645"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72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72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806" w:type="pct"/>
          </w:tcPr>
          <w:p w:rsidR="00CE45A7" w:rsidRPr="0031184F" w:rsidRDefault="00CE45A7" w:rsidP="00CE45A7">
            <w:pPr>
              <w:pStyle w:val="TableBodyText"/>
              <w:jc w:val="center"/>
              <w:rPr>
                <w:sz w:val="18"/>
                <w:szCs w:val="18"/>
              </w:rPr>
            </w:pPr>
            <w:r w:rsidRPr="0031184F">
              <w:rPr>
                <w:sz w:val="18"/>
                <w:szCs w:val="18"/>
              </w:rPr>
              <w:sym w:font="Wingdings" w:char="F0FC"/>
            </w:r>
          </w:p>
        </w:tc>
        <w:tc>
          <w:tcPr>
            <w:tcW w:w="646" w:type="pct"/>
          </w:tcPr>
          <w:p w:rsidR="00CE45A7" w:rsidRPr="0031184F" w:rsidRDefault="00CE45A7" w:rsidP="00CE45A7">
            <w:pPr>
              <w:pStyle w:val="TableBodyText"/>
              <w:jc w:val="center"/>
              <w:rPr>
                <w:sz w:val="18"/>
                <w:szCs w:val="18"/>
              </w:rPr>
            </w:pPr>
            <w:r w:rsidRPr="0031184F">
              <w:rPr>
                <w:sz w:val="18"/>
                <w:szCs w:val="18"/>
              </w:rPr>
              <w:sym w:font="Wingdings" w:char="F0FC"/>
            </w:r>
          </w:p>
        </w:tc>
      </w:tr>
      <w:tr w:rsidR="00CE45A7" w:rsidRPr="0031184F" w:rsidTr="00CE45A7">
        <w:tc>
          <w:tcPr>
            <w:tcW w:w="1452" w:type="pct"/>
            <w:tcBorders>
              <w:bottom w:val="single" w:sz="6" w:space="0" w:color="auto"/>
            </w:tcBorders>
          </w:tcPr>
          <w:p w:rsidR="00CE45A7" w:rsidRPr="0031184F" w:rsidRDefault="00CE45A7" w:rsidP="00CE45A7">
            <w:pPr>
              <w:pStyle w:val="TableBodyText"/>
              <w:ind w:left="142" w:hanging="136"/>
              <w:jc w:val="left"/>
              <w:rPr>
                <w:sz w:val="18"/>
                <w:szCs w:val="18"/>
              </w:rPr>
            </w:pPr>
            <w:r w:rsidRPr="0031184F">
              <w:rPr>
                <w:sz w:val="18"/>
                <w:szCs w:val="18"/>
              </w:rPr>
              <w:t>Homelessness services</w:t>
            </w:r>
          </w:p>
        </w:tc>
        <w:tc>
          <w:tcPr>
            <w:tcW w:w="645" w:type="pct"/>
            <w:tcBorders>
              <w:bottom w:val="single" w:sz="6" w:space="0" w:color="auto"/>
            </w:tcBorders>
          </w:tcPr>
          <w:p w:rsidR="00CE45A7" w:rsidRPr="0031184F" w:rsidRDefault="00CE45A7" w:rsidP="00CE45A7">
            <w:pPr>
              <w:pStyle w:val="TableBodyText"/>
              <w:jc w:val="center"/>
              <w:rPr>
                <w:sz w:val="18"/>
                <w:szCs w:val="18"/>
              </w:rPr>
            </w:pPr>
            <w:r w:rsidRPr="0031184F">
              <w:rPr>
                <w:sz w:val="18"/>
                <w:szCs w:val="18"/>
              </w:rPr>
              <w:sym w:font="Wingdings" w:char="F0FC"/>
            </w:r>
          </w:p>
        </w:tc>
        <w:tc>
          <w:tcPr>
            <w:tcW w:w="726" w:type="pct"/>
            <w:tcBorders>
              <w:bottom w:val="single" w:sz="6" w:space="0" w:color="auto"/>
            </w:tcBorders>
          </w:tcPr>
          <w:p w:rsidR="00CE45A7" w:rsidRPr="0031184F" w:rsidRDefault="00CE45A7" w:rsidP="00CE45A7">
            <w:pPr>
              <w:pStyle w:val="TableBodyText"/>
              <w:jc w:val="center"/>
              <w:rPr>
                <w:sz w:val="18"/>
                <w:szCs w:val="18"/>
              </w:rPr>
            </w:pPr>
            <w:r w:rsidRPr="0031184F">
              <w:rPr>
                <w:sz w:val="18"/>
                <w:szCs w:val="18"/>
              </w:rPr>
              <w:sym w:font="Wingdings" w:char="F0FC"/>
            </w:r>
          </w:p>
        </w:tc>
        <w:tc>
          <w:tcPr>
            <w:tcW w:w="726" w:type="pct"/>
            <w:tcBorders>
              <w:bottom w:val="single" w:sz="6" w:space="0" w:color="auto"/>
            </w:tcBorders>
          </w:tcPr>
          <w:p w:rsidR="00CE45A7" w:rsidRPr="0031184F" w:rsidRDefault="00CE45A7" w:rsidP="00CE45A7">
            <w:pPr>
              <w:pStyle w:val="TableBodyText"/>
              <w:jc w:val="center"/>
              <w:rPr>
                <w:sz w:val="18"/>
                <w:szCs w:val="18"/>
              </w:rPr>
            </w:pPr>
            <w:r w:rsidRPr="0031184F">
              <w:rPr>
                <w:sz w:val="18"/>
                <w:szCs w:val="18"/>
              </w:rPr>
              <w:sym w:font="Wingdings" w:char="F0FC"/>
            </w:r>
          </w:p>
        </w:tc>
        <w:tc>
          <w:tcPr>
            <w:tcW w:w="806" w:type="pct"/>
            <w:tcBorders>
              <w:bottom w:val="single" w:sz="6" w:space="0" w:color="auto"/>
            </w:tcBorders>
          </w:tcPr>
          <w:p w:rsidR="00CE45A7" w:rsidRPr="0031184F" w:rsidRDefault="00CE45A7" w:rsidP="00CE45A7">
            <w:pPr>
              <w:pStyle w:val="TableBodyText"/>
              <w:jc w:val="center"/>
              <w:rPr>
                <w:sz w:val="18"/>
                <w:szCs w:val="18"/>
              </w:rPr>
            </w:pPr>
            <w:r w:rsidRPr="0031184F">
              <w:rPr>
                <w:sz w:val="18"/>
                <w:szCs w:val="18"/>
              </w:rPr>
              <w:sym w:font="Wingdings" w:char="F0FC"/>
            </w:r>
          </w:p>
        </w:tc>
        <w:tc>
          <w:tcPr>
            <w:tcW w:w="646" w:type="pct"/>
            <w:tcBorders>
              <w:bottom w:val="single" w:sz="6" w:space="0" w:color="auto"/>
            </w:tcBorders>
          </w:tcPr>
          <w:p w:rsidR="00CE45A7" w:rsidRPr="0031184F" w:rsidRDefault="00CE45A7" w:rsidP="00CE45A7">
            <w:pPr>
              <w:pStyle w:val="TableBodyText"/>
              <w:jc w:val="center"/>
              <w:rPr>
                <w:sz w:val="18"/>
                <w:szCs w:val="18"/>
              </w:rPr>
            </w:pPr>
            <w:r w:rsidRPr="0031184F">
              <w:rPr>
                <w:sz w:val="18"/>
                <w:szCs w:val="18"/>
              </w:rPr>
              <w:t>x</w:t>
            </w:r>
          </w:p>
        </w:tc>
      </w:tr>
    </w:tbl>
    <w:p w:rsidR="0018366C" w:rsidRPr="00CE45A7" w:rsidRDefault="0018366C" w:rsidP="00342D92">
      <w:pPr>
        <w:pStyle w:val="Source"/>
      </w:pPr>
      <w:r w:rsidRPr="00CE45A7">
        <w:rPr>
          <w:i/>
        </w:rPr>
        <w:t>Source</w:t>
      </w:r>
      <w:r w:rsidR="00342D92" w:rsidRPr="00CE45A7">
        <w:t>: Chapters 3–17; 2013</w:t>
      </w:r>
      <w:r w:rsidRPr="00CE45A7">
        <w:t xml:space="preserve"> Report, table 2.4, pp. 2.1</w:t>
      </w:r>
      <w:r w:rsidR="00CE45A7" w:rsidRPr="00CE45A7">
        <w:t>6</w:t>
      </w:r>
      <w:r w:rsidRPr="00CE45A7">
        <w:t>.</w:t>
      </w:r>
    </w:p>
    <w:p w:rsidR="00CE45A7" w:rsidRPr="0031184F" w:rsidRDefault="00CE45A7" w:rsidP="00CE45A7">
      <w:pPr>
        <w:pStyle w:val="BodyText"/>
      </w:pPr>
      <w:r w:rsidRPr="0031184F">
        <w:t xml:space="preserve">In this Report, the term ‘Indigenous’ is used to describe Aboriginal and/or Torres Strait Islander people in Australia. While the Steering Committee acknowledges the diversity of Australia’s Indigenous peoples, most of the available data on </w:t>
      </w:r>
      <w:r w:rsidRPr="0031184F">
        <w:lastRenderedPageBreak/>
        <w:t>Indigenous Australians are for Aboriginal and Torres Strait Islander people combined.</w:t>
      </w:r>
    </w:p>
    <w:p w:rsidR="00EE2915" w:rsidRPr="00CE45A7" w:rsidRDefault="00EE2915" w:rsidP="00EE2915">
      <w:pPr>
        <w:pStyle w:val="Heading5"/>
      </w:pPr>
      <w:r w:rsidRPr="00CE45A7">
        <w:t>Data collection issues relating to Indigenous Australians</w:t>
      </w:r>
    </w:p>
    <w:p w:rsidR="00CE45A7" w:rsidRPr="0031184F" w:rsidRDefault="00CE45A7" w:rsidP="00CE45A7">
      <w:pPr>
        <w:pStyle w:val="BodyText"/>
      </w:pPr>
      <w:r w:rsidRPr="0031184F">
        <w:t xml:space="preserve">Many administrative data collections do not have accurate or complete identification of the Indigenous status of their clients. In some instances, the method and level of identification of Indigenous Australians appear to vary across jurisdictions. Further, while many surveys now include an Indigenous identifier, many do not include a sufficiently large sample to provide reliable results for the Indigenous population. </w:t>
      </w:r>
      <w:r>
        <w:t xml:space="preserve">The </w:t>
      </w:r>
      <w:r w:rsidRPr="0031184F">
        <w:rPr>
          <w:iCs/>
        </w:rPr>
        <w:t xml:space="preserve">AIHW (2012) </w:t>
      </w:r>
      <w:r>
        <w:rPr>
          <w:iCs/>
        </w:rPr>
        <w:t xml:space="preserve">has </w:t>
      </w:r>
      <w:r w:rsidRPr="0031184F">
        <w:t>examine</w:t>
      </w:r>
      <w:r>
        <w:t>d</w:t>
      </w:r>
      <w:r w:rsidRPr="0031184F">
        <w:t xml:space="preserve"> the identification of Aboriginal and Torres Strait Islander clients in a number of its community services data collections, by analysing where Indigenous status is missing/not stated and makes a number of recommendations for jurisdictions to improve Indigenous data collection.</w:t>
      </w:r>
    </w:p>
    <w:p w:rsidR="00BD0F4D" w:rsidRPr="0031184F" w:rsidRDefault="00BD0F4D" w:rsidP="00BD0F4D">
      <w:pPr>
        <w:pStyle w:val="BodyText"/>
      </w:pPr>
      <w:r w:rsidRPr="0031184F">
        <w:t xml:space="preserve">National work on improving Indigenous identification is ongoing. </w:t>
      </w:r>
      <w:r>
        <w:t xml:space="preserve">Under Schedule F of the </w:t>
      </w:r>
      <w:r w:rsidRPr="001B2C10">
        <w:rPr>
          <w:i/>
        </w:rPr>
        <w:t>National Indigenous Reform Agreement</w:t>
      </w:r>
      <w:r>
        <w:t xml:space="preserve"> (</w:t>
      </w:r>
      <w:proofErr w:type="spellStart"/>
      <w:r>
        <w:t>NIRA</w:t>
      </w:r>
      <w:proofErr w:type="spellEnd"/>
      <w:r>
        <w:t xml:space="preserve">), the </w:t>
      </w:r>
      <w:r w:rsidRPr="0031184F">
        <w:t xml:space="preserve">ABS and AIHW </w:t>
      </w:r>
      <w:r>
        <w:t xml:space="preserve">are undertaking work on improving Indigenous identification across a range of data collections (COAG 2012). Activities by the ABS and AIHW (both under the </w:t>
      </w:r>
      <w:proofErr w:type="spellStart"/>
      <w:r>
        <w:t>NIRA</w:t>
      </w:r>
      <w:proofErr w:type="spellEnd"/>
      <w:r>
        <w:t xml:space="preserve"> and independently) include:</w:t>
      </w:r>
    </w:p>
    <w:p w:rsidR="00BD0F4D" w:rsidRPr="0031184F" w:rsidRDefault="00BD0F4D" w:rsidP="00BD0F4D">
      <w:pPr>
        <w:pStyle w:val="ListBullet"/>
      </w:pPr>
      <w:r w:rsidRPr="0031184F">
        <w:t>an ongoing program to improve the identification of Indigenous status of clients in Australian, State and Territory governments’ administrative systems. Priority is being given to the improvement of births and deaths statistics in all states and territories, as well as data for hospital separations, community services, education, housing and crime and justice</w:t>
      </w:r>
    </w:p>
    <w:p w:rsidR="00BD0F4D" w:rsidRPr="0031184F" w:rsidRDefault="00BD0F4D" w:rsidP="00BD0F4D">
      <w:pPr>
        <w:pStyle w:val="ListBullet"/>
      </w:pPr>
      <w:r w:rsidRPr="0031184F">
        <w:t>work with other agencies to develop and support national Indigenous information plans, Indigenous performance indicators and Indigenous taskforces on a number of topics</w:t>
      </w:r>
    </w:p>
    <w:p w:rsidR="00BD0F4D" w:rsidRPr="0031184F" w:rsidRDefault="00BD0F4D" w:rsidP="00BD0F4D">
      <w:pPr>
        <w:pStyle w:val="ListBullet"/>
      </w:pPr>
      <w:r w:rsidRPr="0031184F">
        <w:t>improving Indigenous enumeration in the five-yearly Census of Population and Housing, including data for small geographic areas</w:t>
      </w:r>
    </w:p>
    <w:p w:rsidR="00BD0F4D" w:rsidRPr="0031184F" w:rsidRDefault="00BD0F4D" w:rsidP="00BD0F4D">
      <w:pPr>
        <w:pStyle w:val="ListBullet"/>
      </w:pPr>
      <w:r w:rsidRPr="0031184F">
        <w:t>an established cycle of Indigenous-specific surveys as part of the ABS Household Survey Program to provide Indigenous statistics on a three-yearly basis and an annual series of Indigenous labour force estimates</w:t>
      </w:r>
    </w:p>
    <w:p w:rsidR="00BD0F4D" w:rsidRPr="0031184F" w:rsidRDefault="00BD0F4D" w:rsidP="00BD0F4D">
      <w:pPr>
        <w:pStyle w:val="ListBullet"/>
      </w:pPr>
      <w:r w:rsidRPr="0031184F">
        <w:t>producing publications related to improving methods for Indigenous statistics (for example, AIHW 2012).</w:t>
      </w:r>
    </w:p>
    <w:p w:rsidR="00BD0F4D" w:rsidRPr="0031184F" w:rsidRDefault="00BD0F4D" w:rsidP="00BD0F4D">
      <w:pPr>
        <w:pStyle w:val="BodyText"/>
      </w:pPr>
      <w:r w:rsidRPr="0031184F">
        <w:t>The (then) Ministerial Council on Aboriginal and Torres Strait Islander Affairs (</w:t>
      </w:r>
      <w:proofErr w:type="spellStart"/>
      <w:r w:rsidRPr="0031184F">
        <w:t>MCATSIA</w:t>
      </w:r>
      <w:proofErr w:type="spellEnd"/>
      <w:r w:rsidRPr="0031184F">
        <w:t xml:space="preserve">) commissioned work to identify methodological issues in Indigenous data collections, outline how these are being addressed and identify any remaining </w:t>
      </w:r>
      <w:r w:rsidRPr="0031184F">
        <w:lastRenderedPageBreak/>
        <w:t xml:space="preserve">gaps. The findings are presented in </w:t>
      </w:r>
      <w:r w:rsidRPr="0031184F">
        <w:rPr>
          <w:i/>
        </w:rPr>
        <w:t>Population and Diversity: Policy Implications of Emerging Indigenous Demographic Trends</w:t>
      </w:r>
      <w:r w:rsidRPr="0031184F">
        <w:t>, released in mid-2006 by the Centre for Aboriginal Economic Policy Research (</w:t>
      </w:r>
      <w:proofErr w:type="spellStart"/>
      <w:r w:rsidRPr="0031184F">
        <w:t>CAEPR</w:t>
      </w:r>
      <w:proofErr w:type="spellEnd"/>
      <w:r w:rsidRPr="0031184F">
        <w:t xml:space="preserve">) (Taylor 2006). In mid-2007, </w:t>
      </w:r>
      <w:proofErr w:type="spellStart"/>
      <w:r w:rsidRPr="0031184F">
        <w:t>MCATSIA</w:t>
      </w:r>
      <w:proofErr w:type="spellEnd"/>
      <w:r w:rsidRPr="0031184F">
        <w:t xml:space="preserve"> commissioned further work on Indigenous population statistics from </w:t>
      </w:r>
      <w:proofErr w:type="spellStart"/>
      <w:r w:rsidRPr="0031184F">
        <w:t>CAEPR</w:t>
      </w:r>
      <w:proofErr w:type="spellEnd"/>
      <w:r>
        <w:t>,</w:t>
      </w:r>
      <w:r w:rsidRPr="0031184F">
        <w:t xml:space="preserve"> constructed around four projects: </w:t>
      </w:r>
    </w:p>
    <w:p w:rsidR="00BD0F4D" w:rsidRPr="0031184F" w:rsidRDefault="00BD0F4D" w:rsidP="00BD0F4D">
      <w:pPr>
        <w:pStyle w:val="ListBullet"/>
      </w:pPr>
      <w:r w:rsidRPr="0031184F">
        <w:t>detailed regional analysis of change in Indigenous social indicators</w:t>
      </w:r>
    </w:p>
    <w:p w:rsidR="00BD0F4D" w:rsidRPr="0031184F" w:rsidRDefault="00BD0F4D" w:rsidP="00BD0F4D">
      <w:pPr>
        <w:pStyle w:val="ListBullet"/>
      </w:pPr>
      <w:r w:rsidRPr="0031184F">
        <w:t>assessment of social and spatial mobility among Indigenous Australians in metropolitan areas</w:t>
      </w:r>
    </w:p>
    <w:p w:rsidR="00BD0F4D" w:rsidRPr="0031184F" w:rsidRDefault="00BD0F4D" w:rsidP="00BD0F4D">
      <w:pPr>
        <w:pStyle w:val="ListBullet"/>
      </w:pPr>
      <w:r w:rsidRPr="0031184F">
        <w:t>development of conceptual and methodological approaches to the measurement of short term mobility</w:t>
      </w:r>
    </w:p>
    <w:p w:rsidR="00BD0F4D" w:rsidRPr="0031184F" w:rsidRDefault="00BD0F4D" w:rsidP="00BD0F4D">
      <w:pPr>
        <w:pStyle w:val="ListBullet"/>
      </w:pPr>
      <w:r w:rsidRPr="0031184F">
        <w:t>case-study analyses of multiple disadvantage in select city neighbourhoods and regional centres.</w:t>
      </w:r>
    </w:p>
    <w:p w:rsidR="00BD0F4D" w:rsidRPr="0031184F" w:rsidRDefault="00BD0F4D" w:rsidP="00BD0F4D">
      <w:pPr>
        <w:pStyle w:val="BodyText"/>
      </w:pPr>
      <w:r w:rsidRPr="0031184F">
        <w:t xml:space="preserve">Working Papers related to these projects are released as part of the </w:t>
      </w:r>
      <w:proofErr w:type="spellStart"/>
      <w:r w:rsidRPr="0031184F">
        <w:t>CAEPR</w:t>
      </w:r>
      <w:proofErr w:type="spellEnd"/>
      <w:r w:rsidRPr="0031184F">
        <w:t xml:space="preserve"> Working Paper Series (</w:t>
      </w:r>
      <w:proofErr w:type="spellStart"/>
      <w:r w:rsidRPr="0031184F">
        <w:t>CAEPR</w:t>
      </w:r>
      <w:proofErr w:type="spellEnd"/>
      <w:r w:rsidRPr="0031184F">
        <w:t xml:space="preserve"> 2011) and the Indigenous Population Project Series: 2011 Ce</w:t>
      </w:r>
      <w:r w:rsidR="00996FAA">
        <w:t xml:space="preserve">nsus Papers (for example, </w:t>
      </w:r>
      <w:proofErr w:type="spellStart"/>
      <w:r w:rsidR="00996FAA">
        <w:t>CAEPR</w:t>
      </w:r>
      <w:proofErr w:type="spellEnd"/>
      <w:r w:rsidR="00996FAA">
        <w:t xml:space="preserve"> </w:t>
      </w:r>
      <w:r w:rsidRPr="0031184F">
        <w:t>2012).</w:t>
      </w:r>
    </w:p>
    <w:p w:rsidR="00BD0F4D" w:rsidRPr="0031184F" w:rsidRDefault="00BD0F4D" w:rsidP="00BD0F4D">
      <w:pPr>
        <w:pStyle w:val="BodyText"/>
      </w:pPr>
      <w:r w:rsidRPr="00DD7925">
        <w:t>In December 2007 and March 2008, COAG agreed to explicit targets for improving t</w:t>
      </w:r>
      <w:r>
        <w:t xml:space="preserve">he lives of Indigenous people, </w:t>
      </w:r>
      <w:r w:rsidRPr="00DD7925">
        <w:t xml:space="preserve">and in November 2008 established the </w:t>
      </w:r>
      <w:proofErr w:type="spellStart"/>
      <w:r>
        <w:t>NIRA</w:t>
      </w:r>
      <w:proofErr w:type="spellEnd"/>
      <w:r w:rsidRPr="00DD7925">
        <w:t xml:space="preserve">, which incorporates the COAG Closing the Gap targets and was last revised in November 2012 (COAG 2012). The </w:t>
      </w:r>
      <w:proofErr w:type="spellStart"/>
      <w:r w:rsidRPr="00DD7925">
        <w:t>NIRA</w:t>
      </w:r>
      <w:proofErr w:type="spellEnd"/>
      <w:r w:rsidRPr="00DD7925">
        <w:t xml:space="preserve"> provides an integrated framework for the task of Closing the Gap, setting out the policy principles, objectives and performance indicators underpinning Closing the Gap and the specific steps governments are</w:t>
      </w:r>
      <w:r>
        <w:t xml:space="preserve"> taking to meet the targets. </w:t>
      </w:r>
      <w:r w:rsidRPr="00DD7925">
        <w:t xml:space="preserve">The Steering Committee is committed to aligning relevant indicators in this RoGS with the </w:t>
      </w:r>
      <w:r w:rsidRPr="0031184F">
        <w:t>Working Group on Indigenous Reform (</w:t>
      </w:r>
      <w:proofErr w:type="spellStart"/>
      <w:r w:rsidRPr="0031184F">
        <w:t>WGIR</w:t>
      </w:r>
      <w:proofErr w:type="spellEnd"/>
      <w:r w:rsidRPr="0031184F">
        <w:t>)</w:t>
      </w:r>
      <w:r w:rsidRPr="00DD7925">
        <w:t xml:space="preserve"> framework.</w:t>
      </w:r>
    </w:p>
    <w:p w:rsidR="00BD0F4D" w:rsidRPr="0031184F" w:rsidRDefault="00BD0F4D" w:rsidP="00BD0F4D">
      <w:pPr>
        <w:pStyle w:val="BodyText"/>
      </w:pPr>
      <w:r w:rsidRPr="0031184F">
        <w:t>The Coordinator-General for Remote Indigenous Services (</w:t>
      </w:r>
      <w:proofErr w:type="spellStart"/>
      <w:r w:rsidRPr="0031184F">
        <w:t>CGRIS</w:t>
      </w:r>
      <w:proofErr w:type="spellEnd"/>
      <w:r w:rsidRPr="0031184F">
        <w:t xml:space="preserve">) provides a </w:t>
      </w:r>
      <w:r>
        <w:t>six </w:t>
      </w:r>
      <w:r w:rsidRPr="0031184F">
        <w:t xml:space="preserve">monthly report to the Minister for Families Community Services and Indigenous Affairs. The first report was noted at COAG on 7 December 2009. COAG decided that the </w:t>
      </w:r>
      <w:proofErr w:type="spellStart"/>
      <w:r w:rsidRPr="0031184F">
        <w:t>WGIR</w:t>
      </w:r>
      <w:proofErr w:type="spellEnd"/>
      <w:r w:rsidRPr="0031184F">
        <w:t xml:space="preserve"> will provide a progress report to COAG on recommendations in the </w:t>
      </w:r>
      <w:proofErr w:type="spellStart"/>
      <w:r w:rsidRPr="0031184F">
        <w:t>CGRS</w:t>
      </w:r>
      <w:proofErr w:type="spellEnd"/>
      <w:r w:rsidRPr="0031184F">
        <w:t xml:space="preserve"> report. The first </w:t>
      </w:r>
      <w:proofErr w:type="spellStart"/>
      <w:r w:rsidRPr="0031184F">
        <w:t>WGIR</w:t>
      </w:r>
      <w:proofErr w:type="spellEnd"/>
      <w:r w:rsidRPr="0031184F">
        <w:t xml:space="preserve"> progress report was noted by COAG at its April 2010 meeting. COAG also committed to continuing its monitoring of progress of the National Partnership on Remote Service Delivery (COAG 2010). The </w:t>
      </w:r>
      <w:r>
        <w:t>sixth</w:t>
      </w:r>
      <w:r w:rsidRPr="0031184F">
        <w:t xml:space="preserve"> (and most recent) </w:t>
      </w:r>
      <w:proofErr w:type="spellStart"/>
      <w:r w:rsidRPr="0031184F">
        <w:t>CGRIS</w:t>
      </w:r>
      <w:proofErr w:type="spellEnd"/>
      <w:r w:rsidRPr="0031184F">
        <w:t xml:space="preserve"> report was released in </w:t>
      </w:r>
      <w:r>
        <w:t>December 2012 (</w:t>
      </w:r>
      <w:proofErr w:type="spellStart"/>
      <w:r>
        <w:t>CGRIS</w:t>
      </w:r>
      <w:proofErr w:type="spellEnd"/>
      <w:r>
        <w:t xml:space="preserve"> 2012</w:t>
      </w:r>
      <w:r w:rsidRPr="0031184F">
        <w:t>).</w:t>
      </w:r>
    </w:p>
    <w:p w:rsidR="00BD0F4D" w:rsidRPr="0031184F" w:rsidRDefault="00BD0F4D" w:rsidP="00BD0F4D">
      <w:pPr>
        <w:pStyle w:val="BodyText"/>
      </w:pPr>
      <w:r w:rsidRPr="0031184F">
        <w:t>The Review will draw on these initiatives in future RoGS.</w:t>
      </w:r>
    </w:p>
    <w:p w:rsidR="00EE2915" w:rsidRPr="00A43D1D" w:rsidRDefault="00A43D1D" w:rsidP="00EE2915">
      <w:pPr>
        <w:pStyle w:val="BodyText"/>
      </w:pPr>
      <w:r w:rsidRPr="00A43D1D">
        <w:t xml:space="preserve">The first four volumes of the new </w:t>
      </w:r>
      <w:proofErr w:type="spellStart"/>
      <w:r w:rsidRPr="00A43D1D">
        <w:t>ASGS</w:t>
      </w:r>
      <w:proofErr w:type="spellEnd"/>
      <w:r w:rsidRPr="00A43D1D">
        <w:t xml:space="preserve"> have been released: Main Structure and Greater Capital City Statistical Areas (ABS </w:t>
      </w:r>
      <w:proofErr w:type="spellStart"/>
      <w:r w:rsidRPr="00A43D1D">
        <w:t>2011a</w:t>
      </w:r>
      <w:proofErr w:type="spellEnd"/>
      <w:r w:rsidRPr="00A43D1D">
        <w:t xml:space="preserve">); Indigenous Structure </w:t>
      </w:r>
      <w:r w:rsidRPr="00A43D1D">
        <w:lastRenderedPageBreak/>
        <w:t>(ABS</w:t>
      </w:r>
      <w:r w:rsidR="00305743">
        <w:t> </w:t>
      </w:r>
      <w:proofErr w:type="spellStart"/>
      <w:r w:rsidRPr="00A43D1D">
        <w:t>2011b</w:t>
      </w:r>
      <w:proofErr w:type="spellEnd"/>
      <w:r w:rsidRPr="00A43D1D">
        <w:t xml:space="preserve">); Non ABS Structures (ABS </w:t>
      </w:r>
      <w:proofErr w:type="spellStart"/>
      <w:r w:rsidRPr="00A43D1D">
        <w:t>2011c</w:t>
      </w:r>
      <w:proofErr w:type="spellEnd"/>
      <w:r w:rsidRPr="00A43D1D">
        <w:t>); and Significant Urban Areas, Urban Centres and Localities, Section of State (ABS 2012).</w:t>
      </w:r>
    </w:p>
    <w:p w:rsidR="00EE2915" w:rsidRPr="00A43D1D" w:rsidRDefault="00EE2915" w:rsidP="00EE2915">
      <w:pPr>
        <w:pStyle w:val="Heading3"/>
      </w:pPr>
      <w:bookmarkStart w:id="27" w:name="_Toc320770525"/>
      <w:bookmarkStart w:id="28" w:name="_Toc346787801"/>
      <w:bookmarkStart w:id="29" w:name="_Toc346801389"/>
      <w:bookmarkStart w:id="30" w:name="_Toc346801658"/>
      <w:r w:rsidRPr="00A43D1D">
        <w:t>‘Cross-cutting’ issues</w:t>
      </w:r>
      <w:bookmarkEnd w:id="27"/>
      <w:bookmarkEnd w:id="28"/>
      <w:bookmarkEnd w:id="29"/>
      <w:bookmarkEnd w:id="30"/>
    </w:p>
    <w:p w:rsidR="00A43D1D" w:rsidRPr="0031184F" w:rsidRDefault="00A43D1D" w:rsidP="00A43D1D">
      <w:pPr>
        <w:pStyle w:val="BodyText"/>
      </w:pPr>
      <w:bookmarkStart w:id="31" w:name="_Toc320770526"/>
      <w:r w:rsidRPr="0031184F">
        <w:t>There is growing emphasis on the management of policy issues that cover more than one service-sector, service area or ministerial portfolio — for example, government policies aimed at specific client groups such as older people, females, children, Indigenous Australians, people in rural and remote areas and people from non-English speaking backgrounds. Improving the management of these issues can contribute to more effective and efficient service provision. Greater efficiency can come from more clearly defined priorities and from the elimination of duplicated or inconsistent programs. Improved outcomes can also result from a more holistic and client centre</w:t>
      </w:r>
      <w:r>
        <w:t>d approach to service delivery.</w:t>
      </w:r>
    </w:p>
    <w:p w:rsidR="00EE2915" w:rsidRPr="00A43D1D" w:rsidRDefault="00EE2915" w:rsidP="00EE2915">
      <w:pPr>
        <w:pStyle w:val="Heading3"/>
      </w:pPr>
      <w:bookmarkStart w:id="32" w:name="_Toc346787802"/>
      <w:bookmarkStart w:id="33" w:name="_Toc346801390"/>
      <w:bookmarkStart w:id="34" w:name="_Toc346801659"/>
      <w:r w:rsidRPr="00A43D1D">
        <w:t>References</w:t>
      </w:r>
      <w:bookmarkEnd w:id="31"/>
      <w:bookmarkEnd w:id="32"/>
      <w:bookmarkEnd w:id="33"/>
      <w:bookmarkEnd w:id="34"/>
    </w:p>
    <w:p w:rsidR="00EE2915" w:rsidRPr="0049471C" w:rsidRDefault="00EE2915" w:rsidP="00EE2915">
      <w:pPr>
        <w:pStyle w:val="Reference"/>
      </w:pPr>
      <w:r w:rsidRPr="0049471C">
        <w:t xml:space="preserve">ABS (Australian Bureau of Statistics) </w:t>
      </w:r>
      <w:proofErr w:type="spellStart"/>
      <w:r w:rsidR="0049471C" w:rsidRPr="0049471C">
        <w:t>2011a</w:t>
      </w:r>
      <w:proofErr w:type="spellEnd"/>
      <w:r w:rsidR="0049471C" w:rsidRPr="0049471C">
        <w:t xml:space="preserve">, </w:t>
      </w:r>
      <w:r w:rsidR="0049471C" w:rsidRPr="0049471C">
        <w:rPr>
          <w:i/>
        </w:rPr>
        <w:t>Australian Statistical Geography Standard (</w:t>
      </w:r>
      <w:proofErr w:type="spellStart"/>
      <w:r w:rsidR="0049471C" w:rsidRPr="0049471C">
        <w:rPr>
          <w:i/>
        </w:rPr>
        <w:t>ASGS</w:t>
      </w:r>
      <w:proofErr w:type="spellEnd"/>
      <w:r w:rsidR="0049471C" w:rsidRPr="0049471C">
        <w:rPr>
          <w:i/>
        </w:rPr>
        <w:t xml:space="preserve">): Volume 1 — Main Structure and Greater Capital City Statistical Areas, </w:t>
      </w:r>
      <w:r w:rsidR="0049471C" w:rsidRPr="0049471C">
        <w:t>Cat. no. 1270.0.55.001, Canberra.</w:t>
      </w:r>
    </w:p>
    <w:p w:rsidR="0049471C" w:rsidRPr="0031184F" w:rsidRDefault="0049471C" w:rsidP="0049471C">
      <w:pPr>
        <w:pStyle w:val="Reference"/>
      </w:pPr>
      <w:r w:rsidRPr="0031184F">
        <w:t xml:space="preserve">—— </w:t>
      </w:r>
      <w:proofErr w:type="spellStart"/>
      <w:r w:rsidRPr="0031184F">
        <w:t>2011b</w:t>
      </w:r>
      <w:proofErr w:type="spellEnd"/>
      <w:r w:rsidRPr="0031184F">
        <w:t xml:space="preserve">, </w:t>
      </w:r>
      <w:r w:rsidRPr="0031184F">
        <w:rPr>
          <w:i/>
        </w:rPr>
        <w:t>Australian Statistical Geography Standard (</w:t>
      </w:r>
      <w:proofErr w:type="spellStart"/>
      <w:r w:rsidRPr="0031184F">
        <w:rPr>
          <w:i/>
        </w:rPr>
        <w:t>ASGS</w:t>
      </w:r>
      <w:proofErr w:type="spellEnd"/>
      <w:r w:rsidRPr="0031184F">
        <w:rPr>
          <w:i/>
        </w:rPr>
        <w:t>): Volume 2 — Indigenous Structure</w:t>
      </w:r>
      <w:r w:rsidRPr="0031184F">
        <w:t>, Cat. no. 1270.0.55.002, Canberra.</w:t>
      </w:r>
    </w:p>
    <w:p w:rsidR="0049471C" w:rsidRPr="0031184F" w:rsidRDefault="0049471C" w:rsidP="0049471C">
      <w:pPr>
        <w:pStyle w:val="Reference"/>
      </w:pPr>
      <w:r w:rsidRPr="0031184F">
        <w:t xml:space="preserve">—— </w:t>
      </w:r>
      <w:proofErr w:type="spellStart"/>
      <w:r w:rsidRPr="0031184F">
        <w:t>2011c</w:t>
      </w:r>
      <w:proofErr w:type="spellEnd"/>
      <w:r w:rsidRPr="0031184F">
        <w:t xml:space="preserve">, </w:t>
      </w:r>
      <w:r w:rsidRPr="0031184F">
        <w:rPr>
          <w:i/>
        </w:rPr>
        <w:t>Australian Statistical Geography Standard (</w:t>
      </w:r>
      <w:proofErr w:type="spellStart"/>
      <w:r w:rsidRPr="0031184F">
        <w:rPr>
          <w:i/>
        </w:rPr>
        <w:t>ASGS</w:t>
      </w:r>
      <w:proofErr w:type="spellEnd"/>
      <w:r w:rsidRPr="0031184F">
        <w:rPr>
          <w:i/>
        </w:rPr>
        <w:t>): Volume 3 — Non ABS Structures</w:t>
      </w:r>
      <w:r w:rsidRPr="0031184F">
        <w:t>, Cat. no. 1270.0.55.003, Canberra.</w:t>
      </w:r>
    </w:p>
    <w:p w:rsidR="0049471C" w:rsidRPr="0031184F" w:rsidRDefault="0049471C" w:rsidP="0049471C">
      <w:pPr>
        <w:pStyle w:val="Reference"/>
      </w:pPr>
      <w:r w:rsidRPr="0031184F">
        <w:t xml:space="preserve">—— 2012, </w:t>
      </w:r>
      <w:r w:rsidRPr="0031184F">
        <w:rPr>
          <w:i/>
        </w:rPr>
        <w:t>Australian Statistical Geography Standard (</w:t>
      </w:r>
      <w:proofErr w:type="spellStart"/>
      <w:r w:rsidRPr="0031184F">
        <w:rPr>
          <w:i/>
        </w:rPr>
        <w:t>ASGS</w:t>
      </w:r>
      <w:proofErr w:type="spellEnd"/>
      <w:r w:rsidRPr="0031184F">
        <w:rPr>
          <w:i/>
        </w:rPr>
        <w:t>): Volume 4 — Significant Urban Areas, Urban Centres and Localities, Section of State</w:t>
      </w:r>
      <w:r w:rsidRPr="0031184F">
        <w:t>, Cat. no. 1270.0.55.004, Canberra.</w:t>
      </w:r>
    </w:p>
    <w:p w:rsidR="00514617" w:rsidRPr="00305743" w:rsidRDefault="00514617" w:rsidP="00EE2915">
      <w:pPr>
        <w:pStyle w:val="Reference"/>
      </w:pPr>
      <w:r w:rsidRPr="00305743">
        <w:t xml:space="preserve">AIHW (Australian Institute of Health and Welfare) 2012, </w:t>
      </w:r>
      <w:r w:rsidRPr="00305743">
        <w:rPr>
          <w:i/>
        </w:rPr>
        <w:t>Aboriginal and Torres Strait Islander identification in community services data collections: an updated data quality report</w:t>
      </w:r>
      <w:r w:rsidRPr="00305743">
        <w:t xml:space="preserve">, Cat. no. </w:t>
      </w:r>
      <w:proofErr w:type="spellStart"/>
      <w:r w:rsidRPr="00305743">
        <w:t>IHW</w:t>
      </w:r>
      <w:proofErr w:type="spellEnd"/>
      <w:r w:rsidRPr="00305743">
        <w:t xml:space="preserve"> 80, Canberra.</w:t>
      </w:r>
    </w:p>
    <w:p w:rsidR="00514617" w:rsidRPr="00305743" w:rsidRDefault="00514617" w:rsidP="00514617">
      <w:pPr>
        <w:pStyle w:val="Reference"/>
      </w:pPr>
      <w:proofErr w:type="spellStart"/>
      <w:r w:rsidRPr="00305743">
        <w:t>CAEPR</w:t>
      </w:r>
      <w:proofErr w:type="spellEnd"/>
      <w:r w:rsidRPr="00305743">
        <w:t xml:space="preserve"> (Centre for Aboriginal Economic Policy Research) 2011, </w:t>
      </w:r>
      <w:r w:rsidRPr="00305743">
        <w:rPr>
          <w:i/>
        </w:rPr>
        <w:t>Indigenous Population</w:t>
      </w:r>
      <w:r w:rsidRPr="00305743">
        <w:t xml:space="preserve">, </w:t>
      </w:r>
      <w:proofErr w:type="spellStart"/>
      <w:r w:rsidRPr="00305743">
        <w:t>caepr.anu.edu.au</w:t>
      </w:r>
      <w:proofErr w:type="spellEnd"/>
      <w:r w:rsidRPr="00305743">
        <w:t>/population/index (accessed 1 December 2011).</w:t>
      </w:r>
    </w:p>
    <w:p w:rsidR="00514617" w:rsidRPr="00305743" w:rsidRDefault="00514617" w:rsidP="00514617">
      <w:pPr>
        <w:pStyle w:val="Reference"/>
      </w:pPr>
      <w:r w:rsidRPr="00305743">
        <w:t xml:space="preserve">—— 2012, </w:t>
      </w:r>
      <w:r w:rsidRPr="00305743">
        <w:rPr>
          <w:i/>
        </w:rPr>
        <w:t>Population and age structure</w:t>
      </w:r>
      <w:r w:rsidRPr="00305743">
        <w:t xml:space="preserve">, Paper 5, </w:t>
      </w:r>
      <w:proofErr w:type="spellStart"/>
      <w:r w:rsidRPr="00305743">
        <w:t>caepr.anu.edu.au</w:t>
      </w:r>
      <w:proofErr w:type="spellEnd"/>
      <w:r w:rsidRPr="00305743">
        <w:t>/population/</w:t>
      </w:r>
      <w:proofErr w:type="spellStart"/>
      <w:r w:rsidRPr="00305743">
        <w:t>censuspapers</w:t>
      </w:r>
      <w:proofErr w:type="spellEnd"/>
      <w:r w:rsidRPr="00305743">
        <w:t xml:space="preserve"> (accessed 20 December 2012).</w:t>
      </w:r>
    </w:p>
    <w:p w:rsidR="0049471C" w:rsidRPr="00305743" w:rsidRDefault="0049471C" w:rsidP="0049471C">
      <w:pPr>
        <w:pStyle w:val="Reference"/>
      </w:pPr>
      <w:proofErr w:type="spellStart"/>
      <w:r w:rsidRPr="00305743">
        <w:t>CGRIS</w:t>
      </w:r>
      <w:proofErr w:type="spellEnd"/>
      <w:r w:rsidRPr="00305743">
        <w:t xml:space="preserve"> (Coordinator General for Remote Indigenous Services) 2012, </w:t>
      </w:r>
      <w:r w:rsidRPr="00305743">
        <w:rPr>
          <w:i/>
        </w:rPr>
        <w:t>Six Monthly Report April 2012 — September 2012</w:t>
      </w:r>
      <w:r w:rsidRPr="00305743">
        <w:t xml:space="preserve">, Sixth edition, </w:t>
      </w:r>
      <w:proofErr w:type="spellStart"/>
      <w:r w:rsidRPr="00305743">
        <w:t>www.cgris.gov.au</w:t>
      </w:r>
      <w:proofErr w:type="spellEnd"/>
      <w:r w:rsidRPr="00305743">
        <w:t>/site/</w:t>
      </w:r>
      <w:proofErr w:type="spellStart"/>
      <w:r w:rsidRPr="00305743">
        <w:t>sep-2012.asp</w:t>
      </w:r>
      <w:proofErr w:type="spellEnd"/>
      <w:r w:rsidRPr="00305743">
        <w:t xml:space="preserve"> (accessed 7 January 2013).</w:t>
      </w:r>
    </w:p>
    <w:p w:rsidR="00514617" w:rsidRPr="00305743" w:rsidRDefault="00EE2915" w:rsidP="00514617">
      <w:pPr>
        <w:pStyle w:val="Reference"/>
      </w:pPr>
      <w:r w:rsidRPr="00305743">
        <w:lastRenderedPageBreak/>
        <w:t xml:space="preserve">COAG (Council of Australian Governments) </w:t>
      </w:r>
      <w:r w:rsidR="00514617" w:rsidRPr="00305743">
        <w:t xml:space="preserve">2010, </w:t>
      </w:r>
      <w:r w:rsidR="00514617" w:rsidRPr="00305743">
        <w:rPr>
          <w:i/>
        </w:rPr>
        <w:t>COAG Communiqué 20 April 2010</w:t>
      </w:r>
      <w:r w:rsidR="00514617" w:rsidRPr="00305743">
        <w:t xml:space="preserve">, Australian Government, </w:t>
      </w:r>
      <w:proofErr w:type="spellStart"/>
      <w:r w:rsidR="00514617" w:rsidRPr="00305743">
        <w:t>www.coag.gov.au</w:t>
      </w:r>
      <w:proofErr w:type="spellEnd"/>
      <w:r w:rsidR="00514617" w:rsidRPr="00305743">
        <w:t>/</w:t>
      </w:r>
      <w:proofErr w:type="spellStart"/>
      <w:r w:rsidR="00514617" w:rsidRPr="00305743">
        <w:t>coag_meeting</w:t>
      </w:r>
      <w:proofErr w:type="spellEnd"/>
      <w:r w:rsidR="00514617" w:rsidRPr="00305743">
        <w:t>_ outcomes/ 2010-04-19/docs/</w:t>
      </w:r>
      <w:proofErr w:type="spellStart"/>
      <w:r w:rsidR="00514617" w:rsidRPr="00305743">
        <w:t>communique_20_April_2010.rtf</w:t>
      </w:r>
      <w:proofErr w:type="spellEnd"/>
      <w:r w:rsidR="00514617" w:rsidRPr="00305743">
        <w:t xml:space="preserve"> (accessed 21 July 2010).</w:t>
      </w:r>
    </w:p>
    <w:p w:rsidR="00EE2915" w:rsidRPr="00305743" w:rsidRDefault="00514617" w:rsidP="00EE2915">
      <w:pPr>
        <w:pStyle w:val="Reference"/>
      </w:pPr>
      <w:r w:rsidRPr="00305743">
        <w:t xml:space="preserve">—— 2012, </w:t>
      </w:r>
      <w:r w:rsidRPr="00305743">
        <w:rPr>
          <w:i/>
        </w:rPr>
        <w:t>National Indigenous Reform Agreement</w:t>
      </w:r>
      <w:r w:rsidRPr="00305743">
        <w:t xml:space="preserve"> (effective 2 November 2012), www.federalfinancialrelations.gov.au/content/npa/health_indigenous/indigenous-reform/national-agreement_sept_12.pdf (accessed 23 November 2012). </w:t>
      </w:r>
    </w:p>
    <w:p w:rsidR="00EE2915" w:rsidRPr="00305743" w:rsidRDefault="00EE2915" w:rsidP="00EE2915">
      <w:pPr>
        <w:pStyle w:val="Reference"/>
      </w:pPr>
      <w:proofErr w:type="spellStart"/>
      <w:r w:rsidRPr="00305743">
        <w:t>SCRGSP</w:t>
      </w:r>
      <w:proofErr w:type="spellEnd"/>
      <w:r w:rsidRPr="00305743">
        <w:t xml:space="preserve"> (Steering Committee for the Review of Government Service Provision) </w:t>
      </w:r>
      <w:r w:rsidR="003C1C92" w:rsidRPr="00305743">
        <w:t xml:space="preserve">2011 (and previous issues), </w:t>
      </w:r>
      <w:r w:rsidR="003C1C92" w:rsidRPr="00305743">
        <w:rPr>
          <w:i/>
        </w:rPr>
        <w:t>Overcoming Indigenous Disadvantage: Key Indicators 2003</w:t>
      </w:r>
      <w:r w:rsidR="003C1C92" w:rsidRPr="00305743">
        <w:t xml:space="preserve">, </w:t>
      </w:r>
      <w:r w:rsidR="003C1C92" w:rsidRPr="00305743">
        <w:rPr>
          <w:i/>
        </w:rPr>
        <w:t>2005, 2007, 2009,</w:t>
      </w:r>
      <w:r w:rsidR="003C1C92" w:rsidRPr="00305743">
        <w:t xml:space="preserve"> Productivity Commission, Canberra</w:t>
      </w:r>
      <w:r w:rsidRPr="00305743">
        <w:t>.</w:t>
      </w:r>
    </w:p>
    <w:p w:rsidR="00F056FC" w:rsidRDefault="00514617" w:rsidP="009E0615">
      <w:pPr>
        <w:pStyle w:val="Reference"/>
      </w:pPr>
      <w:r w:rsidRPr="00305743">
        <w:t xml:space="preserve">Taylor, J. 2006, </w:t>
      </w:r>
      <w:r w:rsidRPr="00305743">
        <w:rPr>
          <w:i/>
        </w:rPr>
        <w:t>Population and Diversity: Policy Implications of Emerging Indigenous Demographic Trends</w:t>
      </w:r>
      <w:r w:rsidRPr="00305743">
        <w:t xml:space="preserve">, Discussion paper no. 283/2006, Centre for Aboriginal Economic Policy Research, </w:t>
      </w:r>
      <w:smartTag w:uri="urn:schemas-microsoft-com:office:smarttags" w:element="PlaceName">
        <w:r w:rsidRPr="00305743">
          <w:t>Australian</w:t>
        </w:r>
      </w:smartTag>
      <w:r w:rsidRPr="00305743">
        <w:t xml:space="preserve"> </w:t>
      </w:r>
      <w:smartTag w:uri="urn:schemas-microsoft-com:office:smarttags" w:element="PlaceName">
        <w:r w:rsidRPr="00305743">
          <w:t>National</w:t>
        </w:r>
      </w:smartTag>
      <w:r w:rsidRPr="00305743">
        <w:t xml:space="preserve"> </w:t>
      </w:r>
      <w:smartTag w:uri="urn:schemas-microsoft-com:office:smarttags" w:element="PlaceType">
        <w:r w:rsidRPr="00305743">
          <w:t>University</w:t>
        </w:r>
      </w:smartTag>
      <w:r w:rsidRPr="00305743">
        <w:t>, Canberra.</w:t>
      </w:r>
    </w:p>
    <w:sectPr w:rsidR="00F056FC" w:rsidSect="002B2B92">
      <w:headerReference w:type="even" r:id="rId18"/>
      <w:headerReference w:type="default" r:id="rId19"/>
      <w:footerReference w:type="even" r:id="rId20"/>
      <w:footerReference w:type="default" r:id="rId21"/>
      <w:pgSz w:w="11907" w:h="16840" w:code="9"/>
      <w:pgMar w:top="1985" w:right="1304" w:bottom="1418" w:left="1814" w:header="1701" w:footer="567" w:gutter="0"/>
      <w:pgNumType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6D1A" w:rsidRDefault="002F6D1A">
      <w:r>
        <w:separator/>
      </w:r>
    </w:p>
  </w:endnote>
  <w:endnote w:type="continuationSeparator" w:id="0">
    <w:p w:rsidR="002F6D1A" w:rsidRDefault="002F6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2F6D1A">
      <w:trPr>
        <w:trHeight w:hRule="exact" w:val="740"/>
      </w:trPr>
      <w:tc>
        <w:tcPr>
          <w:tcW w:w="510" w:type="dxa"/>
          <w:tcBorders>
            <w:top w:val="single" w:sz="6" w:space="0" w:color="auto"/>
          </w:tcBorders>
        </w:tcPr>
        <w:p w:rsidR="002F6D1A" w:rsidRDefault="008B475E">
          <w:pPr>
            <w:pStyle w:val="Footer"/>
            <w:tabs>
              <w:tab w:val="left" w:pos="0"/>
            </w:tabs>
            <w:ind w:right="0"/>
            <w:rPr>
              <w:rStyle w:val="PageNumber"/>
            </w:rPr>
          </w:pPr>
          <w:fldSimple w:instr=" COMMENTS  \* MERGEFORMAT ">
            <w:r w:rsidR="00880176">
              <w:rPr>
                <w:rStyle w:val="PageNumber"/>
              </w:rPr>
              <w:t>2</w:t>
            </w:r>
            <w:r w:rsidR="00880176" w:rsidRPr="00514FF4">
              <w:rPr>
                <w:rStyle w:val="PageNumber"/>
              </w:rPr>
              <w:t>.</w:t>
            </w:r>
          </w:fldSimple>
          <w:r w:rsidR="00880176">
            <w:rPr>
              <w:rStyle w:val="PageNumber"/>
            </w:rPr>
            <w:fldChar w:fldCharType="begin"/>
          </w:r>
          <w:r w:rsidR="00880176">
            <w:rPr>
              <w:rStyle w:val="PageNumber"/>
            </w:rPr>
            <w:instrText xml:space="preserve">PAGE  </w:instrText>
          </w:r>
          <w:r w:rsidR="00880176">
            <w:rPr>
              <w:rStyle w:val="PageNumber"/>
            </w:rPr>
            <w:fldChar w:fldCharType="separate"/>
          </w:r>
          <w:r w:rsidR="00801D0C">
            <w:rPr>
              <w:rStyle w:val="PageNumber"/>
              <w:noProof/>
            </w:rPr>
            <w:t>2</w:t>
          </w:r>
          <w:r w:rsidR="00880176">
            <w:rPr>
              <w:rStyle w:val="PageNumber"/>
            </w:rPr>
            <w:fldChar w:fldCharType="end"/>
          </w:r>
        </w:p>
      </w:tc>
      <w:tc>
        <w:tcPr>
          <w:tcW w:w="1644" w:type="dxa"/>
          <w:tcBorders>
            <w:top w:val="single" w:sz="6" w:space="0" w:color="auto"/>
          </w:tcBorders>
        </w:tcPr>
        <w:p w:rsidR="002F6D1A" w:rsidRDefault="008B475E">
          <w:pPr>
            <w:pStyle w:val="Footer"/>
          </w:pPr>
          <w:fldSimple w:instr=" SUBJECT  \* MERGEFORMAT ">
            <w:r w:rsidR="002F6D1A">
              <w:t>Report on Government Services 2013</w:t>
            </w:r>
          </w:fldSimple>
        </w:p>
      </w:tc>
      <w:tc>
        <w:tcPr>
          <w:tcW w:w="6634" w:type="dxa"/>
        </w:tcPr>
        <w:p w:rsidR="002F6D1A" w:rsidRDefault="002F6D1A">
          <w:pPr>
            <w:pStyle w:val="Footer"/>
          </w:pPr>
        </w:p>
      </w:tc>
    </w:tr>
  </w:tbl>
  <w:p w:rsidR="002F6D1A" w:rsidRDefault="002F6D1A">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2F6D1A">
      <w:trPr>
        <w:trHeight w:hRule="exact" w:val="740"/>
      </w:trPr>
      <w:tc>
        <w:tcPr>
          <w:tcW w:w="6634" w:type="dxa"/>
        </w:tcPr>
        <w:p w:rsidR="002F6D1A" w:rsidRDefault="002F6D1A">
          <w:pPr>
            <w:pStyle w:val="Footer"/>
            <w:ind w:right="360" w:firstLine="360"/>
          </w:pPr>
        </w:p>
      </w:tc>
      <w:tc>
        <w:tcPr>
          <w:tcW w:w="1644" w:type="dxa"/>
          <w:tcBorders>
            <w:top w:val="single" w:sz="6" w:space="0" w:color="auto"/>
          </w:tcBorders>
        </w:tcPr>
        <w:p w:rsidR="002F6D1A" w:rsidRDefault="008B475E">
          <w:pPr>
            <w:pStyle w:val="Footer"/>
          </w:pPr>
          <w:fldSimple w:instr=" TITLE  \* MERGEFORMAT ">
            <w:r w:rsidR="002F6D1A">
              <w:t>Indigenous Compendium 2013</w:t>
            </w:r>
          </w:fldSimple>
        </w:p>
      </w:tc>
      <w:tc>
        <w:tcPr>
          <w:tcW w:w="510" w:type="dxa"/>
          <w:tcBorders>
            <w:top w:val="single" w:sz="6" w:space="0" w:color="auto"/>
          </w:tcBorders>
        </w:tcPr>
        <w:p w:rsidR="002F6D1A" w:rsidRDefault="008B475E">
          <w:pPr>
            <w:pStyle w:val="Footer"/>
            <w:jc w:val="right"/>
          </w:pPr>
          <w:fldSimple w:instr=" COMMENTS  \* MERGEFORMAT ">
            <w:r w:rsidR="00880176">
              <w:rPr>
                <w:rStyle w:val="PageNumber"/>
              </w:rPr>
              <w:t>2</w:t>
            </w:r>
            <w:r w:rsidR="00880176" w:rsidRPr="00514FF4">
              <w:rPr>
                <w:rStyle w:val="PageNumber"/>
              </w:rPr>
              <w:t>.</w:t>
            </w:r>
          </w:fldSimple>
          <w:r w:rsidR="00880176">
            <w:rPr>
              <w:rStyle w:val="PageNumber"/>
            </w:rPr>
            <w:fldChar w:fldCharType="begin"/>
          </w:r>
          <w:r w:rsidR="00880176">
            <w:rPr>
              <w:rStyle w:val="PageNumber"/>
            </w:rPr>
            <w:instrText xml:space="preserve">PAGE  </w:instrText>
          </w:r>
          <w:r w:rsidR="00880176">
            <w:rPr>
              <w:rStyle w:val="PageNumber"/>
            </w:rPr>
            <w:fldChar w:fldCharType="separate"/>
          </w:r>
          <w:r w:rsidR="00801D0C">
            <w:rPr>
              <w:rStyle w:val="PageNumber"/>
              <w:noProof/>
            </w:rPr>
            <w:t>1</w:t>
          </w:r>
          <w:r w:rsidR="00880176">
            <w:rPr>
              <w:rStyle w:val="PageNumber"/>
            </w:rPr>
            <w:fldChar w:fldCharType="end"/>
          </w:r>
        </w:p>
      </w:tc>
    </w:tr>
  </w:tbl>
  <w:p w:rsidR="002F6D1A" w:rsidRDefault="002F6D1A">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D1A" w:rsidRDefault="008B475E">
    <w:pPr>
      <w:pStyle w:val="Footer"/>
      <w:framePr w:wrap="around" w:vAnchor="text" w:hAnchor="margin" w:y="1"/>
      <w:rPr>
        <w:rStyle w:val="PageNumber"/>
      </w:rPr>
    </w:pPr>
    <w:fldSimple w:instr=" COMMENTS  \* MERGEFORMAT ">
      <w:r w:rsidR="00880176">
        <w:rPr>
          <w:rStyle w:val="PageNumber"/>
        </w:rPr>
        <w:t>2</w:t>
      </w:r>
      <w:r w:rsidR="00880176" w:rsidRPr="00514FF4">
        <w:rPr>
          <w:rStyle w:val="PageNumber"/>
        </w:rPr>
        <w:t>.</w:t>
      </w:r>
    </w:fldSimple>
    <w:r w:rsidR="00880176">
      <w:rPr>
        <w:rStyle w:val="PageNumber"/>
      </w:rPr>
      <w:fldChar w:fldCharType="begin"/>
    </w:r>
    <w:r w:rsidR="00880176">
      <w:rPr>
        <w:rStyle w:val="PageNumber"/>
      </w:rPr>
      <w:instrText xml:space="preserve">PAGE  </w:instrText>
    </w:r>
    <w:r w:rsidR="00880176">
      <w:rPr>
        <w:rStyle w:val="PageNumber"/>
      </w:rPr>
      <w:fldChar w:fldCharType="separate"/>
    </w:r>
    <w:r w:rsidR="00801D0C">
      <w:rPr>
        <w:rStyle w:val="PageNumber"/>
        <w:noProof/>
      </w:rPr>
      <w:t>6</w:t>
    </w:r>
    <w:r w:rsidR="00880176">
      <w:rPr>
        <w:rStyle w:val="PageNumber"/>
      </w:rPr>
      <w:fldChar w:fldCharType="end"/>
    </w:r>
  </w:p>
  <w:p w:rsidR="002F6D1A" w:rsidRDefault="002F6D1A">
    <w:pPr>
      <w:pStyle w:val="FooterEnd"/>
      <w:ind w:firstLine="360"/>
    </w:pPr>
    <w:r>
      <w:tab/>
    </w:r>
    <w:r>
      <w:tab/>
    </w:r>
    <w:r>
      <w:tab/>
    </w:r>
    <w:r>
      <w:tab/>
    </w:r>
    <w:r>
      <w:tab/>
    </w:r>
    <w:r>
      <w:tab/>
    </w:r>
    <w:r>
      <w:tab/>
    </w:r>
    <w:r>
      <w:tab/>
    </w:r>
    <w:r>
      <w:tab/>
    </w:r>
    <w:r>
      <w:tab/>
    </w:r>
    <w:r>
      <w:tab/>
    </w:r>
    <w:r>
      <w:tab/>
    </w:r>
    <w:r>
      <w:tab/>
    </w:r>
    <w:r>
      <w:tab/>
    </w:r>
    <w:r>
      <w:tab/>
    </w:r>
    <w:r>
      <w:tab/>
    </w:r>
    <w:r>
      <w:tab/>
    </w:r>
    <w:r>
      <w:tab/>
    </w:r>
    <w:r>
      <w:tab/>
    </w:r>
    <w:r>
      <w:tab/>
    </w: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D1A" w:rsidRDefault="008B475E">
    <w:pPr>
      <w:pStyle w:val="Footer"/>
      <w:framePr w:wrap="around" w:vAnchor="text" w:hAnchor="margin" w:y="1"/>
      <w:rPr>
        <w:rStyle w:val="PageNumber"/>
      </w:rPr>
    </w:pPr>
    <w:fldSimple w:instr=" COMMENTS  \* MERGEFORMAT ">
      <w:r w:rsidR="00880176">
        <w:rPr>
          <w:rStyle w:val="PageNumber"/>
        </w:rPr>
        <w:t>2</w:t>
      </w:r>
      <w:r w:rsidR="00880176" w:rsidRPr="00514FF4">
        <w:rPr>
          <w:rStyle w:val="PageNumber"/>
        </w:rPr>
        <w:t>.</w:t>
      </w:r>
    </w:fldSimple>
    <w:r w:rsidR="00880176">
      <w:rPr>
        <w:rStyle w:val="PageNumber"/>
      </w:rPr>
      <w:fldChar w:fldCharType="begin"/>
    </w:r>
    <w:r w:rsidR="00880176">
      <w:rPr>
        <w:rStyle w:val="PageNumber"/>
      </w:rPr>
      <w:instrText xml:space="preserve">PAGE  </w:instrText>
    </w:r>
    <w:r w:rsidR="00880176">
      <w:rPr>
        <w:rStyle w:val="PageNumber"/>
      </w:rPr>
      <w:fldChar w:fldCharType="separate"/>
    </w:r>
    <w:r w:rsidR="00801D0C">
      <w:rPr>
        <w:rStyle w:val="PageNumber"/>
        <w:noProof/>
      </w:rPr>
      <w:t>5</w:t>
    </w:r>
    <w:r w:rsidR="00880176">
      <w:rPr>
        <w:rStyle w:val="PageNumber"/>
      </w:rPr>
      <w:fldChar w:fldCharType="end"/>
    </w:r>
  </w:p>
  <w:p w:rsidR="002F6D1A" w:rsidRDefault="002F6D1A">
    <w:pPr>
      <w:pStyle w:val="Footer"/>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2F6D1A">
      <w:trPr>
        <w:trHeight w:hRule="exact" w:val="740"/>
      </w:trPr>
      <w:tc>
        <w:tcPr>
          <w:tcW w:w="510" w:type="dxa"/>
          <w:tcBorders>
            <w:top w:val="single" w:sz="6" w:space="0" w:color="auto"/>
          </w:tcBorders>
        </w:tcPr>
        <w:p w:rsidR="002F6D1A" w:rsidRDefault="008B475E" w:rsidP="0019293B">
          <w:pPr>
            <w:pStyle w:val="Footer"/>
            <w:tabs>
              <w:tab w:val="left" w:pos="0"/>
            </w:tabs>
            <w:ind w:right="0"/>
            <w:rPr>
              <w:rStyle w:val="PageNumber"/>
            </w:rPr>
          </w:pPr>
          <w:fldSimple w:instr=" COMMENTS  \* MERGEFORMAT ">
            <w:r w:rsidR="00880176">
              <w:rPr>
                <w:rStyle w:val="PageNumber"/>
              </w:rPr>
              <w:t>2</w:t>
            </w:r>
            <w:r w:rsidR="00880176" w:rsidRPr="00514FF4">
              <w:rPr>
                <w:rStyle w:val="PageNumber"/>
              </w:rPr>
              <w:t>.</w:t>
            </w:r>
          </w:fldSimple>
          <w:r w:rsidR="00880176">
            <w:rPr>
              <w:rStyle w:val="PageNumber"/>
            </w:rPr>
            <w:fldChar w:fldCharType="begin"/>
          </w:r>
          <w:r w:rsidR="00880176">
            <w:rPr>
              <w:rStyle w:val="PageNumber"/>
            </w:rPr>
            <w:instrText xml:space="preserve">PAGE  </w:instrText>
          </w:r>
          <w:r w:rsidR="00880176">
            <w:rPr>
              <w:rStyle w:val="PageNumber"/>
            </w:rPr>
            <w:fldChar w:fldCharType="separate"/>
          </w:r>
          <w:r w:rsidR="00801D0C">
            <w:rPr>
              <w:rStyle w:val="PageNumber"/>
              <w:noProof/>
            </w:rPr>
            <w:t>12</w:t>
          </w:r>
          <w:r w:rsidR="00880176">
            <w:rPr>
              <w:rStyle w:val="PageNumber"/>
            </w:rPr>
            <w:fldChar w:fldCharType="end"/>
          </w:r>
        </w:p>
      </w:tc>
      <w:tc>
        <w:tcPr>
          <w:tcW w:w="1644" w:type="dxa"/>
          <w:tcBorders>
            <w:top w:val="single" w:sz="6" w:space="0" w:color="auto"/>
          </w:tcBorders>
        </w:tcPr>
        <w:p w:rsidR="002F6D1A" w:rsidRDefault="008B475E" w:rsidP="0019293B">
          <w:pPr>
            <w:pStyle w:val="Footer"/>
          </w:pPr>
          <w:fldSimple w:instr=" SUBJECT  \* MERGEFORMAT ">
            <w:r w:rsidR="002F6D1A">
              <w:t>Report on Government Services 2013</w:t>
            </w:r>
          </w:fldSimple>
        </w:p>
      </w:tc>
      <w:tc>
        <w:tcPr>
          <w:tcW w:w="6634" w:type="dxa"/>
        </w:tcPr>
        <w:p w:rsidR="002F6D1A" w:rsidRDefault="002F6D1A" w:rsidP="0019293B">
          <w:pPr>
            <w:pStyle w:val="Footer"/>
          </w:pPr>
        </w:p>
      </w:tc>
    </w:tr>
  </w:tbl>
  <w:p w:rsidR="002F6D1A" w:rsidRDefault="002F6D1A" w:rsidP="0019293B">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2F6D1A">
      <w:trPr>
        <w:trHeight w:hRule="exact" w:val="740"/>
      </w:trPr>
      <w:tc>
        <w:tcPr>
          <w:tcW w:w="6634" w:type="dxa"/>
        </w:tcPr>
        <w:p w:rsidR="002F6D1A" w:rsidRDefault="002F6D1A" w:rsidP="00880176">
          <w:pPr>
            <w:pStyle w:val="Footer"/>
            <w:ind w:right="360" w:firstLine="360"/>
          </w:pPr>
        </w:p>
      </w:tc>
      <w:tc>
        <w:tcPr>
          <w:tcW w:w="1644" w:type="dxa"/>
          <w:tcBorders>
            <w:top w:val="single" w:sz="6" w:space="0" w:color="auto"/>
          </w:tcBorders>
        </w:tcPr>
        <w:p w:rsidR="002F6D1A" w:rsidRDefault="008B475E">
          <w:pPr>
            <w:pStyle w:val="Footer"/>
          </w:pPr>
          <w:fldSimple w:instr=" TITLE  \* MERGEFORMAT ">
            <w:r w:rsidR="002F6D1A">
              <w:t>Indigenous Compendium 2013</w:t>
            </w:r>
          </w:fldSimple>
        </w:p>
      </w:tc>
      <w:tc>
        <w:tcPr>
          <w:tcW w:w="510" w:type="dxa"/>
          <w:tcBorders>
            <w:top w:val="single" w:sz="6" w:space="0" w:color="auto"/>
          </w:tcBorders>
        </w:tcPr>
        <w:p w:rsidR="002F6D1A" w:rsidRDefault="008B475E">
          <w:pPr>
            <w:pStyle w:val="Footer"/>
            <w:jc w:val="right"/>
          </w:pPr>
          <w:fldSimple w:instr=" COMMENTS  \* MERGEFORMAT ">
            <w:r w:rsidR="00880176">
              <w:rPr>
                <w:rStyle w:val="PageNumber"/>
              </w:rPr>
              <w:t>2</w:t>
            </w:r>
            <w:r w:rsidR="00880176" w:rsidRPr="00514FF4">
              <w:rPr>
                <w:rStyle w:val="PageNumber"/>
              </w:rPr>
              <w:t>.</w:t>
            </w:r>
          </w:fldSimple>
          <w:r w:rsidR="00880176">
            <w:rPr>
              <w:rStyle w:val="PageNumber"/>
            </w:rPr>
            <w:fldChar w:fldCharType="begin"/>
          </w:r>
          <w:r w:rsidR="00880176">
            <w:rPr>
              <w:rStyle w:val="PageNumber"/>
            </w:rPr>
            <w:instrText xml:space="preserve">PAGE  </w:instrText>
          </w:r>
          <w:r w:rsidR="00880176">
            <w:rPr>
              <w:rStyle w:val="PageNumber"/>
            </w:rPr>
            <w:fldChar w:fldCharType="separate"/>
          </w:r>
          <w:r w:rsidR="00801D0C">
            <w:rPr>
              <w:rStyle w:val="PageNumber"/>
              <w:noProof/>
            </w:rPr>
            <w:t>11</w:t>
          </w:r>
          <w:r w:rsidR="00880176">
            <w:rPr>
              <w:rStyle w:val="PageNumber"/>
            </w:rPr>
            <w:fldChar w:fldCharType="end"/>
          </w:r>
        </w:p>
      </w:tc>
    </w:tr>
  </w:tbl>
  <w:p w:rsidR="002F6D1A" w:rsidRDefault="002F6D1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6D1A" w:rsidRDefault="002F6D1A">
      <w:r>
        <w:separator/>
      </w:r>
    </w:p>
  </w:footnote>
  <w:footnote w:type="continuationSeparator" w:id="0">
    <w:p w:rsidR="002F6D1A" w:rsidRDefault="002F6D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F6D1A">
      <w:tc>
        <w:tcPr>
          <w:tcW w:w="2155" w:type="dxa"/>
          <w:tcBorders>
            <w:top w:val="single" w:sz="24" w:space="0" w:color="auto"/>
          </w:tcBorders>
        </w:tcPr>
        <w:p w:rsidR="002F6D1A" w:rsidRDefault="002F6D1A">
          <w:pPr>
            <w:pStyle w:val="HeaderEven"/>
          </w:pPr>
        </w:p>
      </w:tc>
      <w:tc>
        <w:tcPr>
          <w:tcW w:w="6634" w:type="dxa"/>
          <w:tcBorders>
            <w:top w:val="single" w:sz="6" w:space="0" w:color="auto"/>
          </w:tcBorders>
        </w:tcPr>
        <w:p w:rsidR="002F6D1A" w:rsidRPr="00D75E53" w:rsidRDefault="002F6D1A" w:rsidP="00EE2915">
          <w:pPr>
            <w:pStyle w:val="HeaderEven"/>
            <w:jc w:val="right"/>
          </w:pPr>
        </w:p>
      </w:tc>
    </w:tr>
  </w:tbl>
  <w:p w:rsidR="002F6D1A" w:rsidRDefault="002F6D1A">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F6D1A">
      <w:tc>
        <w:tcPr>
          <w:tcW w:w="6634" w:type="dxa"/>
          <w:tcBorders>
            <w:top w:val="single" w:sz="6" w:space="0" w:color="auto"/>
          </w:tcBorders>
        </w:tcPr>
        <w:p w:rsidR="002F6D1A" w:rsidRDefault="002F6D1A">
          <w:pPr>
            <w:pStyle w:val="HeaderOdd"/>
          </w:pPr>
        </w:p>
      </w:tc>
      <w:tc>
        <w:tcPr>
          <w:tcW w:w="2155" w:type="dxa"/>
          <w:tcBorders>
            <w:top w:val="single" w:sz="24" w:space="0" w:color="auto"/>
          </w:tcBorders>
        </w:tcPr>
        <w:p w:rsidR="002F6D1A" w:rsidRDefault="002F6D1A">
          <w:pPr>
            <w:pStyle w:val="HeaderOdd"/>
          </w:pPr>
        </w:p>
      </w:tc>
    </w:tr>
  </w:tbl>
  <w:p w:rsidR="002F6D1A" w:rsidRDefault="002F6D1A">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D1A" w:rsidRDefault="002F6D1A">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D1A" w:rsidRDefault="002F6D1A">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D1A" w:rsidRDefault="002F6D1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2F6D1A">
      <w:tc>
        <w:tcPr>
          <w:tcW w:w="2155" w:type="dxa"/>
          <w:tcBorders>
            <w:top w:val="single" w:sz="24" w:space="0" w:color="auto"/>
          </w:tcBorders>
        </w:tcPr>
        <w:p w:rsidR="002F6D1A" w:rsidRDefault="002F6D1A" w:rsidP="0019293B">
          <w:pPr>
            <w:pStyle w:val="HeaderEven"/>
          </w:pPr>
        </w:p>
      </w:tc>
      <w:tc>
        <w:tcPr>
          <w:tcW w:w="6634" w:type="dxa"/>
          <w:tcBorders>
            <w:top w:val="single" w:sz="6" w:space="0" w:color="auto"/>
          </w:tcBorders>
        </w:tcPr>
        <w:p w:rsidR="002F6D1A" w:rsidRDefault="002F6D1A" w:rsidP="0019293B">
          <w:pPr>
            <w:pStyle w:val="HeaderEven"/>
          </w:pPr>
        </w:p>
      </w:tc>
    </w:tr>
  </w:tbl>
  <w:p w:rsidR="002F6D1A" w:rsidRDefault="002F6D1A" w:rsidP="0019293B">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2F6D1A">
      <w:tc>
        <w:tcPr>
          <w:tcW w:w="6634" w:type="dxa"/>
          <w:tcBorders>
            <w:top w:val="single" w:sz="6" w:space="0" w:color="auto"/>
          </w:tcBorders>
        </w:tcPr>
        <w:p w:rsidR="002F6D1A" w:rsidRDefault="002F6D1A" w:rsidP="00E669E2">
          <w:pPr>
            <w:pStyle w:val="HeaderOdd"/>
          </w:pPr>
        </w:p>
      </w:tc>
      <w:tc>
        <w:tcPr>
          <w:tcW w:w="2155" w:type="dxa"/>
          <w:tcBorders>
            <w:top w:val="single" w:sz="24" w:space="0" w:color="auto"/>
          </w:tcBorders>
        </w:tcPr>
        <w:p w:rsidR="002F6D1A" w:rsidRDefault="002F6D1A" w:rsidP="00E669E2">
          <w:pPr>
            <w:pStyle w:val="HeaderOdd"/>
          </w:pPr>
        </w:p>
      </w:tc>
    </w:tr>
  </w:tbl>
  <w:p w:rsidR="002F6D1A" w:rsidRDefault="002F6D1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49E6AB8"/>
    <w:multiLevelType w:val="hybridMultilevel"/>
    <w:tmpl w:val="BE7E94A6"/>
    <w:lvl w:ilvl="0" w:tplc="07161100">
      <w:start w:val="1"/>
      <w:numFmt w:val="decimal"/>
      <w:lvlText w:val="%1"/>
      <w:lvlJc w:val="left"/>
      <w:pPr>
        <w:ind w:left="1260" w:hanging="90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16"/>
  </w:num>
  <w:num w:numId="3">
    <w:abstractNumId w:val="0"/>
  </w:num>
  <w:num w:numId="4">
    <w:abstractNumId w:val="11"/>
  </w:num>
  <w:num w:numId="5">
    <w:abstractNumId w:val="1"/>
  </w:num>
  <w:num w:numId="6">
    <w:abstractNumId w:val="15"/>
  </w:num>
  <w:num w:numId="7">
    <w:abstractNumId w:val="13"/>
  </w:num>
  <w:num w:numId="8">
    <w:abstractNumId w:val="17"/>
  </w:num>
  <w:num w:numId="9">
    <w:abstractNumId w:val="5"/>
  </w:num>
  <w:num w:numId="10">
    <w:abstractNumId w:val="12"/>
  </w:num>
  <w:num w:numId="11">
    <w:abstractNumId w:val="4"/>
  </w:num>
  <w:num w:numId="12">
    <w:abstractNumId w:val="3"/>
  </w:num>
  <w:num w:numId="13">
    <w:abstractNumId w:val="6"/>
  </w:num>
  <w:num w:numId="14">
    <w:abstractNumId w:val="8"/>
  </w:num>
  <w:num w:numId="15">
    <w:abstractNumId w:val="10"/>
  </w:num>
  <w:num w:numId="16">
    <w:abstractNumId w:val="2"/>
  </w:num>
  <w:num w:numId="17">
    <w:abstractNumId w:val="14"/>
  </w:num>
  <w:num w:numId="18">
    <w:abstractNumId w:val="11"/>
  </w:num>
  <w:num w:numId="19">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digenous Compendium 2013"/>
    <w:docVar w:name="ShortReportTitle" w:val="Report on Government Services 2013"/>
  </w:docVars>
  <w:rsids>
    <w:rsidRoot w:val="00B86CB4"/>
    <w:rsid w:val="000227D5"/>
    <w:rsid w:val="00023DA8"/>
    <w:rsid w:val="000245AA"/>
    <w:rsid w:val="0003664B"/>
    <w:rsid w:val="0004111F"/>
    <w:rsid w:val="000565B3"/>
    <w:rsid w:val="0007150B"/>
    <w:rsid w:val="000938F5"/>
    <w:rsid w:val="00096E55"/>
    <w:rsid w:val="000B601B"/>
    <w:rsid w:val="000C207E"/>
    <w:rsid w:val="000F0035"/>
    <w:rsid w:val="000F420B"/>
    <w:rsid w:val="00110116"/>
    <w:rsid w:val="00120072"/>
    <w:rsid w:val="00126EB8"/>
    <w:rsid w:val="001274D4"/>
    <w:rsid w:val="001363AA"/>
    <w:rsid w:val="00167CA3"/>
    <w:rsid w:val="00180C70"/>
    <w:rsid w:val="0018366C"/>
    <w:rsid w:val="00183E82"/>
    <w:rsid w:val="001878BB"/>
    <w:rsid w:val="00187EEA"/>
    <w:rsid w:val="00191AE0"/>
    <w:rsid w:val="0019293B"/>
    <w:rsid w:val="00197D7B"/>
    <w:rsid w:val="001A5435"/>
    <w:rsid w:val="001B7720"/>
    <w:rsid w:val="001C0865"/>
    <w:rsid w:val="001C3ABA"/>
    <w:rsid w:val="001E7BE8"/>
    <w:rsid w:val="001F0248"/>
    <w:rsid w:val="001F3EB3"/>
    <w:rsid w:val="001F4F86"/>
    <w:rsid w:val="00202C2C"/>
    <w:rsid w:val="0020524B"/>
    <w:rsid w:val="002059A0"/>
    <w:rsid w:val="002135AB"/>
    <w:rsid w:val="002144BE"/>
    <w:rsid w:val="00242279"/>
    <w:rsid w:val="00245C82"/>
    <w:rsid w:val="0028038E"/>
    <w:rsid w:val="0029178B"/>
    <w:rsid w:val="00291B40"/>
    <w:rsid w:val="002A390F"/>
    <w:rsid w:val="002B2B92"/>
    <w:rsid w:val="002B4008"/>
    <w:rsid w:val="002D0E8E"/>
    <w:rsid w:val="002F6D1A"/>
    <w:rsid w:val="00301189"/>
    <w:rsid w:val="00305743"/>
    <w:rsid w:val="00323E09"/>
    <w:rsid w:val="00333932"/>
    <w:rsid w:val="00342D92"/>
    <w:rsid w:val="003518AA"/>
    <w:rsid w:val="00352165"/>
    <w:rsid w:val="00353182"/>
    <w:rsid w:val="003565D9"/>
    <w:rsid w:val="003602E1"/>
    <w:rsid w:val="0037026F"/>
    <w:rsid w:val="00371240"/>
    <w:rsid w:val="00374731"/>
    <w:rsid w:val="00376E59"/>
    <w:rsid w:val="003919F9"/>
    <w:rsid w:val="00393A0D"/>
    <w:rsid w:val="003C1C92"/>
    <w:rsid w:val="003C38B5"/>
    <w:rsid w:val="003C5D99"/>
    <w:rsid w:val="003D3B04"/>
    <w:rsid w:val="003E22A7"/>
    <w:rsid w:val="003E2F59"/>
    <w:rsid w:val="003F0789"/>
    <w:rsid w:val="003F1B1B"/>
    <w:rsid w:val="003F652B"/>
    <w:rsid w:val="00401882"/>
    <w:rsid w:val="004100C8"/>
    <w:rsid w:val="00411DBD"/>
    <w:rsid w:val="00412ACE"/>
    <w:rsid w:val="00431249"/>
    <w:rsid w:val="00434C19"/>
    <w:rsid w:val="004417C1"/>
    <w:rsid w:val="00450810"/>
    <w:rsid w:val="00464B60"/>
    <w:rsid w:val="00477144"/>
    <w:rsid w:val="00486AC8"/>
    <w:rsid w:val="00491380"/>
    <w:rsid w:val="00492BF6"/>
    <w:rsid w:val="0049459F"/>
    <w:rsid w:val="0049471C"/>
    <w:rsid w:val="004956FF"/>
    <w:rsid w:val="004A38DD"/>
    <w:rsid w:val="004B43AE"/>
    <w:rsid w:val="004B5496"/>
    <w:rsid w:val="004C30ED"/>
    <w:rsid w:val="004D5675"/>
    <w:rsid w:val="004E1C9C"/>
    <w:rsid w:val="00502461"/>
    <w:rsid w:val="00514617"/>
    <w:rsid w:val="00523639"/>
    <w:rsid w:val="00531FE5"/>
    <w:rsid w:val="00532335"/>
    <w:rsid w:val="00583C39"/>
    <w:rsid w:val="00587F28"/>
    <w:rsid w:val="005909CF"/>
    <w:rsid w:val="00591E71"/>
    <w:rsid w:val="005A0D41"/>
    <w:rsid w:val="005D09F1"/>
    <w:rsid w:val="005F3481"/>
    <w:rsid w:val="00607BF1"/>
    <w:rsid w:val="00626592"/>
    <w:rsid w:val="00630D4D"/>
    <w:rsid w:val="00632A74"/>
    <w:rsid w:val="00636F7C"/>
    <w:rsid w:val="00661EBF"/>
    <w:rsid w:val="006A4655"/>
    <w:rsid w:val="006B2B3C"/>
    <w:rsid w:val="006C1D81"/>
    <w:rsid w:val="006C7038"/>
    <w:rsid w:val="006E73EF"/>
    <w:rsid w:val="00714D4D"/>
    <w:rsid w:val="00723B87"/>
    <w:rsid w:val="007604BB"/>
    <w:rsid w:val="00765910"/>
    <w:rsid w:val="00771EF1"/>
    <w:rsid w:val="00785232"/>
    <w:rsid w:val="007A21EB"/>
    <w:rsid w:val="007B1A93"/>
    <w:rsid w:val="007C1CDB"/>
    <w:rsid w:val="007C36C9"/>
    <w:rsid w:val="007D6401"/>
    <w:rsid w:val="007E01E4"/>
    <w:rsid w:val="007E7236"/>
    <w:rsid w:val="007F7107"/>
    <w:rsid w:val="00800D4C"/>
    <w:rsid w:val="00801D0C"/>
    <w:rsid w:val="0081030F"/>
    <w:rsid w:val="0082087D"/>
    <w:rsid w:val="00835771"/>
    <w:rsid w:val="00842933"/>
    <w:rsid w:val="0086082C"/>
    <w:rsid w:val="00864ADC"/>
    <w:rsid w:val="00880153"/>
    <w:rsid w:val="00880176"/>
    <w:rsid w:val="00880F97"/>
    <w:rsid w:val="0088133A"/>
    <w:rsid w:val="0088688A"/>
    <w:rsid w:val="0089285E"/>
    <w:rsid w:val="0089436C"/>
    <w:rsid w:val="008B475E"/>
    <w:rsid w:val="008D365C"/>
    <w:rsid w:val="008E28AF"/>
    <w:rsid w:val="009030BF"/>
    <w:rsid w:val="0091032F"/>
    <w:rsid w:val="00914368"/>
    <w:rsid w:val="00931076"/>
    <w:rsid w:val="00933C8C"/>
    <w:rsid w:val="009345D9"/>
    <w:rsid w:val="009345F5"/>
    <w:rsid w:val="00934B15"/>
    <w:rsid w:val="00942B62"/>
    <w:rsid w:val="0094689A"/>
    <w:rsid w:val="00956A0C"/>
    <w:rsid w:val="00956BD9"/>
    <w:rsid w:val="00962489"/>
    <w:rsid w:val="0096387B"/>
    <w:rsid w:val="00990C2C"/>
    <w:rsid w:val="00996FAA"/>
    <w:rsid w:val="009A0700"/>
    <w:rsid w:val="009A18E4"/>
    <w:rsid w:val="009B111A"/>
    <w:rsid w:val="009D01EE"/>
    <w:rsid w:val="009E0615"/>
    <w:rsid w:val="009F0D1B"/>
    <w:rsid w:val="009F696D"/>
    <w:rsid w:val="009F6BC6"/>
    <w:rsid w:val="00A02721"/>
    <w:rsid w:val="00A02B1A"/>
    <w:rsid w:val="00A17328"/>
    <w:rsid w:val="00A23A20"/>
    <w:rsid w:val="00A268B9"/>
    <w:rsid w:val="00A2703A"/>
    <w:rsid w:val="00A33DFF"/>
    <w:rsid w:val="00A35115"/>
    <w:rsid w:val="00A36D9A"/>
    <w:rsid w:val="00A43D1D"/>
    <w:rsid w:val="00A554AB"/>
    <w:rsid w:val="00A57062"/>
    <w:rsid w:val="00A9231C"/>
    <w:rsid w:val="00A92B53"/>
    <w:rsid w:val="00A94FA6"/>
    <w:rsid w:val="00AA341C"/>
    <w:rsid w:val="00AA49A0"/>
    <w:rsid w:val="00AA6710"/>
    <w:rsid w:val="00AA6D99"/>
    <w:rsid w:val="00AB0681"/>
    <w:rsid w:val="00AD520B"/>
    <w:rsid w:val="00B07561"/>
    <w:rsid w:val="00B425C3"/>
    <w:rsid w:val="00B440AD"/>
    <w:rsid w:val="00B53E7E"/>
    <w:rsid w:val="00B6342E"/>
    <w:rsid w:val="00B7113F"/>
    <w:rsid w:val="00B73E38"/>
    <w:rsid w:val="00B86CB4"/>
    <w:rsid w:val="00B87DE1"/>
    <w:rsid w:val="00B93513"/>
    <w:rsid w:val="00B93F80"/>
    <w:rsid w:val="00B949D4"/>
    <w:rsid w:val="00BA73B6"/>
    <w:rsid w:val="00BA7E27"/>
    <w:rsid w:val="00BB2603"/>
    <w:rsid w:val="00BB4FCD"/>
    <w:rsid w:val="00BD0F4D"/>
    <w:rsid w:val="00BD13EA"/>
    <w:rsid w:val="00BE3808"/>
    <w:rsid w:val="00BF3091"/>
    <w:rsid w:val="00C062E9"/>
    <w:rsid w:val="00C07B64"/>
    <w:rsid w:val="00C13721"/>
    <w:rsid w:val="00C14FE4"/>
    <w:rsid w:val="00C3066D"/>
    <w:rsid w:val="00C543F4"/>
    <w:rsid w:val="00C6291C"/>
    <w:rsid w:val="00C633CB"/>
    <w:rsid w:val="00C67AE1"/>
    <w:rsid w:val="00C778B3"/>
    <w:rsid w:val="00C81D4A"/>
    <w:rsid w:val="00C8762C"/>
    <w:rsid w:val="00CA00F9"/>
    <w:rsid w:val="00CA2961"/>
    <w:rsid w:val="00CB25BE"/>
    <w:rsid w:val="00CB50D7"/>
    <w:rsid w:val="00CB7177"/>
    <w:rsid w:val="00CC1998"/>
    <w:rsid w:val="00CC4946"/>
    <w:rsid w:val="00CE45A7"/>
    <w:rsid w:val="00CE6EB5"/>
    <w:rsid w:val="00D270A4"/>
    <w:rsid w:val="00D31FE9"/>
    <w:rsid w:val="00D34E1B"/>
    <w:rsid w:val="00D376BA"/>
    <w:rsid w:val="00D45634"/>
    <w:rsid w:val="00D551EF"/>
    <w:rsid w:val="00D5568A"/>
    <w:rsid w:val="00D63D73"/>
    <w:rsid w:val="00D64452"/>
    <w:rsid w:val="00D66E1E"/>
    <w:rsid w:val="00D75722"/>
    <w:rsid w:val="00D80CF5"/>
    <w:rsid w:val="00DA5BBA"/>
    <w:rsid w:val="00DB0E58"/>
    <w:rsid w:val="00DB26D2"/>
    <w:rsid w:val="00DB67C9"/>
    <w:rsid w:val="00DC0C95"/>
    <w:rsid w:val="00DD6580"/>
    <w:rsid w:val="00DF70FF"/>
    <w:rsid w:val="00E0363B"/>
    <w:rsid w:val="00E17C72"/>
    <w:rsid w:val="00E21FC6"/>
    <w:rsid w:val="00E22A42"/>
    <w:rsid w:val="00E254BC"/>
    <w:rsid w:val="00E431A9"/>
    <w:rsid w:val="00E669E2"/>
    <w:rsid w:val="00E76135"/>
    <w:rsid w:val="00E82F4F"/>
    <w:rsid w:val="00EB50D0"/>
    <w:rsid w:val="00EB5C47"/>
    <w:rsid w:val="00EC2844"/>
    <w:rsid w:val="00EC5500"/>
    <w:rsid w:val="00EC744C"/>
    <w:rsid w:val="00EE2915"/>
    <w:rsid w:val="00EF6C6C"/>
    <w:rsid w:val="00F056FC"/>
    <w:rsid w:val="00F10476"/>
    <w:rsid w:val="00F135D8"/>
    <w:rsid w:val="00F31299"/>
    <w:rsid w:val="00F3534A"/>
    <w:rsid w:val="00F36DB3"/>
    <w:rsid w:val="00F51609"/>
    <w:rsid w:val="00F81E85"/>
    <w:rsid w:val="00F85325"/>
    <w:rsid w:val="00F8746D"/>
    <w:rsid w:val="00FB57A6"/>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3" w:uiPriority="39"/>
    <w:lsdException w:name="toc 4"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DB67C9"/>
    <w:pPr>
      <w:numPr>
        <w:numId w:val="4"/>
      </w:numPr>
      <w:spacing w:before="120"/>
    </w:pPr>
  </w:style>
  <w:style w:type="paragraph" w:styleId="ListBullet2">
    <w:name w:val="List Bullet 2"/>
    <w:basedOn w:val="BodyText"/>
    <w:link w:val="ListBullet2Char"/>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B86CB4"/>
    <w:rPr>
      <w:sz w:val="26"/>
    </w:rPr>
  </w:style>
  <w:style w:type="character" w:customStyle="1" w:styleId="BodyTextChar2">
    <w:name w:val="Body Text Char2"/>
    <w:aliases w:val="new legislation style Char2,Body Text Char1 Char Char1,Body Text Char Char Char Char1,Body Text Char1 Char Char Char Char1,Body Text Char Char Char Char Char1 Char1,Body Text Char2 Char1 Char Char Char Char Char Char1,Body Text Char1"/>
    <w:locked/>
    <w:rsid w:val="009A18E4"/>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link w:val="Heading3"/>
    <w:locked/>
    <w:rsid w:val="00EE2915"/>
    <w:rPr>
      <w:rFonts w:ascii="Arial" w:hAnsi="Arial"/>
      <w:b/>
      <w:sz w:val="26"/>
    </w:rPr>
  </w:style>
  <w:style w:type="character" w:customStyle="1" w:styleId="Heading5Char">
    <w:name w:val="Heading 5 Char"/>
    <w:link w:val="Heading5"/>
    <w:locked/>
    <w:rsid w:val="00EE2915"/>
    <w:rPr>
      <w:i/>
      <w:sz w:val="26"/>
    </w:rPr>
  </w:style>
  <w:style w:type="character" w:customStyle="1" w:styleId="FooterChar">
    <w:name w:val="Footer Char"/>
    <w:link w:val="Footer"/>
    <w:semiHidden/>
    <w:locked/>
    <w:rsid w:val="00EE2915"/>
    <w:rPr>
      <w:caps/>
      <w:spacing w:val="-4"/>
      <w:sz w:val="16"/>
    </w:rPr>
  </w:style>
  <w:style w:type="character" w:customStyle="1" w:styleId="HeaderChar">
    <w:name w:val="Header Char"/>
    <w:link w:val="Header"/>
    <w:locked/>
    <w:rsid w:val="00EE2915"/>
    <w:rPr>
      <w:rFonts w:ascii="Arial" w:hAnsi="Arial"/>
      <w:caps/>
      <w:sz w:val="26"/>
    </w:rPr>
  </w:style>
  <w:style w:type="character" w:customStyle="1" w:styleId="NoteChar">
    <w:name w:val="Note Char"/>
    <w:basedOn w:val="DefaultParagraphFont"/>
    <w:link w:val="Note"/>
    <w:rsid w:val="00EE2915"/>
    <w:rPr>
      <w:rFonts w:ascii="Arial" w:hAnsi="Arial"/>
      <w:sz w:val="18"/>
    </w:rPr>
  </w:style>
  <w:style w:type="character" w:customStyle="1" w:styleId="SourceChar">
    <w:name w:val="Source Char"/>
    <w:basedOn w:val="NoteChar"/>
    <w:link w:val="Source"/>
    <w:rsid w:val="00EE2915"/>
    <w:rPr>
      <w:rFonts w:ascii="Arial" w:hAnsi="Arial"/>
      <w:sz w:val="18"/>
    </w:rPr>
  </w:style>
  <w:style w:type="character" w:customStyle="1" w:styleId="TableBodyTextChar">
    <w:name w:val="Table Body Text Char"/>
    <w:basedOn w:val="DefaultParagraphFont"/>
    <w:link w:val="TableBodyText"/>
    <w:rsid w:val="00EE2915"/>
    <w:rPr>
      <w:rFonts w:ascii="Arial" w:hAnsi="Arial"/>
    </w:rPr>
  </w:style>
  <w:style w:type="character" w:customStyle="1" w:styleId="TableTitleChar">
    <w:name w:val="Table Title Char"/>
    <w:link w:val="TableTitle"/>
    <w:locked/>
    <w:rsid w:val="00EE2915"/>
    <w:rPr>
      <w:rFonts w:ascii="Arial" w:hAnsi="Arial"/>
      <w:b/>
      <w:sz w:val="24"/>
      <w:szCs w:val="24"/>
    </w:rPr>
  </w:style>
  <w:style w:type="character" w:customStyle="1" w:styleId="ListBullet2Char">
    <w:name w:val="List Bullet 2 Char"/>
    <w:link w:val="ListBullet2"/>
    <w:locked/>
    <w:rsid w:val="00CB25BE"/>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3" w:uiPriority="39"/>
    <w:lsdException w:name="toc 4"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9345D9"/>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DB67C9"/>
    <w:pPr>
      <w:numPr>
        <w:numId w:val="4"/>
      </w:numPr>
      <w:spacing w:before="120"/>
    </w:pPr>
  </w:style>
  <w:style w:type="paragraph" w:styleId="ListBullet2">
    <w:name w:val="List Bullet 2"/>
    <w:basedOn w:val="BodyText"/>
    <w:link w:val="ListBullet2Char"/>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basedOn w:val="DefaultParagraphFont"/>
    <w:link w:val="BodyText"/>
    <w:rsid w:val="00B86CB4"/>
    <w:rPr>
      <w:sz w:val="26"/>
    </w:rPr>
  </w:style>
  <w:style w:type="character" w:customStyle="1" w:styleId="BodyTextChar2">
    <w:name w:val="Body Text Char2"/>
    <w:aliases w:val="new legislation style Char2,Body Text Char1 Char Char1,Body Text Char Char Char Char1,Body Text Char1 Char Char Char Char1,Body Text Char Char Char Char Char1 Char1,Body Text Char2 Char1 Char Char Char Char Char Char1,Body Text Char1"/>
    <w:locked/>
    <w:rsid w:val="009A18E4"/>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link w:val="Heading3"/>
    <w:locked/>
    <w:rsid w:val="00EE2915"/>
    <w:rPr>
      <w:rFonts w:ascii="Arial" w:hAnsi="Arial"/>
      <w:b/>
      <w:sz w:val="26"/>
    </w:rPr>
  </w:style>
  <w:style w:type="character" w:customStyle="1" w:styleId="Heading5Char">
    <w:name w:val="Heading 5 Char"/>
    <w:link w:val="Heading5"/>
    <w:locked/>
    <w:rsid w:val="00EE2915"/>
    <w:rPr>
      <w:i/>
      <w:sz w:val="26"/>
    </w:rPr>
  </w:style>
  <w:style w:type="character" w:customStyle="1" w:styleId="FooterChar">
    <w:name w:val="Footer Char"/>
    <w:link w:val="Footer"/>
    <w:semiHidden/>
    <w:locked/>
    <w:rsid w:val="00EE2915"/>
    <w:rPr>
      <w:caps/>
      <w:spacing w:val="-4"/>
      <w:sz w:val="16"/>
    </w:rPr>
  </w:style>
  <w:style w:type="character" w:customStyle="1" w:styleId="HeaderChar">
    <w:name w:val="Header Char"/>
    <w:link w:val="Header"/>
    <w:locked/>
    <w:rsid w:val="00EE2915"/>
    <w:rPr>
      <w:rFonts w:ascii="Arial" w:hAnsi="Arial"/>
      <w:caps/>
      <w:sz w:val="26"/>
    </w:rPr>
  </w:style>
  <w:style w:type="character" w:customStyle="1" w:styleId="NoteChar">
    <w:name w:val="Note Char"/>
    <w:basedOn w:val="DefaultParagraphFont"/>
    <w:link w:val="Note"/>
    <w:rsid w:val="00EE2915"/>
    <w:rPr>
      <w:rFonts w:ascii="Arial" w:hAnsi="Arial"/>
      <w:sz w:val="18"/>
    </w:rPr>
  </w:style>
  <w:style w:type="character" w:customStyle="1" w:styleId="SourceChar">
    <w:name w:val="Source Char"/>
    <w:basedOn w:val="NoteChar"/>
    <w:link w:val="Source"/>
    <w:rsid w:val="00EE2915"/>
    <w:rPr>
      <w:rFonts w:ascii="Arial" w:hAnsi="Arial"/>
      <w:sz w:val="18"/>
    </w:rPr>
  </w:style>
  <w:style w:type="character" w:customStyle="1" w:styleId="TableBodyTextChar">
    <w:name w:val="Table Body Text Char"/>
    <w:basedOn w:val="DefaultParagraphFont"/>
    <w:link w:val="TableBodyText"/>
    <w:rsid w:val="00EE2915"/>
    <w:rPr>
      <w:rFonts w:ascii="Arial" w:hAnsi="Arial"/>
    </w:rPr>
  </w:style>
  <w:style w:type="character" w:customStyle="1" w:styleId="TableTitleChar">
    <w:name w:val="Table Title Char"/>
    <w:link w:val="TableTitle"/>
    <w:locked/>
    <w:rsid w:val="00EE2915"/>
    <w:rPr>
      <w:rFonts w:ascii="Arial" w:hAnsi="Arial"/>
      <w:b/>
      <w:sz w:val="24"/>
      <w:szCs w:val="24"/>
    </w:rPr>
  </w:style>
  <w:style w:type="character" w:customStyle="1" w:styleId="ListBullet2Char">
    <w:name w:val="List Bullet 2 Char"/>
    <w:link w:val="ListBullet2"/>
    <w:locked/>
    <w:rsid w:val="00CB25BE"/>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C6667-D4C1-4D08-A369-6D88E5A5F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TotalTime>
  <Pages>12</Pages>
  <Words>2978</Words>
  <Characters>16975</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19914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2.</dc:description>
  <cp:lastModifiedBy>Productivity Commission</cp:lastModifiedBy>
  <cp:revision>5</cp:revision>
  <cp:lastPrinted>2012-07-19T02:05:00Z</cp:lastPrinted>
  <dcterms:created xsi:type="dcterms:W3CDTF">2013-04-02T03:43:00Z</dcterms:created>
  <dcterms:modified xsi:type="dcterms:W3CDTF">2013-04-16T06:00:00Z</dcterms:modified>
</cp:coreProperties>
</file>