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65D" w:rsidRPr="00D3265D" w:rsidRDefault="00D3265D" w:rsidP="00D3265D">
      <w:pPr>
        <w:keepNext/>
        <w:spacing w:before="160" w:after="1360" w:line="600" w:lineRule="exact"/>
        <w:ind w:left="907" w:hanging="907"/>
        <w:outlineLvl w:val="0"/>
        <w:rPr>
          <w:sz w:val="52"/>
          <w:szCs w:val="20"/>
        </w:rPr>
      </w:pPr>
      <w:bookmarkStart w:id="0" w:name="ChapterNumber"/>
      <w:bookmarkStart w:id="1" w:name="_Toc347750534"/>
      <w:bookmarkStart w:id="2" w:name="_Toc352667017"/>
      <w:bookmarkStart w:id="3" w:name="_GoBack"/>
      <w:bookmarkEnd w:id="3"/>
      <w:r w:rsidRPr="00D3265D">
        <w:rPr>
          <w:sz w:val="52"/>
          <w:szCs w:val="20"/>
        </w:rPr>
        <w:t>7</w:t>
      </w:r>
      <w:bookmarkEnd w:id="0"/>
      <w:r w:rsidRPr="00D3265D">
        <w:rPr>
          <w:sz w:val="52"/>
          <w:szCs w:val="20"/>
        </w:rPr>
        <w:tab/>
      </w:r>
      <w:bookmarkStart w:id="4" w:name="ChapterTitle"/>
      <w:r w:rsidRPr="00D3265D">
        <w:rPr>
          <w:sz w:val="52"/>
          <w:szCs w:val="20"/>
        </w:rPr>
        <w:t>Courts</w:t>
      </w:r>
      <w:bookmarkEnd w:id="4"/>
      <w:bookmarkEnd w:id="1"/>
      <w:bookmarkEnd w:id="2"/>
    </w:p>
    <w:p w:rsidR="00ED3BAE" w:rsidRPr="005B7F4F" w:rsidRDefault="00D3265D">
      <w:pPr>
        <w:pStyle w:val="TOC1"/>
        <w:rPr>
          <w:rFonts w:asciiTheme="minorHAnsi" w:eastAsiaTheme="minorEastAsia" w:hAnsiTheme="minorHAnsi" w:cstheme="minorBidi"/>
          <w:caps w:val="0"/>
          <w:noProof/>
          <w:sz w:val="22"/>
          <w:szCs w:val="22"/>
        </w:rPr>
      </w:pPr>
      <w:bookmarkStart w:id="5" w:name="begin"/>
      <w:bookmarkEnd w:id="5"/>
      <w:r w:rsidRPr="005B7F4F">
        <w:rPr>
          <w:noProof/>
        </w:rPr>
        <w:t>CONTENTS</w:t>
      </w:r>
    </w:p>
    <w:p w:rsidR="00ED3BAE" w:rsidRPr="005B7F4F" w:rsidRDefault="00ED3BAE">
      <w:pPr>
        <w:pStyle w:val="TOC3"/>
        <w:rPr>
          <w:b/>
          <w:noProof/>
        </w:rPr>
      </w:pPr>
      <w:r w:rsidRPr="005B7F4F">
        <w:rPr>
          <w:b/>
          <w:noProof/>
        </w:rPr>
        <w:t>Roles and responsibilities</w:t>
      </w:r>
      <w:r w:rsidRPr="005B7F4F">
        <w:rPr>
          <w:b/>
          <w:noProof/>
          <w:webHidden/>
        </w:rPr>
        <w:tab/>
      </w:r>
      <w:r w:rsidR="005B7F4F">
        <w:rPr>
          <w:b/>
          <w:noProof/>
          <w:webHidden/>
        </w:rPr>
        <w:t>7.1</w:t>
      </w:r>
    </w:p>
    <w:p w:rsidR="00D3265D" w:rsidRPr="005B7F4F" w:rsidRDefault="00ED3BAE" w:rsidP="00E95A74">
      <w:pPr>
        <w:pStyle w:val="TOC3"/>
        <w:rPr>
          <w:b/>
          <w:highlight w:val="yellow"/>
        </w:rPr>
      </w:pPr>
      <w:r w:rsidRPr="005B7F4F">
        <w:rPr>
          <w:b/>
          <w:noProof/>
        </w:rPr>
        <w:t>Indigenous data in the Courts chapter</w:t>
      </w:r>
      <w:r w:rsidRPr="005B7F4F">
        <w:rPr>
          <w:b/>
          <w:noProof/>
          <w:webHidden/>
        </w:rPr>
        <w:tab/>
      </w:r>
      <w:r w:rsidR="005B7F4F">
        <w:rPr>
          <w:b/>
          <w:noProof/>
          <w:webHidden/>
        </w:rPr>
        <w:t>7.2</w:t>
      </w:r>
    </w:p>
    <w:p w:rsidR="006F4446" w:rsidRPr="00BD0D9E" w:rsidRDefault="006F4446" w:rsidP="006F4446">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C43A1" w:rsidRPr="00D75A24" w:rsidTr="00042734">
        <w:tc>
          <w:tcPr>
            <w:tcW w:w="8771" w:type="dxa"/>
            <w:tcBorders>
              <w:top w:val="single" w:sz="6" w:space="0" w:color="auto"/>
              <w:bottom w:val="nil"/>
            </w:tcBorders>
            <w:shd w:val="clear" w:color="auto" w:fill="E0E0E0"/>
          </w:tcPr>
          <w:p w:rsidR="00FC43A1" w:rsidRPr="00D75A24" w:rsidRDefault="00FC43A1" w:rsidP="00042734">
            <w:pPr>
              <w:keepNext/>
              <w:keepLines/>
              <w:spacing w:before="120" w:line="280" w:lineRule="exact"/>
              <w:ind w:left="1304" w:hanging="1304"/>
              <w:rPr>
                <w:rFonts w:ascii="Arial" w:hAnsi="Arial"/>
                <w:b/>
              </w:rPr>
            </w:pPr>
            <w:r w:rsidRPr="00D75A24">
              <w:rPr>
                <w:rFonts w:ascii="Arial" w:hAnsi="Arial"/>
                <w:b/>
              </w:rPr>
              <w:t>Attachment tables</w:t>
            </w:r>
          </w:p>
        </w:tc>
      </w:tr>
      <w:tr w:rsidR="00FC43A1" w:rsidRPr="00D75A24" w:rsidTr="00042734">
        <w:trPr>
          <w:cantSplit/>
        </w:trPr>
        <w:tc>
          <w:tcPr>
            <w:tcW w:w="8771" w:type="dxa"/>
            <w:tcBorders>
              <w:top w:val="nil"/>
              <w:left w:val="single" w:sz="6" w:space="0" w:color="auto"/>
              <w:bottom w:val="nil"/>
              <w:right w:val="single" w:sz="6" w:space="0" w:color="auto"/>
            </w:tcBorders>
            <w:shd w:val="clear" w:color="auto" w:fill="E0E0E0"/>
          </w:tcPr>
          <w:p w:rsidR="00FC43A1" w:rsidRPr="00D75A24" w:rsidRDefault="00FC43A1" w:rsidP="00042734">
            <w:pPr>
              <w:keepNext/>
              <w:spacing w:before="120" w:line="280" w:lineRule="atLeast"/>
              <w:jc w:val="both"/>
              <w:rPr>
                <w:rFonts w:ascii="Arial" w:hAnsi="Arial"/>
                <w:sz w:val="22"/>
                <w:szCs w:val="20"/>
              </w:rPr>
            </w:pPr>
            <w:r w:rsidRPr="00D3265D">
              <w:rPr>
                <w:rFonts w:ascii="Arial" w:hAnsi="Arial"/>
                <w:sz w:val="22"/>
                <w:szCs w:val="20"/>
              </w:rPr>
              <w:t>Th</w:t>
            </w:r>
            <w:r>
              <w:rPr>
                <w:rFonts w:ascii="Arial" w:hAnsi="Arial"/>
                <w:sz w:val="22"/>
                <w:szCs w:val="20"/>
              </w:rPr>
              <w:t xml:space="preserve">ere are no Courts </w:t>
            </w:r>
            <w:r w:rsidRPr="00D3265D">
              <w:rPr>
                <w:rFonts w:ascii="Arial" w:hAnsi="Arial"/>
                <w:sz w:val="22"/>
                <w:szCs w:val="20"/>
              </w:rPr>
              <w:t>attachment tables throughout this Indigenous Compendium.</w:t>
            </w:r>
          </w:p>
        </w:tc>
      </w:tr>
      <w:tr w:rsidR="00FC43A1" w:rsidRPr="006322C8" w:rsidTr="00042734">
        <w:trPr>
          <w:cantSplit/>
        </w:trPr>
        <w:tc>
          <w:tcPr>
            <w:tcW w:w="8771" w:type="dxa"/>
            <w:tcBorders>
              <w:top w:val="nil"/>
              <w:left w:val="single" w:sz="6" w:space="0" w:color="auto"/>
              <w:bottom w:val="single" w:sz="6" w:space="0" w:color="auto"/>
              <w:right w:val="single" w:sz="6" w:space="0" w:color="auto"/>
            </w:tcBorders>
            <w:shd w:val="clear" w:color="auto" w:fill="E0E0E0"/>
          </w:tcPr>
          <w:p w:rsidR="00FC43A1" w:rsidRPr="006322C8" w:rsidRDefault="00FC43A1" w:rsidP="00042734">
            <w:pPr>
              <w:keepNext/>
              <w:spacing w:line="120" w:lineRule="exact"/>
              <w:jc w:val="both"/>
              <w:rPr>
                <w:rFonts w:ascii="Arial" w:hAnsi="Arial"/>
                <w:sz w:val="22"/>
                <w:szCs w:val="20"/>
                <w:highlight w:val="yellow"/>
              </w:rPr>
            </w:pPr>
          </w:p>
        </w:tc>
      </w:tr>
      <w:tr w:rsidR="00FC43A1" w:rsidRPr="006322C8" w:rsidTr="00042734">
        <w:tc>
          <w:tcPr>
            <w:tcW w:w="8771" w:type="dxa"/>
            <w:tcBorders>
              <w:top w:val="nil"/>
              <w:left w:val="nil"/>
              <w:bottom w:val="nil"/>
              <w:right w:val="nil"/>
            </w:tcBorders>
          </w:tcPr>
          <w:p w:rsidR="00FC43A1" w:rsidRPr="006322C8" w:rsidRDefault="00FC43A1" w:rsidP="00042734">
            <w:pPr>
              <w:spacing w:before="60" w:after="60" w:line="80" w:lineRule="exact"/>
              <w:jc w:val="both"/>
              <w:rPr>
                <w:rFonts w:ascii="Arial" w:hAnsi="Arial"/>
                <w:b/>
                <w:color w:val="FF00FF"/>
                <w:sz w:val="14"/>
                <w:szCs w:val="20"/>
                <w:highlight w:val="yellow"/>
              </w:rPr>
            </w:pPr>
          </w:p>
        </w:tc>
      </w:tr>
    </w:tbl>
    <w:p w:rsidR="00D3265D" w:rsidRPr="00D3265D" w:rsidRDefault="00D3265D" w:rsidP="00D3265D">
      <w:pPr>
        <w:spacing w:before="240" w:line="320" w:lineRule="atLeast"/>
        <w:jc w:val="both"/>
        <w:rPr>
          <w:szCs w:val="20"/>
        </w:rPr>
      </w:pPr>
      <w:r w:rsidRPr="00D3265D">
        <w:rPr>
          <w:szCs w:val="20"/>
        </w:rPr>
        <w:t>The Court</w:t>
      </w:r>
      <w:r w:rsidR="00042734">
        <w:rPr>
          <w:szCs w:val="20"/>
        </w:rPr>
        <w:t>s</w:t>
      </w:r>
      <w:r w:rsidRPr="00D3265D">
        <w:rPr>
          <w:szCs w:val="20"/>
        </w:rPr>
        <w:t xml:space="preserve"> chapter (chapter 7) in the </w:t>
      </w:r>
      <w:r w:rsidRPr="00D3265D">
        <w:rPr>
          <w:i/>
          <w:szCs w:val="20"/>
        </w:rPr>
        <w:t>Report on Government Services</w:t>
      </w:r>
      <w:r w:rsidRPr="00D3265D">
        <w:rPr>
          <w:szCs w:val="20"/>
        </w:rPr>
        <w:t> </w:t>
      </w:r>
      <w:r w:rsidRPr="00D3265D">
        <w:rPr>
          <w:i/>
          <w:szCs w:val="20"/>
        </w:rPr>
        <w:t>201</w:t>
      </w:r>
      <w:r w:rsidR="00E95A74" w:rsidRPr="00E95A74">
        <w:rPr>
          <w:i/>
          <w:szCs w:val="20"/>
        </w:rPr>
        <w:t>3</w:t>
      </w:r>
      <w:r w:rsidRPr="00D3265D">
        <w:rPr>
          <w:szCs w:val="20"/>
        </w:rPr>
        <w:t xml:space="preserve"> (201</w:t>
      </w:r>
      <w:r w:rsidR="00E95A74" w:rsidRPr="00E95A74">
        <w:rPr>
          <w:szCs w:val="20"/>
        </w:rPr>
        <w:t>3</w:t>
      </w:r>
      <w:r w:rsidRPr="00D3265D">
        <w:rPr>
          <w:szCs w:val="20"/>
        </w:rPr>
        <w:t> Report) focuses on administrative support functions for the courts, not on the judicial decisions made in the courts. The primary support functions of court administration services are to:</w:t>
      </w:r>
    </w:p>
    <w:p w:rsidR="00D3265D" w:rsidRPr="00D3265D" w:rsidRDefault="00D3265D" w:rsidP="00034FF5">
      <w:pPr>
        <w:pStyle w:val="ListBullet"/>
      </w:pPr>
      <w:r w:rsidRPr="00D3265D">
        <w:t>manage court facilities and staff, including buildings, security and ancillary services such as registries, libraries and transcription services</w:t>
      </w:r>
    </w:p>
    <w:p w:rsidR="00D3265D" w:rsidRPr="00D3265D" w:rsidRDefault="00D3265D" w:rsidP="00034FF5">
      <w:pPr>
        <w:pStyle w:val="ListBullet"/>
      </w:pPr>
      <w:r w:rsidRPr="00D3265D">
        <w:t>provide case management services, including client information, scheduling and case flow management</w:t>
      </w:r>
    </w:p>
    <w:p w:rsidR="00D3265D" w:rsidRPr="00D3265D" w:rsidRDefault="00D3265D" w:rsidP="00034FF5">
      <w:pPr>
        <w:pStyle w:val="ListBullet"/>
      </w:pPr>
      <w:r w:rsidRPr="00D3265D">
        <w:t>enforce court orders through the sheriff’s department or a similar mechanism.</w:t>
      </w:r>
    </w:p>
    <w:p w:rsidR="00E95A74" w:rsidRPr="00E95A74" w:rsidRDefault="00E95A74" w:rsidP="00D3265D">
      <w:pPr>
        <w:spacing w:before="240" w:line="320" w:lineRule="atLeast"/>
        <w:jc w:val="both"/>
        <w:rPr>
          <w:szCs w:val="20"/>
        </w:rPr>
      </w:pPr>
      <w:r w:rsidRPr="00E95A74">
        <w:rPr>
          <w:szCs w:val="20"/>
        </w:rPr>
        <w:t>This chapter covers the State and Territory supreme, district/county and magistrates’ (including children’s) courts, coroners’ courts and probate registries. It also covers the Federal Court of Australia, the Family Court of Australia, the Family Court of WA and the Federal Magistrates Court of Australia. The chapter does not include information on the High Court of Australia, and broadly excludes tribunals and specialist jurisdiction courts (for example, Indigenous courts, circle sentencing courts and drug courts are excluded). The chapter also excludes electronic infringement and enforcement systems.</w:t>
      </w:r>
    </w:p>
    <w:p w:rsidR="00D3265D" w:rsidRPr="00D3265D" w:rsidRDefault="00D3265D" w:rsidP="00D3265D">
      <w:pPr>
        <w:keepNext/>
        <w:spacing w:before="560" w:line="320" w:lineRule="exact"/>
        <w:outlineLvl w:val="2"/>
        <w:rPr>
          <w:rFonts w:ascii="Arial" w:hAnsi="Arial"/>
          <w:b/>
          <w:szCs w:val="20"/>
        </w:rPr>
      </w:pPr>
      <w:bookmarkStart w:id="6" w:name="_Toc317168689"/>
      <w:bookmarkStart w:id="7" w:name="_Toc319589337"/>
      <w:bookmarkStart w:id="8" w:name="_Toc352667018"/>
      <w:r w:rsidRPr="00D3265D">
        <w:rPr>
          <w:rFonts w:ascii="Arial" w:hAnsi="Arial"/>
          <w:b/>
          <w:szCs w:val="20"/>
        </w:rPr>
        <w:t>Roles and responsibilities</w:t>
      </w:r>
      <w:bookmarkEnd w:id="6"/>
      <w:bookmarkEnd w:id="7"/>
      <w:bookmarkEnd w:id="8"/>
    </w:p>
    <w:p w:rsidR="00E95A74" w:rsidRDefault="00E95A74" w:rsidP="00E95A74">
      <w:pPr>
        <w:pStyle w:val="BodyText"/>
      </w:pPr>
      <w:r w:rsidRPr="00E95A74">
        <w:t>Within certain court levels, a number of specialist jurisdiction courts (such as Indigenous courts, circle sentencing</w:t>
      </w:r>
      <w:r>
        <w:t xml:space="preserve"> courts and drug courts) aim to improve the responsiveness of courts to the special needs of particular service users. Tribunals </w:t>
      </w:r>
      <w:r>
        <w:lastRenderedPageBreak/>
        <w:t>can also improve responsiveness and assist in alleviating the workload of courts — for example, small claims tribunals can assist in diverting work from the magistrates’ court. Specialist jurisdiction courts (other than the children’s courts, family courts and coroners’ courts) and tribunals are outside the scope of this Report and excluded from reported data where possible.</w:t>
      </w:r>
    </w:p>
    <w:p w:rsidR="00D3265D" w:rsidRPr="00D3265D" w:rsidRDefault="00D3265D" w:rsidP="00D3265D">
      <w:pPr>
        <w:keepNext/>
        <w:spacing w:before="560" w:line="320" w:lineRule="exact"/>
        <w:outlineLvl w:val="2"/>
        <w:rPr>
          <w:rFonts w:ascii="Arial" w:hAnsi="Arial"/>
          <w:b/>
          <w:szCs w:val="20"/>
          <w:lang w:val="en-GB"/>
        </w:rPr>
      </w:pPr>
      <w:bookmarkStart w:id="9" w:name="_Toc257301556"/>
      <w:bookmarkStart w:id="10" w:name="_Toc317168690"/>
      <w:bookmarkStart w:id="11" w:name="_Toc319589338"/>
      <w:bookmarkStart w:id="12" w:name="_Toc352667019"/>
      <w:r w:rsidRPr="00D3265D">
        <w:rPr>
          <w:rFonts w:ascii="Arial" w:hAnsi="Arial"/>
          <w:b/>
          <w:szCs w:val="20"/>
          <w:lang w:val="en-GB"/>
        </w:rPr>
        <w:t>Indigenous data in the Court</w:t>
      </w:r>
      <w:r w:rsidR="00633047">
        <w:rPr>
          <w:rFonts w:ascii="Arial" w:hAnsi="Arial"/>
          <w:b/>
          <w:szCs w:val="20"/>
          <w:lang w:val="en-GB"/>
        </w:rPr>
        <w:t>s</w:t>
      </w:r>
      <w:r w:rsidRPr="00D3265D">
        <w:rPr>
          <w:rFonts w:ascii="Arial" w:hAnsi="Arial"/>
          <w:b/>
          <w:szCs w:val="20"/>
          <w:lang w:val="en-GB"/>
        </w:rPr>
        <w:t xml:space="preserve"> chapter</w:t>
      </w:r>
      <w:bookmarkEnd w:id="9"/>
      <w:bookmarkEnd w:id="10"/>
      <w:bookmarkEnd w:id="11"/>
      <w:bookmarkEnd w:id="12"/>
    </w:p>
    <w:p w:rsidR="00D3265D" w:rsidRPr="00D3265D" w:rsidRDefault="00D3265D" w:rsidP="00D3265D">
      <w:pPr>
        <w:spacing w:before="240" w:line="320" w:lineRule="atLeast"/>
        <w:jc w:val="both"/>
        <w:rPr>
          <w:szCs w:val="20"/>
        </w:rPr>
      </w:pPr>
      <w:r w:rsidRPr="00D3265D">
        <w:rPr>
          <w:szCs w:val="20"/>
        </w:rPr>
        <w:t>The Court</w:t>
      </w:r>
      <w:r w:rsidR="00633047">
        <w:rPr>
          <w:szCs w:val="20"/>
        </w:rPr>
        <w:t>s</w:t>
      </w:r>
      <w:r w:rsidRPr="00D3265D">
        <w:rPr>
          <w:szCs w:val="20"/>
        </w:rPr>
        <w:t xml:space="preserve"> chapter in the 201</w:t>
      </w:r>
      <w:r w:rsidR="00E95A74" w:rsidRPr="00E95A74">
        <w:rPr>
          <w:szCs w:val="20"/>
        </w:rPr>
        <w:t>3</w:t>
      </w:r>
      <w:r w:rsidRPr="00D3265D">
        <w:rPr>
          <w:szCs w:val="20"/>
        </w:rPr>
        <w:t xml:space="preserve"> Report contains no specific data items on Indigenous </w:t>
      </w:r>
      <w:r w:rsidR="00E03403">
        <w:rPr>
          <w:szCs w:val="20"/>
        </w:rPr>
        <w:t>Australians</w:t>
      </w:r>
      <w:r w:rsidRPr="00D3265D">
        <w:rPr>
          <w:szCs w:val="20"/>
        </w:rPr>
        <w:t>.</w:t>
      </w:r>
    </w:p>
    <w:p w:rsidR="00F056FC" w:rsidRPr="00D3265D" w:rsidRDefault="00F056FC" w:rsidP="00D3265D"/>
    <w:sectPr w:rsidR="00F056FC" w:rsidRPr="00D3265D" w:rsidSect="00573705">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734" w:rsidRDefault="00042734">
      <w:r>
        <w:separator/>
      </w:r>
    </w:p>
  </w:endnote>
  <w:endnote w:type="continuationSeparator" w:id="0">
    <w:p w:rsidR="00042734" w:rsidRDefault="0004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42734">
      <w:trPr>
        <w:trHeight w:hRule="exact" w:val="740"/>
      </w:trPr>
      <w:tc>
        <w:tcPr>
          <w:tcW w:w="510" w:type="dxa"/>
          <w:tcBorders>
            <w:top w:val="single" w:sz="6" w:space="0" w:color="auto"/>
          </w:tcBorders>
        </w:tcPr>
        <w:p w:rsidR="00042734" w:rsidRDefault="00860634" w:rsidP="00615320">
          <w:pPr>
            <w:pStyle w:val="Footer"/>
            <w:tabs>
              <w:tab w:val="left" w:pos="0"/>
            </w:tabs>
            <w:ind w:right="0"/>
            <w:rPr>
              <w:rStyle w:val="PageNumber"/>
            </w:rPr>
          </w:pPr>
          <w:r>
            <w:fldChar w:fldCharType="begin"/>
          </w:r>
          <w:r>
            <w:instrText xml:space="preserve"> COMMENTS  \* MERGEFORMAT </w:instrText>
          </w:r>
          <w:r>
            <w:fldChar w:fldCharType="separate"/>
          </w:r>
          <w:r w:rsidR="005B7F4F">
            <w:rPr>
              <w:rStyle w:val="PageNumber"/>
            </w:rPr>
            <w:t>7.</w:t>
          </w:r>
          <w:r>
            <w:rPr>
              <w:rStyle w:val="PageNumber"/>
            </w:rPr>
            <w:fldChar w:fldCharType="end"/>
          </w:r>
          <w:r w:rsidR="005B7F4F">
            <w:rPr>
              <w:rStyle w:val="PageNumber"/>
            </w:rPr>
            <w:fldChar w:fldCharType="begin"/>
          </w:r>
          <w:r w:rsidR="005B7F4F">
            <w:rPr>
              <w:rStyle w:val="PageNumber"/>
            </w:rPr>
            <w:instrText xml:space="preserve">PAGE  </w:instrText>
          </w:r>
          <w:r w:rsidR="005B7F4F">
            <w:rPr>
              <w:rStyle w:val="PageNumber"/>
            </w:rPr>
            <w:fldChar w:fldCharType="separate"/>
          </w:r>
          <w:r>
            <w:rPr>
              <w:rStyle w:val="PageNumber"/>
              <w:noProof/>
            </w:rPr>
            <w:t>2</w:t>
          </w:r>
          <w:r w:rsidR="005B7F4F">
            <w:rPr>
              <w:rStyle w:val="PageNumber"/>
            </w:rPr>
            <w:fldChar w:fldCharType="end"/>
          </w:r>
        </w:p>
      </w:tc>
      <w:tc>
        <w:tcPr>
          <w:tcW w:w="1644" w:type="dxa"/>
          <w:tcBorders>
            <w:top w:val="single" w:sz="6" w:space="0" w:color="auto"/>
          </w:tcBorders>
        </w:tcPr>
        <w:p w:rsidR="00042734" w:rsidRDefault="00860634" w:rsidP="0019293B">
          <w:pPr>
            <w:pStyle w:val="Footer"/>
          </w:pPr>
          <w:r>
            <w:fldChar w:fldCharType="begin"/>
          </w:r>
          <w:r>
            <w:instrText xml:space="preserve"> SUBJECT  \* MERGEFORMAT </w:instrText>
          </w:r>
          <w:r>
            <w:fldChar w:fldCharType="separate"/>
          </w:r>
          <w:r w:rsidR="00042734">
            <w:t>Report on Government Services 2013</w:t>
          </w:r>
          <w:r>
            <w:fldChar w:fldCharType="end"/>
          </w:r>
        </w:p>
      </w:tc>
      <w:tc>
        <w:tcPr>
          <w:tcW w:w="6634" w:type="dxa"/>
        </w:tcPr>
        <w:p w:rsidR="00042734" w:rsidRDefault="00042734" w:rsidP="0019293B">
          <w:pPr>
            <w:pStyle w:val="Footer"/>
          </w:pPr>
        </w:p>
      </w:tc>
    </w:tr>
  </w:tbl>
  <w:p w:rsidR="00042734" w:rsidRDefault="0004273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42734">
      <w:trPr>
        <w:trHeight w:hRule="exact" w:val="740"/>
      </w:trPr>
      <w:tc>
        <w:tcPr>
          <w:tcW w:w="6634" w:type="dxa"/>
        </w:tcPr>
        <w:p w:rsidR="00042734" w:rsidRDefault="00042734">
          <w:pPr>
            <w:pStyle w:val="Footer"/>
            <w:ind w:right="360" w:firstLine="360"/>
          </w:pPr>
        </w:p>
      </w:tc>
      <w:tc>
        <w:tcPr>
          <w:tcW w:w="1644" w:type="dxa"/>
          <w:tcBorders>
            <w:top w:val="single" w:sz="6" w:space="0" w:color="auto"/>
          </w:tcBorders>
        </w:tcPr>
        <w:p w:rsidR="00042734" w:rsidRDefault="00860634">
          <w:pPr>
            <w:pStyle w:val="Footer"/>
          </w:pPr>
          <w:r>
            <w:fldChar w:fldCharType="begin"/>
          </w:r>
          <w:r>
            <w:instrText xml:space="preserve"> TITLE  \* MERGEFORMAT </w:instrText>
          </w:r>
          <w:r>
            <w:fldChar w:fldCharType="separate"/>
          </w:r>
          <w:r w:rsidR="00042734">
            <w:t>Indigenous Compendium 2013</w:t>
          </w:r>
          <w:r>
            <w:fldChar w:fldCharType="end"/>
          </w:r>
        </w:p>
      </w:tc>
      <w:tc>
        <w:tcPr>
          <w:tcW w:w="510" w:type="dxa"/>
          <w:tcBorders>
            <w:top w:val="single" w:sz="6" w:space="0" w:color="auto"/>
          </w:tcBorders>
        </w:tcPr>
        <w:p w:rsidR="00042734" w:rsidRDefault="00860634">
          <w:pPr>
            <w:pStyle w:val="Footer"/>
            <w:jc w:val="right"/>
          </w:pPr>
          <w:r>
            <w:fldChar w:fldCharType="begin"/>
          </w:r>
          <w:r>
            <w:instrText xml:space="preserve"> COMMENTS  \* MERGEFORMAT </w:instrText>
          </w:r>
          <w:r>
            <w:fldChar w:fldCharType="separate"/>
          </w:r>
          <w:r w:rsidR="005B7F4F">
            <w:rPr>
              <w:rStyle w:val="PageNumber"/>
            </w:rPr>
            <w:t>7.</w:t>
          </w:r>
          <w:r>
            <w:rPr>
              <w:rStyle w:val="PageNumber"/>
            </w:rPr>
            <w:fldChar w:fldCharType="end"/>
          </w:r>
          <w:r w:rsidR="005B7F4F">
            <w:rPr>
              <w:rStyle w:val="PageNumber"/>
            </w:rPr>
            <w:fldChar w:fldCharType="begin"/>
          </w:r>
          <w:r w:rsidR="005B7F4F">
            <w:rPr>
              <w:rStyle w:val="PageNumber"/>
            </w:rPr>
            <w:instrText xml:space="preserve">PAGE  </w:instrText>
          </w:r>
          <w:r w:rsidR="005B7F4F">
            <w:rPr>
              <w:rStyle w:val="PageNumber"/>
            </w:rPr>
            <w:fldChar w:fldCharType="separate"/>
          </w:r>
          <w:r>
            <w:rPr>
              <w:rStyle w:val="PageNumber"/>
              <w:noProof/>
            </w:rPr>
            <w:t>1</w:t>
          </w:r>
          <w:r w:rsidR="005B7F4F">
            <w:rPr>
              <w:rStyle w:val="PageNumber"/>
            </w:rPr>
            <w:fldChar w:fldCharType="end"/>
          </w:r>
        </w:p>
      </w:tc>
    </w:tr>
  </w:tbl>
  <w:p w:rsidR="00042734" w:rsidRDefault="0004273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734" w:rsidRDefault="00042734">
      <w:r>
        <w:separator/>
      </w:r>
    </w:p>
  </w:footnote>
  <w:footnote w:type="continuationSeparator" w:id="0">
    <w:p w:rsidR="00042734" w:rsidRDefault="000427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42734">
      <w:tc>
        <w:tcPr>
          <w:tcW w:w="2155" w:type="dxa"/>
          <w:tcBorders>
            <w:top w:val="single" w:sz="24" w:space="0" w:color="auto"/>
          </w:tcBorders>
        </w:tcPr>
        <w:p w:rsidR="00042734" w:rsidRDefault="00042734" w:rsidP="0019293B">
          <w:pPr>
            <w:pStyle w:val="HeaderEven"/>
          </w:pPr>
        </w:p>
      </w:tc>
      <w:tc>
        <w:tcPr>
          <w:tcW w:w="6634" w:type="dxa"/>
          <w:tcBorders>
            <w:top w:val="single" w:sz="6" w:space="0" w:color="auto"/>
          </w:tcBorders>
        </w:tcPr>
        <w:p w:rsidR="00042734" w:rsidRDefault="00042734" w:rsidP="0019293B">
          <w:pPr>
            <w:pStyle w:val="HeaderEven"/>
          </w:pPr>
        </w:p>
      </w:tc>
    </w:tr>
  </w:tbl>
  <w:p w:rsidR="00042734" w:rsidRDefault="0004273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42734">
      <w:tc>
        <w:tcPr>
          <w:tcW w:w="6634" w:type="dxa"/>
          <w:tcBorders>
            <w:top w:val="single" w:sz="6" w:space="0" w:color="auto"/>
          </w:tcBorders>
        </w:tcPr>
        <w:p w:rsidR="00042734" w:rsidRDefault="00042734" w:rsidP="00E669E2">
          <w:pPr>
            <w:pStyle w:val="HeaderOdd"/>
          </w:pPr>
        </w:p>
      </w:tc>
      <w:tc>
        <w:tcPr>
          <w:tcW w:w="2155" w:type="dxa"/>
          <w:tcBorders>
            <w:top w:val="single" w:sz="24" w:space="0" w:color="auto"/>
          </w:tcBorders>
        </w:tcPr>
        <w:p w:rsidR="00042734" w:rsidRDefault="00042734" w:rsidP="00E669E2">
          <w:pPr>
            <w:pStyle w:val="HeaderOdd"/>
          </w:pPr>
        </w:p>
      </w:tc>
    </w:tr>
  </w:tbl>
  <w:p w:rsidR="00042734" w:rsidRDefault="0004273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7057F34"/>
    <w:multiLevelType w:val="singleLevel"/>
    <w:tmpl w:val="ED98921A"/>
    <w:lvl w:ilvl="0">
      <w:start w:val="1"/>
      <w:numFmt w:val="decimal"/>
      <w:lvlText w:val="%1."/>
      <w:legacy w:legacy="1" w:legacySpace="0" w:legacyIndent="340"/>
      <w:lvlJc w:val="left"/>
      <w:pPr>
        <w:ind w:left="340" w:hanging="340"/>
      </w:pPr>
    </w:lvl>
  </w:abstractNum>
  <w:abstractNum w:abstractNumId="11">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9">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20">
    <w:nsid w:val="365463CF"/>
    <w:multiLevelType w:val="multilevel"/>
    <w:tmpl w:val="77F6B63A"/>
    <w:lvl w:ilvl="0">
      <w:start w:val="5"/>
      <w:numFmt w:val="decimal"/>
      <w:lvlText w:val="%1"/>
      <w:lvlJc w:val="left"/>
      <w:pPr>
        <w:tabs>
          <w:tab w:val="num" w:pos="900"/>
        </w:tabs>
        <w:ind w:left="900" w:hanging="900"/>
      </w:pPr>
      <w:rPr>
        <w:rFonts w:hint="default"/>
      </w:rPr>
    </w:lvl>
    <w:lvl w:ilvl="1">
      <w:start w:val="6"/>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3E2F4407"/>
    <w:multiLevelType w:val="hybridMultilevel"/>
    <w:tmpl w:val="F112014A"/>
    <w:lvl w:ilvl="0" w:tplc="6C209310">
      <w:start w:val="1"/>
      <w:numFmt w:val="bullet"/>
      <w:lvlText w:val=""/>
      <w:lvlJc w:val="left"/>
      <w:pPr>
        <w:tabs>
          <w:tab w:val="num" w:pos="318"/>
        </w:tabs>
        <w:ind w:left="318" w:hanging="318"/>
      </w:pPr>
      <w:rPr>
        <w:rFonts w:ascii="Symbol" w:hAnsi="Symbol" w:hint="default"/>
        <w:sz w:val="20"/>
      </w:rPr>
    </w:lvl>
    <w:lvl w:ilvl="1" w:tplc="0C090001">
      <w:start w:val="1"/>
      <w:numFmt w:val="bullet"/>
      <w:lvlText w:val=""/>
      <w:lvlJc w:val="left"/>
      <w:pPr>
        <w:tabs>
          <w:tab w:val="num" w:pos="1440"/>
        </w:tabs>
        <w:ind w:left="1440" w:hanging="360"/>
      </w:pPr>
      <w:rPr>
        <w:rFonts w:ascii="Symbol" w:hAnsi="Symbol" w:hint="default"/>
        <w:sz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1F74561"/>
    <w:multiLevelType w:val="singleLevel"/>
    <w:tmpl w:val="ED98921A"/>
    <w:lvl w:ilvl="0">
      <w:start w:val="1"/>
      <w:numFmt w:val="decimal"/>
      <w:lvlText w:val="%1."/>
      <w:legacy w:legacy="1" w:legacySpace="0" w:legacyIndent="340"/>
      <w:lvlJc w:val="left"/>
      <w:pPr>
        <w:ind w:left="340" w:hanging="340"/>
      </w:pPr>
    </w:lvl>
  </w:abstractNum>
  <w:abstractNum w:abstractNumId="2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7">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0">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1">
    <w:nsid w:val="5A096576"/>
    <w:multiLevelType w:val="singleLevel"/>
    <w:tmpl w:val="ED98921A"/>
    <w:lvl w:ilvl="0">
      <w:start w:val="1"/>
      <w:numFmt w:val="decimal"/>
      <w:lvlText w:val="%1."/>
      <w:legacy w:legacy="1" w:legacySpace="0" w:legacyIndent="340"/>
      <w:lvlJc w:val="left"/>
      <w:pPr>
        <w:ind w:left="340" w:hanging="340"/>
      </w:pPr>
    </w:lvl>
  </w:abstractNum>
  <w:abstractNum w:abstractNumId="32">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60055F7F"/>
    <w:multiLevelType w:val="singleLevel"/>
    <w:tmpl w:val="ED98921A"/>
    <w:lvl w:ilvl="0">
      <w:start w:val="1"/>
      <w:numFmt w:val="decimal"/>
      <w:lvlText w:val="%1."/>
      <w:legacy w:legacy="1" w:legacySpace="0" w:legacyIndent="340"/>
      <w:lvlJc w:val="left"/>
      <w:pPr>
        <w:ind w:left="340" w:hanging="340"/>
      </w:pPr>
    </w:lvl>
  </w:abstractNum>
  <w:abstractNum w:abstractNumId="34">
    <w:nsid w:val="608E741E"/>
    <w:multiLevelType w:val="singleLevel"/>
    <w:tmpl w:val="ED98921A"/>
    <w:lvl w:ilvl="0">
      <w:start w:val="1"/>
      <w:numFmt w:val="decimal"/>
      <w:lvlText w:val="%1."/>
      <w:legacy w:legacy="1" w:legacySpace="0" w:legacyIndent="340"/>
      <w:lvlJc w:val="left"/>
      <w:pPr>
        <w:ind w:left="340" w:hanging="340"/>
      </w:pPr>
    </w:lvl>
  </w:abstractNum>
  <w:abstractNum w:abstractNumId="35">
    <w:nsid w:val="61320C1E"/>
    <w:multiLevelType w:val="singleLevel"/>
    <w:tmpl w:val="C444122C"/>
    <w:lvl w:ilvl="0">
      <w:start w:val="1"/>
      <w:numFmt w:val="decimal"/>
      <w:lvlText w:val="%1."/>
      <w:legacy w:legacy="1" w:legacySpace="0" w:legacyIndent="284"/>
      <w:lvlJc w:val="left"/>
      <w:pPr>
        <w:ind w:left="284" w:hanging="284"/>
      </w:pPr>
    </w:lvl>
  </w:abstractNum>
  <w:abstractNum w:abstractNumId="36">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8">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39">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0">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4">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2"/>
  </w:num>
  <w:num w:numId="2">
    <w:abstractNumId w:val="6"/>
  </w:num>
  <w:num w:numId="3">
    <w:abstractNumId w:val="25"/>
  </w:num>
  <w:num w:numId="4">
    <w:abstractNumId w:val="8"/>
  </w:num>
  <w:num w:numId="5">
    <w:abstractNumId w:val="37"/>
  </w:num>
  <w:num w:numId="6">
    <w:abstractNumId w:val="28"/>
  </w:num>
  <w:num w:numId="7">
    <w:abstractNumId w:val="43"/>
  </w:num>
  <w:num w:numId="8">
    <w:abstractNumId w:val="14"/>
  </w:num>
  <w:num w:numId="9">
    <w:abstractNumId w:val="26"/>
  </w:num>
  <w:num w:numId="10">
    <w:abstractNumId w:val="13"/>
  </w:num>
  <w:num w:numId="11">
    <w:abstractNumId w:val="12"/>
  </w:num>
  <w:num w:numId="12">
    <w:abstractNumId w:val="16"/>
  </w:num>
  <w:num w:numId="13">
    <w:abstractNumId w:val="18"/>
  </w:num>
  <w:num w:numId="14">
    <w:abstractNumId w:val="23"/>
  </w:num>
  <w:num w:numId="15">
    <w:abstractNumId w:val="9"/>
  </w:num>
  <w:num w:numId="16">
    <w:abstractNumId w:val="30"/>
  </w:num>
  <w:num w:numId="17">
    <w:abstractNumId w:val="0"/>
  </w:num>
  <w:num w:numId="18">
    <w:abstractNumId w:val="19"/>
  </w:num>
  <w:num w:numId="19">
    <w:abstractNumId w:val="15"/>
  </w:num>
  <w:num w:numId="20">
    <w:abstractNumId w:val="20"/>
  </w:num>
  <w:num w:numId="21">
    <w:abstractNumId w:val="22"/>
  </w:num>
  <w:num w:numId="22">
    <w:abstractNumId w:val="5"/>
  </w:num>
  <w:num w:numId="23">
    <w:abstractNumId w:val="3"/>
  </w:num>
  <w:num w:numId="24">
    <w:abstractNumId w:val="2"/>
  </w:num>
  <w:num w:numId="25">
    <w:abstractNumId w:val="4"/>
  </w:num>
  <w:num w:numId="26">
    <w:abstractNumId w:val="1"/>
  </w:num>
  <w:num w:numId="27">
    <w:abstractNumId w:val="10"/>
  </w:num>
  <w:num w:numId="28">
    <w:abstractNumId w:val="34"/>
  </w:num>
  <w:num w:numId="29">
    <w:abstractNumId w:val="36"/>
  </w:num>
  <w:num w:numId="30">
    <w:abstractNumId w:val="24"/>
  </w:num>
  <w:num w:numId="31">
    <w:abstractNumId w:val="27"/>
  </w:num>
  <w:num w:numId="32">
    <w:abstractNumId w:val="29"/>
  </w:num>
  <w:num w:numId="33">
    <w:abstractNumId w:val="41"/>
  </w:num>
  <w:num w:numId="34">
    <w:abstractNumId w:val="33"/>
  </w:num>
  <w:num w:numId="35">
    <w:abstractNumId w:val="38"/>
  </w:num>
  <w:num w:numId="36">
    <w:abstractNumId w:val="39"/>
  </w:num>
  <w:num w:numId="37">
    <w:abstractNumId w:val="31"/>
  </w:num>
  <w:num w:numId="38">
    <w:abstractNumId w:val="21"/>
  </w:num>
  <w:num w:numId="39">
    <w:abstractNumId w:val="44"/>
  </w:num>
  <w:num w:numId="40">
    <w:abstractNumId w:val="7"/>
  </w:num>
  <w:num w:numId="41">
    <w:abstractNumId w:val="17"/>
  </w:num>
  <w:num w:numId="42">
    <w:abstractNumId w:val="40"/>
  </w:num>
  <w:num w:numId="43">
    <w:abstractNumId w:val="32"/>
  </w:num>
  <w:num w:numId="44">
    <w:abstractNumId w:val="11"/>
  </w:num>
  <w:num w:numId="45">
    <w:abstractNumId w:val="35"/>
  </w:num>
  <w:num w:numId="46">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4FF5"/>
    <w:rsid w:val="0003664B"/>
    <w:rsid w:val="0004111F"/>
    <w:rsid w:val="00042734"/>
    <w:rsid w:val="00046971"/>
    <w:rsid w:val="000565B3"/>
    <w:rsid w:val="0007150B"/>
    <w:rsid w:val="00085ED5"/>
    <w:rsid w:val="000938F5"/>
    <w:rsid w:val="00096E55"/>
    <w:rsid w:val="00096F64"/>
    <w:rsid w:val="000A144E"/>
    <w:rsid w:val="000B1301"/>
    <w:rsid w:val="000B601B"/>
    <w:rsid w:val="000B7D9A"/>
    <w:rsid w:val="000C207E"/>
    <w:rsid w:val="000C65C8"/>
    <w:rsid w:val="000E4ACF"/>
    <w:rsid w:val="000F0035"/>
    <w:rsid w:val="000F420B"/>
    <w:rsid w:val="00110116"/>
    <w:rsid w:val="0011279A"/>
    <w:rsid w:val="00114B50"/>
    <w:rsid w:val="00117823"/>
    <w:rsid w:val="00120072"/>
    <w:rsid w:val="0012158A"/>
    <w:rsid w:val="00126EB8"/>
    <w:rsid w:val="001274D4"/>
    <w:rsid w:val="001363AA"/>
    <w:rsid w:val="00144BE9"/>
    <w:rsid w:val="001457FC"/>
    <w:rsid w:val="00167CA3"/>
    <w:rsid w:val="00172567"/>
    <w:rsid w:val="00172838"/>
    <w:rsid w:val="001838A3"/>
    <w:rsid w:val="00183E82"/>
    <w:rsid w:val="001878BB"/>
    <w:rsid w:val="00187EEA"/>
    <w:rsid w:val="001918E7"/>
    <w:rsid w:val="00191AE0"/>
    <w:rsid w:val="0019293B"/>
    <w:rsid w:val="001A5435"/>
    <w:rsid w:val="001B7720"/>
    <w:rsid w:val="001C0865"/>
    <w:rsid w:val="001C18F8"/>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25BE1"/>
    <w:rsid w:val="00231ED8"/>
    <w:rsid w:val="00240CB3"/>
    <w:rsid w:val="00242279"/>
    <w:rsid w:val="00245C82"/>
    <w:rsid w:val="002504EE"/>
    <w:rsid w:val="00260781"/>
    <w:rsid w:val="00266112"/>
    <w:rsid w:val="00271A32"/>
    <w:rsid w:val="0028038E"/>
    <w:rsid w:val="00285231"/>
    <w:rsid w:val="0029178B"/>
    <w:rsid w:val="00291B40"/>
    <w:rsid w:val="002A390F"/>
    <w:rsid w:val="002B4008"/>
    <w:rsid w:val="002B4766"/>
    <w:rsid w:val="002C0C2B"/>
    <w:rsid w:val="002C0FA5"/>
    <w:rsid w:val="002D0E8E"/>
    <w:rsid w:val="002E1A7A"/>
    <w:rsid w:val="002F658B"/>
    <w:rsid w:val="00301189"/>
    <w:rsid w:val="003024A0"/>
    <w:rsid w:val="00310609"/>
    <w:rsid w:val="003133E9"/>
    <w:rsid w:val="003226FB"/>
    <w:rsid w:val="00323E09"/>
    <w:rsid w:val="00333932"/>
    <w:rsid w:val="00344001"/>
    <w:rsid w:val="00346421"/>
    <w:rsid w:val="00351694"/>
    <w:rsid w:val="003518AA"/>
    <w:rsid w:val="00352165"/>
    <w:rsid w:val="0035307E"/>
    <w:rsid w:val="00353182"/>
    <w:rsid w:val="00353AAF"/>
    <w:rsid w:val="003565D9"/>
    <w:rsid w:val="003568DE"/>
    <w:rsid w:val="003602E1"/>
    <w:rsid w:val="0037026F"/>
    <w:rsid w:val="003703CB"/>
    <w:rsid w:val="00371240"/>
    <w:rsid w:val="00371A1C"/>
    <w:rsid w:val="00374731"/>
    <w:rsid w:val="00374877"/>
    <w:rsid w:val="00376E59"/>
    <w:rsid w:val="003771FF"/>
    <w:rsid w:val="003919F9"/>
    <w:rsid w:val="00393A0D"/>
    <w:rsid w:val="0039497F"/>
    <w:rsid w:val="003B08D7"/>
    <w:rsid w:val="003C1570"/>
    <w:rsid w:val="003C38B5"/>
    <w:rsid w:val="003C5D99"/>
    <w:rsid w:val="003D3B04"/>
    <w:rsid w:val="003D530B"/>
    <w:rsid w:val="003E2F59"/>
    <w:rsid w:val="003F0789"/>
    <w:rsid w:val="003F2BD1"/>
    <w:rsid w:val="003F61EB"/>
    <w:rsid w:val="00401882"/>
    <w:rsid w:val="00407AFB"/>
    <w:rsid w:val="004100C8"/>
    <w:rsid w:val="00411DBD"/>
    <w:rsid w:val="00412066"/>
    <w:rsid w:val="00412ACE"/>
    <w:rsid w:val="00416111"/>
    <w:rsid w:val="00431249"/>
    <w:rsid w:val="00434C19"/>
    <w:rsid w:val="004417C1"/>
    <w:rsid w:val="00441925"/>
    <w:rsid w:val="004445D5"/>
    <w:rsid w:val="00445388"/>
    <w:rsid w:val="004476A9"/>
    <w:rsid w:val="00450810"/>
    <w:rsid w:val="00464B60"/>
    <w:rsid w:val="004663EC"/>
    <w:rsid w:val="00475C2A"/>
    <w:rsid w:val="00477144"/>
    <w:rsid w:val="00482397"/>
    <w:rsid w:val="00485B11"/>
    <w:rsid w:val="00486AC8"/>
    <w:rsid w:val="00491380"/>
    <w:rsid w:val="00492BF6"/>
    <w:rsid w:val="0049459F"/>
    <w:rsid w:val="004956FF"/>
    <w:rsid w:val="004A292E"/>
    <w:rsid w:val="004A38DD"/>
    <w:rsid w:val="004A67C8"/>
    <w:rsid w:val="004B16F9"/>
    <w:rsid w:val="004B43AE"/>
    <w:rsid w:val="004C30ED"/>
    <w:rsid w:val="004D5675"/>
    <w:rsid w:val="004E1C9C"/>
    <w:rsid w:val="00502461"/>
    <w:rsid w:val="005050E8"/>
    <w:rsid w:val="00523639"/>
    <w:rsid w:val="00531FE5"/>
    <w:rsid w:val="00532335"/>
    <w:rsid w:val="005426DE"/>
    <w:rsid w:val="0056313E"/>
    <w:rsid w:val="0056489A"/>
    <w:rsid w:val="00573705"/>
    <w:rsid w:val="00576AD4"/>
    <w:rsid w:val="00583C39"/>
    <w:rsid w:val="00587F28"/>
    <w:rsid w:val="005909CF"/>
    <w:rsid w:val="00591E71"/>
    <w:rsid w:val="005A0D41"/>
    <w:rsid w:val="005A1951"/>
    <w:rsid w:val="005B6662"/>
    <w:rsid w:val="005B7F4F"/>
    <w:rsid w:val="005D09F1"/>
    <w:rsid w:val="005D3127"/>
    <w:rsid w:val="005D44E1"/>
    <w:rsid w:val="005E2138"/>
    <w:rsid w:val="005E5169"/>
    <w:rsid w:val="005F3481"/>
    <w:rsid w:val="005F4C5C"/>
    <w:rsid w:val="006050F4"/>
    <w:rsid w:val="00607BF1"/>
    <w:rsid w:val="00615320"/>
    <w:rsid w:val="00616292"/>
    <w:rsid w:val="00625C15"/>
    <w:rsid w:val="00630D4D"/>
    <w:rsid w:val="006322C8"/>
    <w:rsid w:val="00632A74"/>
    <w:rsid w:val="00633047"/>
    <w:rsid w:val="00636F7C"/>
    <w:rsid w:val="00641D7B"/>
    <w:rsid w:val="006504C7"/>
    <w:rsid w:val="00661EBF"/>
    <w:rsid w:val="00675BC8"/>
    <w:rsid w:val="006A4655"/>
    <w:rsid w:val="006A4704"/>
    <w:rsid w:val="006B0CF1"/>
    <w:rsid w:val="006B2B3C"/>
    <w:rsid w:val="006C1D81"/>
    <w:rsid w:val="006C6EED"/>
    <w:rsid w:val="006C7038"/>
    <w:rsid w:val="006C7C14"/>
    <w:rsid w:val="006E177F"/>
    <w:rsid w:val="006E73EF"/>
    <w:rsid w:val="006F4446"/>
    <w:rsid w:val="00704DCC"/>
    <w:rsid w:val="00706501"/>
    <w:rsid w:val="00707BE0"/>
    <w:rsid w:val="00714D4D"/>
    <w:rsid w:val="00715BD1"/>
    <w:rsid w:val="0072192B"/>
    <w:rsid w:val="00722BE7"/>
    <w:rsid w:val="00723B87"/>
    <w:rsid w:val="00734316"/>
    <w:rsid w:val="0074069E"/>
    <w:rsid w:val="00743052"/>
    <w:rsid w:val="0074411C"/>
    <w:rsid w:val="007442CE"/>
    <w:rsid w:val="007604BB"/>
    <w:rsid w:val="00765910"/>
    <w:rsid w:val="00785232"/>
    <w:rsid w:val="007A21EB"/>
    <w:rsid w:val="007B1A93"/>
    <w:rsid w:val="007C1CDB"/>
    <w:rsid w:val="007C36C9"/>
    <w:rsid w:val="007D6401"/>
    <w:rsid w:val="007E01E4"/>
    <w:rsid w:val="007E210F"/>
    <w:rsid w:val="007F7107"/>
    <w:rsid w:val="00800D4C"/>
    <w:rsid w:val="0080417A"/>
    <w:rsid w:val="008056E3"/>
    <w:rsid w:val="0081030F"/>
    <w:rsid w:val="0082087D"/>
    <w:rsid w:val="00827003"/>
    <w:rsid w:val="00827929"/>
    <w:rsid w:val="00831511"/>
    <w:rsid w:val="00835771"/>
    <w:rsid w:val="00842933"/>
    <w:rsid w:val="00860634"/>
    <w:rsid w:val="0086082C"/>
    <w:rsid w:val="00860C85"/>
    <w:rsid w:val="00862650"/>
    <w:rsid w:val="00864ADC"/>
    <w:rsid w:val="00876D47"/>
    <w:rsid w:val="00880153"/>
    <w:rsid w:val="00880F97"/>
    <w:rsid w:val="0088133A"/>
    <w:rsid w:val="0088688A"/>
    <w:rsid w:val="0089285E"/>
    <w:rsid w:val="0089436C"/>
    <w:rsid w:val="008A4D38"/>
    <w:rsid w:val="008C2AE7"/>
    <w:rsid w:val="008C2E3D"/>
    <w:rsid w:val="008D0F22"/>
    <w:rsid w:val="008D365C"/>
    <w:rsid w:val="008D743B"/>
    <w:rsid w:val="008E1073"/>
    <w:rsid w:val="008E5E58"/>
    <w:rsid w:val="009030BF"/>
    <w:rsid w:val="0091032F"/>
    <w:rsid w:val="00914368"/>
    <w:rsid w:val="00923580"/>
    <w:rsid w:val="00931076"/>
    <w:rsid w:val="0093198C"/>
    <w:rsid w:val="009345D9"/>
    <w:rsid w:val="009345F5"/>
    <w:rsid w:val="00934B15"/>
    <w:rsid w:val="00942B62"/>
    <w:rsid w:val="0095167A"/>
    <w:rsid w:val="00953F88"/>
    <w:rsid w:val="009562F7"/>
    <w:rsid w:val="00956A0C"/>
    <w:rsid w:val="00956BD9"/>
    <w:rsid w:val="00962489"/>
    <w:rsid w:val="009677A8"/>
    <w:rsid w:val="00981187"/>
    <w:rsid w:val="00990C2C"/>
    <w:rsid w:val="009A0700"/>
    <w:rsid w:val="009A18E4"/>
    <w:rsid w:val="009A7948"/>
    <w:rsid w:val="009B111A"/>
    <w:rsid w:val="009B5636"/>
    <w:rsid w:val="009B5AA4"/>
    <w:rsid w:val="009C4295"/>
    <w:rsid w:val="009D333E"/>
    <w:rsid w:val="009D376A"/>
    <w:rsid w:val="009D409D"/>
    <w:rsid w:val="009E4186"/>
    <w:rsid w:val="009E44A4"/>
    <w:rsid w:val="009F0D1B"/>
    <w:rsid w:val="009F54BA"/>
    <w:rsid w:val="009F696D"/>
    <w:rsid w:val="009F6BC6"/>
    <w:rsid w:val="009F6DA5"/>
    <w:rsid w:val="00A02721"/>
    <w:rsid w:val="00A151B9"/>
    <w:rsid w:val="00A17328"/>
    <w:rsid w:val="00A23A20"/>
    <w:rsid w:val="00A24E69"/>
    <w:rsid w:val="00A268B9"/>
    <w:rsid w:val="00A2703A"/>
    <w:rsid w:val="00A33DFF"/>
    <w:rsid w:val="00A35115"/>
    <w:rsid w:val="00A36D9A"/>
    <w:rsid w:val="00A40B8E"/>
    <w:rsid w:val="00A5394A"/>
    <w:rsid w:val="00A554AB"/>
    <w:rsid w:val="00A57062"/>
    <w:rsid w:val="00A85DA1"/>
    <w:rsid w:val="00A9231C"/>
    <w:rsid w:val="00A92B53"/>
    <w:rsid w:val="00A94FA6"/>
    <w:rsid w:val="00AA49A0"/>
    <w:rsid w:val="00AA6710"/>
    <w:rsid w:val="00AA6D99"/>
    <w:rsid w:val="00AB0681"/>
    <w:rsid w:val="00AC241D"/>
    <w:rsid w:val="00AD520B"/>
    <w:rsid w:val="00AE3384"/>
    <w:rsid w:val="00B04947"/>
    <w:rsid w:val="00B20091"/>
    <w:rsid w:val="00B27B21"/>
    <w:rsid w:val="00B31ED3"/>
    <w:rsid w:val="00B425C3"/>
    <w:rsid w:val="00B440AD"/>
    <w:rsid w:val="00B53A33"/>
    <w:rsid w:val="00B53E7E"/>
    <w:rsid w:val="00B6088C"/>
    <w:rsid w:val="00B61700"/>
    <w:rsid w:val="00B61C2C"/>
    <w:rsid w:val="00B6342E"/>
    <w:rsid w:val="00B64295"/>
    <w:rsid w:val="00B7113F"/>
    <w:rsid w:val="00B8584C"/>
    <w:rsid w:val="00B86CB4"/>
    <w:rsid w:val="00B87DE1"/>
    <w:rsid w:val="00B93513"/>
    <w:rsid w:val="00B949D4"/>
    <w:rsid w:val="00BA73B6"/>
    <w:rsid w:val="00BA7E27"/>
    <w:rsid w:val="00BB2603"/>
    <w:rsid w:val="00BB4FCD"/>
    <w:rsid w:val="00BB71A6"/>
    <w:rsid w:val="00BD0D9E"/>
    <w:rsid w:val="00BD13EA"/>
    <w:rsid w:val="00BE3808"/>
    <w:rsid w:val="00BF1D01"/>
    <w:rsid w:val="00BF3091"/>
    <w:rsid w:val="00BF389C"/>
    <w:rsid w:val="00C062E9"/>
    <w:rsid w:val="00C073E1"/>
    <w:rsid w:val="00C07B64"/>
    <w:rsid w:val="00C07E2E"/>
    <w:rsid w:val="00C13721"/>
    <w:rsid w:val="00C14FE4"/>
    <w:rsid w:val="00C16B02"/>
    <w:rsid w:val="00C3066D"/>
    <w:rsid w:val="00C42AD5"/>
    <w:rsid w:val="00C543F4"/>
    <w:rsid w:val="00C6291C"/>
    <w:rsid w:val="00C633CB"/>
    <w:rsid w:val="00C63EDC"/>
    <w:rsid w:val="00C66D3D"/>
    <w:rsid w:val="00C67AE1"/>
    <w:rsid w:val="00C70324"/>
    <w:rsid w:val="00C81D4A"/>
    <w:rsid w:val="00C8762C"/>
    <w:rsid w:val="00C9019E"/>
    <w:rsid w:val="00C931A3"/>
    <w:rsid w:val="00CA00F9"/>
    <w:rsid w:val="00CA1919"/>
    <w:rsid w:val="00CA2961"/>
    <w:rsid w:val="00CB50D7"/>
    <w:rsid w:val="00CB7177"/>
    <w:rsid w:val="00CC1998"/>
    <w:rsid w:val="00CC34EF"/>
    <w:rsid w:val="00CC4946"/>
    <w:rsid w:val="00CD3C2E"/>
    <w:rsid w:val="00CF0B63"/>
    <w:rsid w:val="00D06E46"/>
    <w:rsid w:val="00D16EE4"/>
    <w:rsid w:val="00D270A4"/>
    <w:rsid w:val="00D27E0E"/>
    <w:rsid w:val="00D31FE9"/>
    <w:rsid w:val="00D3265D"/>
    <w:rsid w:val="00D34E1B"/>
    <w:rsid w:val="00D376BA"/>
    <w:rsid w:val="00D42157"/>
    <w:rsid w:val="00D45634"/>
    <w:rsid w:val="00D5568A"/>
    <w:rsid w:val="00D57558"/>
    <w:rsid w:val="00D62AC3"/>
    <w:rsid w:val="00D63D73"/>
    <w:rsid w:val="00D64452"/>
    <w:rsid w:val="00D66BAC"/>
    <w:rsid w:val="00D66E1E"/>
    <w:rsid w:val="00D70AD8"/>
    <w:rsid w:val="00D70E28"/>
    <w:rsid w:val="00D72B4D"/>
    <w:rsid w:val="00D75722"/>
    <w:rsid w:val="00D75A24"/>
    <w:rsid w:val="00D77A45"/>
    <w:rsid w:val="00D80CF5"/>
    <w:rsid w:val="00D84457"/>
    <w:rsid w:val="00D97630"/>
    <w:rsid w:val="00D97BDD"/>
    <w:rsid w:val="00DA0CD2"/>
    <w:rsid w:val="00DA5BBA"/>
    <w:rsid w:val="00DB0172"/>
    <w:rsid w:val="00DB26D2"/>
    <w:rsid w:val="00DB67C9"/>
    <w:rsid w:val="00DB776A"/>
    <w:rsid w:val="00DC0C95"/>
    <w:rsid w:val="00DC75E3"/>
    <w:rsid w:val="00DD4A36"/>
    <w:rsid w:val="00DD6580"/>
    <w:rsid w:val="00DE28B3"/>
    <w:rsid w:val="00DF0215"/>
    <w:rsid w:val="00DF4D62"/>
    <w:rsid w:val="00DF70FF"/>
    <w:rsid w:val="00E03403"/>
    <w:rsid w:val="00E0363B"/>
    <w:rsid w:val="00E04885"/>
    <w:rsid w:val="00E17C72"/>
    <w:rsid w:val="00E21FC6"/>
    <w:rsid w:val="00E22A42"/>
    <w:rsid w:val="00E364D1"/>
    <w:rsid w:val="00E431A9"/>
    <w:rsid w:val="00E568F3"/>
    <w:rsid w:val="00E669E2"/>
    <w:rsid w:val="00E72082"/>
    <w:rsid w:val="00E750D9"/>
    <w:rsid w:val="00E76135"/>
    <w:rsid w:val="00E82F4F"/>
    <w:rsid w:val="00E95A74"/>
    <w:rsid w:val="00EA4F63"/>
    <w:rsid w:val="00EB50D0"/>
    <w:rsid w:val="00EC2844"/>
    <w:rsid w:val="00EC2A85"/>
    <w:rsid w:val="00EC5500"/>
    <w:rsid w:val="00EC56EE"/>
    <w:rsid w:val="00ED1558"/>
    <w:rsid w:val="00ED3BAE"/>
    <w:rsid w:val="00EF5CBE"/>
    <w:rsid w:val="00EF6C6C"/>
    <w:rsid w:val="00F056FC"/>
    <w:rsid w:val="00F10476"/>
    <w:rsid w:val="00F135D8"/>
    <w:rsid w:val="00F31299"/>
    <w:rsid w:val="00F32BDD"/>
    <w:rsid w:val="00F3534A"/>
    <w:rsid w:val="00F36DB3"/>
    <w:rsid w:val="00F432BA"/>
    <w:rsid w:val="00F47F91"/>
    <w:rsid w:val="00F51609"/>
    <w:rsid w:val="00F7280D"/>
    <w:rsid w:val="00F763F4"/>
    <w:rsid w:val="00F85325"/>
    <w:rsid w:val="00F85A3F"/>
    <w:rsid w:val="00F8746D"/>
    <w:rsid w:val="00F94683"/>
    <w:rsid w:val="00FB4901"/>
    <w:rsid w:val="00FB57A6"/>
    <w:rsid w:val="00FC1E1A"/>
    <w:rsid w:val="00FC43A1"/>
    <w:rsid w:val="00FC7C26"/>
    <w:rsid w:val="00FD1710"/>
    <w:rsid w:val="00FD22B1"/>
    <w:rsid w:val="00FE09EA"/>
    <w:rsid w:val="00FE0C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D155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034FF5"/>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034FF5"/>
    <w:pPr>
      <w:numPr>
        <w:numId w:val="46"/>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034FF5"/>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E95A74"/>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D155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034FF5"/>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034FF5"/>
    <w:pPr>
      <w:numPr>
        <w:numId w:val="46"/>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034FF5"/>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E95A74"/>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908737200">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632780155">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A7EFE-081E-4936-93E9-FFF661E17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Pages>
  <Words>308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7.</dc:description>
  <cp:lastModifiedBy>Productivity Commission</cp:lastModifiedBy>
  <cp:revision>4</cp:revision>
  <cp:lastPrinted>2012-07-19T02:05:00Z</cp:lastPrinted>
  <dcterms:created xsi:type="dcterms:W3CDTF">2013-04-02T04:03:00Z</dcterms:created>
  <dcterms:modified xsi:type="dcterms:W3CDTF">2013-04-16T05:52:00Z</dcterms:modified>
</cp:coreProperties>
</file>