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EA484B" w:rsidRDefault="009552F0" w:rsidP="009552F0">
      <w:pPr>
        <w:pStyle w:val="Chapter"/>
        <w:ind w:left="907" w:hanging="907"/>
        <w:rPr>
          <w:noProof/>
        </w:rPr>
      </w:pPr>
      <w:bookmarkStart w:id="0" w:name="ChapterNumber"/>
      <w:bookmarkStart w:id="1" w:name="_GoBack"/>
      <w:bookmarkEnd w:id="1"/>
      <w:r w:rsidRPr="000E35CE">
        <w:rPr>
          <w:noProof/>
        </w:rPr>
        <w:t>15</w:t>
      </w:r>
      <w:bookmarkEnd w:id="0"/>
      <w:r w:rsidRPr="000E35CE">
        <w:rPr>
          <w:noProof/>
        </w:rPr>
        <w:tab/>
      </w:r>
      <w:bookmarkStart w:id="2" w:name="ChapterTitle"/>
      <w:r w:rsidRPr="000E35CE">
        <w:rPr>
          <w:noProof/>
        </w:rPr>
        <w:t>Child protection and youth justice</w:t>
      </w:r>
      <w:bookmarkEnd w:id="2"/>
      <w:r w:rsidR="00D6577A" w:rsidRPr="000E35CE">
        <w:rPr>
          <w:noProof/>
        </w:rPr>
        <w:t xml:space="preserve"> </w:t>
      </w:r>
      <w:r w:rsidR="00D6577A" w:rsidRPr="00EA484B">
        <w:rPr>
          <w:noProof/>
        </w:rPr>
        <w:t>services</w:t>
      </w:r>
    </w:p>
    <w:p w:rsidR="00D16FB3" w:rsidRPr="00EA484B" w:rsidRDefault="00270B27" w:rsidP="00270B27">
      <w:pPr>
        <w:pStyle w:val="TOC2"/>
      </w:pPr>
      <w:bookmarkStart w:id="3" w:name="begin"/>
      <w:bookmarkEnd w:id="3"/>
      <w:r w:rsidRPr="00EA484B">
        <w:t>CONTENTS</w:t>
      </w:r>
    </w:p>
    <w:p w:rsidR="00EA484B" w:rsidRPr="00EA484B" w:rsidRDefault="00EA484B">
      <w:pPr>
        <w:pStyle w:val="TOC3"/>
        <w:rPr>
          <w:rFonts w:eastAsiaTheme="minorEastAsia"/>
          <w:b/>
          <w:noProof/>
          <w:sz w:val="22"/>
          <w:szCs w:val="22"/>
        </w:rPr>
      </w:pPr>
      <w:r w:rsidRPr="00B01FF9">
        <w:rPr>
          <w:b/>
          <w:noProof/>
        </w:rPr>
        <w:t>Indigenous data in the Child protection and youth justice services chapter</w:t>
      </w:r>
      <w:r w:rsidRPr="00EA484B">
        <w:rPr>
          <w:b/>
          <w:noProof/>
          <w:webHidden/>
        </w:rPr>
        <w:tab/>
      </w:r>
      <w:r w:rsidR="0075371B">
        <w:rPr>
          <w:b/>
          <w:noProof/>
          <w:webHidden/>
        </w:rPr>
        <w:t>1</w:t>
      </w:r>
      <w:r w:rsidR="00665023">
        <w:rPr>
          <w:b/>
          <w:noProof/>
          <w:webHidden/>
        </w:rPr>
        <w:t>5</w:t>
      </w:r>
      <w:r w:rsidR="0075371B">
        <w:rPr>
          <w:b/>
          <w:noProof/>
          <w:webHidden/>
        </w:rPr>
        <w:t>.</w:t>
      </w:r>
      <w:r w:rsidR="005354FD">
        <w:rPr>
          <w:b/>
          <w:noProof/>
          <w:webHidden/>
        </w:rPr>
        <w:t>3</w:t>
      </w:r>
    </w:p>
    <w:p w:rsidR="00EA484B" w:rsidRPr="00EA484B" w:rsidRDefault="00EA484B">
      <w:pPr>
        <w:pStyle w:val="TOC3"/>
        <w:rPr>
          <w:rFonts w:eastAsiaTheme="minorEastAsia"/>
          <w:b/>
          <w:noProof/>
          <w:sz w:val="22"/>
          <w:szCs w:val="22"/>
        </w:rPr>
      </w:pPr>
      <w:r w:rsidRPr="00B01FF9">
        <w:rPr>
          <w:b/>
          <w:noProof/>
        </w:rPr>
        <w:t>Child protection and out-of-home care services</w:t>
      </w:r>
      <w:r w:rsidRPr="00EA484B">
        <w:rPr>
          <w:b/>
          <w:noProof/>
          <w:webHidden/>
        </w:rPr>
        <w:tab/>
      </w:r>
      <w:r w:rsidR="0075371B" w:rsidRPr="0075371B">
        <w:rPr>
          <w:b/>
          <w:noProof/>
          <w:webHidden/>
        </w:rPr>
        <w:t>1</w:t>
      </w:r>
      <w:r w:rsidR="00665023">
        <w:rPr>
          <w:b/>
          <w:noProof/>
          <w:webHidden/>
        </w:rPr>
        <w:t>5</w:t>
      </w:r>
      <w:r w:rsidR="0075371B" w:rsidRPr="0075371B">
        <w:rPr>
          <w:b/>
          <w:noProof/>
          <w:webHidden/>
        </w:rPr>
        <w:t>.</w:t>
      </w:r>
      <w:r w:rsidR="005354FD">
        <w:rPr>
          <w:b/>
          <w:noProof/>
          <w:webHidden/>
        </w:rPr>
        <w:t>4</w:t>
      </w:r>
    </w:p>
    <w:p w:rsidR="00EA484B" w:rsidRPr="00EA484B" w:rsidRDefault="00EA484B">
      <w:pPr>
        <w:pStyle w:val="TOC4"/>
        <w:rPr>
          <w:rFonts w:eastAsiaTheme="minorEastAsia"/>
          <w:b/>
          <w:noProof/>
          <w:sz w:val="22"/>
          <w:szCs w:val="22"/>
        </w:rPr>
      </w:pPr>
      <w:r w:rsidRPr="00B01FF9">
        <w:rPr>
          <w:b/>
          <w:noProof/>
        </w:rPr>
        <w:t>Child protection concerns and Indigenous communities</w:t>
      </w:r>
      <w:r w:rsidRPr="00EA484B">
        <w:rPr>
          <w:b/>
          <w:noProof/>
          <w:webHidden/>
        </w:rPr>
        <w:tab/>
      </w:r>
      <w:r w:rsidR="00665023">
        <w:rPr>
          <w:b/>
          <w:noProof/>
          <w:webHidden/>
        </w:rPr>
        <w:t>15</w:t>
      </w:r>
      <w:r w:rsidR="0075371B" w:rsidRPr="0075371B">
        <w:rPr>
          <w:b/>
          <w:noProof/>
          <w:webHidden/>
        </w:rPr>
        <w:t>.</w:t>
      </w:r>
      <w:r w:rsidR="005354FD">
        <w:rPr>
          <w:b/>
          <w:noProof/>
          <w:webHidden/>
        </w:rPr>
        <w:t>5</w:t>
      </w:r>
    </w:p>
    <w:p w:rsidR="00EA484B" w:rsidRPr="00EA484B" w:rsidRDefault="00EA484B">
      <w:pPr>
        <w:pStyle w:val="TOC4"/>
        <w:rPr>
          <w:rFonts w:eastAsiaTheme="minorEastAsia"/>
          <w:b/>
          <w:noProof/>
          <w:sz w:val="22"/>
          <w:szCs w:val="22"/>
        </w:rPr>
      </w:pPr>
      <w:r w:rsidRPr="00B01FF9">
        <w:rPr>
          <w:b/>
          <w:noProof/>
        </w:rPr>
        <w:t>Out-of-home care services</w:t>
      </w:r>
      <w:r w:rsidRPr="00EA484B">
        <w:rPr>
          <w:b/>
          <w:noProof/>
          <w:webHidden/>
        </w:rPr>
        <w:tab/>
      </w:r>
      <w:r w:rsidR="00665023">
        <w:rPr>
          <w:b/>
          <w:noProof/>
          <w:webHidden/>
        </w:rPr>
        <w:t>15</w:t>
      </w:r>
      <w:r w:rsidR="0075371B" w:rsidRPr="0075371B">
        <w:rPr>
          <w:b/>
          <w:noProof/>
          <w:webHidden/>
        </w:rPr>
        <w:t>.</w:t>
      </w:r>
      <w:r w:rsidR="005354FD">
        <w:rPr>
          <w:b/>
          <w:noProof/>
          <w:webHidden/>
        </w:rPr>
        <w:t>5</w:t>
      </w:r>
    </w:p>
    <w:p w:rsidR="00EA484B" w:rsidRPr="00EA484B" w:rsidRDefault="00EA484B">
      <w:pPr>
        <w:pStyle w:val="TOC4"/>
        <w:rPr>
          <w:rFonts w:eastAsiaTheme="minorEastAsia"/>
          <w:b/>
          <w:noProof/>
          <w:sz w:val="22"/>
          <w:szCs w:val="22"/>
        </w:rPr>
      </w:pPr>
      <w:r w:rsidRPr="00B01FF9">
        <w:rPr>
          <w:b/>
          <w:noProof/>
        </w:rPr>
        <w:t>Intensive family support services</w:t>
      </w:r>
      <w:r w:rsidRPr="00EA484B">
        <w:rPr>
          <w:b/>
          <w:noProof/>
          <w:webHidden/>
        </w:rPr>
        <w:tab/>
      </w:r>
      <w:r w:rsidR="00665023">
        <w:rPr>
          <w:b/>
          <w:noProof/>
          <w:webHidden/>
        </w:rPr>
        <w:t>15</w:t>
      </w:r>
      <w:r w:rsidR="0075371B" w:rsidRPr="0075371B">
        <w:rPr>
          <w:b/>
          <w:noProof/>
          <w:webHidden/>
        </w:rPr>
        <w:t>.</w:t>
      </w:r>
      <w:r w:rsidR="005354FD">
        <w:rPr>
          <w:b/>
          <w:noProof/>
          <w:webHidden/>
        </w:rPr>
        <w:t>5</w:t>
      </w:r>
    </w:p>
    <w:p w:rsidR="00EA484B" w:rsidRPr="00EA484B" w:rsidRDefault="00EA484B">
      <w:pPr>
        <w:pStyle w:val="TOC4"/>
        <w:rPr>
          <w:rFonts w:eastAsiaTheme="minorEastAsia"/>
          <w:b/>
          <w:noProof/>
          <w:sz w:val="22"/>
          <w:szCs w:val="22"/>
        </w:rPr>
      </w:pPr>
      <w:r w:rsidRPr="00B01FF9">
        <w:rPr>
          <w:b/>
          <w:noProof/>
        </w:rPr>
        <w:t>Family support services</w:t>
      </w:r>
      <w:r w:rsidRPr="00EA484B">
        <w:rPr>
          <w:b/>
          <w:noProof/>
          <w:webHidden/>
        </w:rPr>
        <w:tab/>
      </w:r>
      <w:r w:rsidR="00665023">
        <w:rPr>
          <w:b/>
          <w:noProof/>
          <w:webHidden/>
        </w:rPr>
        <w:t>15</w:t>
      </w:r>
      <w:r w:rsidR="0075371B" w:rsidRPr="0075371B">
        <w:rPr>
          <w:b/>
          <w:noProof/>
          <w:webHidden/>
        </w:rPr>
        <w:t>.</w:t>
      </w:r>
      <w:r w:rsidR="005354FD">
        <w:rPr>
          <w:b/>
          <w:noProof/>
          <w:webHidden/>
        </w:rPr>
        <w:t>7</w:t>
      </w:r>
    </w:p>
    <w:p w:rsidR="00EA484B" w:rsidRPr="00EA484B" w:rsidRDefault="00EA484B">
      <w:pPr>
        <w:pStyle w:val="TOC4"/>
        <w:rPr>
          <w:rFonts w:eastAsiaTheme="minorEastAsia"/>
          <w:b/>
          <w:noProof/>
          <w:sz w:val="22"/>
          <w:szCs w:val="22"/>
        </w:rPr>
      </w:pPr>
      <w:r w:rsidRPr="00B01FF9">
        <w:rPr>
          <w:b/>
          <w:noProof/>
        </w:rPr>
        <w:t>The child protection system</w:t>
      </w:r>
      <w:r w:rsidRPr="00EA484B">
        <w:rPr>
          <w:b/>
          <w:noProof/>
          <w:webHidden/>
        </w:rPr>
        <w:tab/>
      </w:r>
      <w:r w:rsidR="00665023">
        <w:rPr>
          <w:b/>
          <w:noProof/>
          <w:webHidden/>
        </w:rPr>
        <w:t>15</w:t>
      </w:r>
      <w:r w:rsidR="0075371B" w:rsidRPr="0075371B">
        <w:rPr>
          <w:b/>
          <w:noProof/>
          <w:webHidden/>
        </w:rPr>
        <w:t>.</w:t>
      </w:r>
      <w:r w:rsidR="005354FD">
        <w:rPr>
          <w:b/>
          <w:noProof/>
          <w:webHidden/>
        </w:rPr>
        <w:t>7</w:t>
      </w:r>
    </w:p>
    <w:p w:rsidR="00EA484B" w:rsidRPr="00EA484B" w:rsidRDefault="00EA484B">
      <w:pPr>
        <w:pStyle w:val="TOC4"/>
        <w:rPr>
          <w:rFonts w:eastAsiaTheme="minorEastAsia"/>
          <w:b/>
          <w:noProof/>
          <w:sz w:val="22"/>
          <w:szCs w:val="22"/>
        </w:rPr>
      </w:pPr>
      <w:r w:rsidRPr="00B01FF9">
        <w:rPr>
          <w:b/>
          <w:noProof/>
        </w:rPr>
        <w:t>Notification</w:t>
      </w:r>
      <w:r w:rsidRPr="00EA484B">
        <w:rPr>
          <w:b/>
          <w:noProof/>
          <w:webHidden/>
        </w:rPr>
        <w:tab/>
      </w:r>
      <w:r w:rsidR="00665023">
        <w:rPr>
          <w:b/>
          <w:noProof/>
          <w:webHidden/>
        </w:rPr>
        <w:t>15</w:t>
      </w:r>
      <w:r w:rsidR="0075371B" w:rsidRPr="0075371B">
        <w:rPr>
          <w:b/>
          <w:noProof/>
          <w:webHidden/>
        </w:rPr>
        <w:t>.</w:t>
      </w:r>
      <w:r w:rsidR="005354FD">
        <w:rPr>
          <w:b/>
          <w:noProof/>
          <w:webHidden/>
        </w:rPr>
        <w:t>10</w:t>
      </w:r>
    </w:p>
    <w:p w:rsidR="00EA484B" w:rsidRPr="00EA484B" w:rsidRDefault="00EA484B">
      <w:pPr>
        <w:pStyle w:val="TOC4"/>
        <w:rPr>
          <w:rFonts w:eastAsiaTheme="minorEastAsia"/>
          <w:b/>
          <w:noProof/>
          <w:sz w:val="22"/>
          <w:szCs w:val="22"/>
        </w:rPr>
      </w:pPr>
      <w:r w:rsidRPr="00B01FF9">
        <w:rPr>
          <w:b/>
          <w:noProof/>
        </w:rPr>
        <w:t>Investigation</w:t>
      </w:r>
      <w:r w:rsidRPr="00EA484B">
        <w:rPr>
          <w:b/>
          <w:noProof/>
          <w:webHidden/>
        </w:rPr>
        <w:tab/>
      </w:r>
      <w:r w:rsidR="00665023">
        <w:rPr>
          <w:b/>
          <w:noProof/>
          <w:webHidden/>
        </w:rPr>
        <w:t>15</w:t>
      </w:r>
      <w:r w:rsidR="0075371B" w:rsidRPr="0075371B">
        <w:rPr>
          <w:b/>
          <w:noProof/>
          <w:webHidden/>
        </w:rPr>
        <w:t>.</w:t>
      </w:r>
      <w:r w:rsidR="005354FD">
        <w:rPr>
          <w:b/>
          <w:noProof/>
          <w:webHidden/>
        </w:rPr>
        <w:t>11</w:t>
      </w:r>
    </w:p>
    <w:p w:rsidR="00EA484B" w:rsidRPr="00EA484B" w:rsidRDefault="00EA484B">
      <w:pPr>
        <w:pStyle w:val="TOC4"/>
        <w:rPr>
          <w:rFonts w:eastAsiaTheme="minorEastAsia"/>
          <w:b/>
          <w:noProof/>
          <w:sz w:val="22"/>
          <w:szCs w:val="22"/>
        </w:rPr>
      </w:pPr>
      <w:r w:rsidRPr="00B01FF9">
        <w:rPr>
          <w:b/>
          <w:noProof/>
        </w:rPr>
        <w:t>Substantiation</w:t>
      </w:r>
      <w:r w:rsidRPr="00EA484B">
        <w:rPr>
          <w:b/>
          <w:noProof/>
          <w:webHidden/>
        </w:rPr>
        <w:tab/>
      </w:r>
      <w:r w:rsidR="00665023">
        <w:rPr>
          <w:b/>
          <w:noProof/>
          <w:webHidden/>
        </w:rPr>
        <w:t>15</w:t>
      </w:r>
      <w:r w:rsidR="0075371B" w:rsidRPr="0075371B">
        <w:rPr>
          <w:b/>
          <w:noProof/>
          <w:webHidden/>
        </w:rPr>
        <w:t>.</w:t>
      </w:r>
      <w:r w:rsidR="005354FD">
        <w:rPr>
          <w:b/>
          <w:noProof/>
          <w:webHidden/>
        </w:rPr>
        <w:t>11</w:t>
      </w:r>
    </w:p>
    <w:p w:rsidR="00EA484B" w:rsidRPr="00EA484B" w:rsidRDefault="00EA484B">
      <w:pPr>
        <w:pStyle w:val="TOC4"/>
        <w:rPr>
          <w:rFonts w:eastAsiaTheme="minorEastAsia"/>
          <w:b/>
          <w:noProof/>
          <w:sz w:val="22"/>
          <w:szCs w:val="22"/>
        </w:rPr>
      </w:pPr>
      <w:r w:rsidRPr="00B01FF9">
        <w:rPr>
          <w:b/>
          <w:noProof/>
        </w:rPr>
        <w:t>Care and protection orders</w:t>
      </w:r>
      <w:r w:rsidRPr="00EA484B">
        <w:rPr>
          <w:b/>
          <w:noProof/>
          <w:webHidden/>
        </w:rPr>
        <w:tab/>
      </w:r>
      <w:r w:rsidR="00665023">
        <w:rPr>
          <w:b/>
          <w:noProof/>
          <w:webHidden/>
        </w:rPr>
        <w:t>15</w:t>
      </w:r>
      <w:r w:rsidR="0075371B" w:rsidRPr="0075371B">
        <w:rPr>
          <w:b/>
          <w:noProof/>
          <w:webHidden/>
        </w:rPr>
        <w:t>.</w:t>
      </w:r>
      <w:r w:rsidR="005354FD">
        <w:rPr>
          <w:b/>
          <w:noProof/>
          <w:webHidden/>
        </w:rPr>
        <w:t>12</w:t>
      </w:r>
    </w:p>
    <w:p w:rsidR="00EA484B" w:rsidRPr="00EA484B" w:rsidRDefault="00EA484B">
      <w:pPr>
        <w:pStyle w:val="TOC4"/>
        <w:rPr>
          <w:rFonts w:eastAsiaTheme="minorEastAsia"/>
          <w:b/>
          <w:noProof/>
          <w:sz w:val="22"/>
          <w:szCs w:val="22"/>
        </w:rPr>
      </w:pPr>
      <w:r w:rsidRPr="00B01FF9">
        <w:rPr>
          <w:b/>
          <w:noProof/>
        </w:rPr>
        <w:t>Out-of-home care</w:t>
      </w:r>
      <w:r w:rsidRPr="00EA484B">
        <w:rPr>
          <w:b/>
          <w:noProof/>
          <w:webHidden/>
        </w:rPr>
        <w:tab/>
      </w:r>
      <w:r w:rsidR="00665023">
        <w:rPr>
          <w:b/>
          <w:noProof/>
          <w:webHidden/>
        </w:rPr>
        <w:t>15</w:t>
      </w:r>
      <w:r w:rsidR="0075371B" w:rsidRPr="0075371B">
        <w:rPr>
          <w:b/>
          <w:noProof/>
          <w:webHidden/>
        </w:rPr>
        <w:t>.</w:t>
      </w:r>
      <w:r w:rsidR="005354FD">
        <w:rPr>
          <w:b/>
          <w:noProof/>
          <w:webHidden/>
        </w:rPr>
        <w:t>13</w:t>
      </w:r>
    </w:p>
    <w:p w:rsidR="00EA484B" w:rsidRPr="00EA484B" w:rsidRDefault="00EA484B">
      <w:pPr>
        <w:pStyle w:val="TOC4"/>
        <w:rPr>
          <w:rFonts w:eastAsiaTheme="minorEastAsia"/>
          <w:b/>
          <w:noProof/>
          <w:sz w:val="22"/>
          <w:szCs w:val="22"/>
        </w:rPr>
      </w:pPr>
      <w:r w:rsidRPr="00B01FF9">
        <w:rPr>
          <w:b/>
          <w:noProof/>
        </w:rPr>
        <w:t>Framework of performance indicators for child protection and out-of-home care services</w:t>
      </w:r>
      <w:r w:rsidRPr="00EA484B">
        <w:rPr>
          <w:b/>
          <w:noProof/>
          <w:webHidden/>
        </w:rPr>
        <w:tab/>
      </w:r>
      <w:r w:rsidR="00665023">
        <w:rPr>
          <w:b/>
          <w:noProof/>
          <w:webHidden/>
        </w:rPr>
        <w:t>15</w:t>
      </w:r>
      <w:r w:rsidR="0075371B" w:rsidRPr="0075371B">
        <w:rPr>
          <w:b/>
          <w:noProof/>
          <w:webHidden/>
        </w:rPr>
        <w:t>.</w:t>
      </w:r>
      <w:r w:rsidR="005354FD">
        <w:rPr>
          <w:b/>
          <w:noProof/>
          <w:webHidden/>
        </w:rPr>
        <w:t>13</w:t>
      </w:r>
    </w:p>
    <w:p w:rsidR="00EA484B" w:rsidRPr="00EA484B" w:rsidRDefault="00EA484B">
      <w:pPr>
        <w:pStyle w:val="TOC3"/>
        <w:rPr>
          <w:rFonts w:eastAsiaTheme="minorEastAsia"/>
          <w:b/>
          <w:noProof/>
          <w:sz w:val="22"/>
          <w:szCs w:val="22"/>
        </w:rPr>
      </w:pPr>
      <w:r w:rsidRPr="00B01FF9">
        <w:rPr>
          <w:b/>
          <w:noProof/>
        </w:rPr>
        <w:t>Child protection and out-of-home care services reporting for Indigenous Australians</w:t>
      </w:r>
      <w:r w:rsidRPr="00EA484B">
        <w:rPr>
          <w:b/>
          <w:noProof/>
          <w:webHidden/>
        </w:rPr>
        <w:tab/>
      </w:r>
      <w:r w:rsidR="00665023">
        <w:rPr>
          <w:b/>
          <w:noProof/>
          <w:webHidden/>
        </w:rPr>
        <w:t>15</w:t>
      </w:r>
      <w:r w:rsidR="0075371B" w:rsidRPr="0075371B">
        <w:rPr>
          <w:b/>
          <w:noProof/>
          <w:webHidden/>
        </w:rPr>
        <w:t>.</w:t>
      </w:r>
      <w:r w:rsidR="005354FD">
        <w:rPr>
          <w:b/>
          <w:noProof/>
          <w:webHidden/>
        </w:rPr>
        <w:t>16</w:t>
      </w:r>
    </w:p>
    <w:p w:rsidR="00EA484B" w:rsidRPr="00EA484B" w:rsidRDefault="00EA484B">
      <w:pPr>
        <w:pStyle w:val="TOC4"/>
        <w:rPr>
          <w:rFonts w:eastAsiaTheme="minorEastAsia"/>
          <w:b/>
          <w:noProof/>
          <w:sz w:val="22"/>
          <w:szCs w:val="22"/>
        </w:rPr>
      </w:pPr>
      <w:r w:rsidRPr="00B01FF9">
        <w:rPr>
          <w:b/>
          <w:noProof/>
        </w:rPr>
        <w:t>Out-of-home care — children aged under 12 years in home-based care</w:t>
      </w:r>
      <w:r w:rsidRPr="00EA484B">
        <w:rPr>
          <w:b/>
          <w:noProof/>
          <w:webHidden/>
        </w:rPr>
        <w:tab/>
      </w:r>
      <w:r w:rsidR="00665023">
        <w:rPr>
          <w:b/>
          <w:noProof/>
          <w:webHidden/>
        </w:rPr>
        <w:t>15</w:t>
      </w:r>
      <w:r w:rsidR="0075371B" w:rsidRPr="0075371B">
        <w:rPr>
          <w:b/>
          <w:noProof/>
          <w:webHidden/>
        </w:rPr>
        <w:t>.</w:t>
      </w:r>
      <w:r w:rsidR="005354FD">
        <w:rPr>
          <w:b/>
          <w:noProof/>
          <w:webHidden/>
        </w:rPr>
        <w:t>16</w:t>
      </w:r>
    </w:p>
    <w:p w:rsidR="00EA484B" w:rsidRPr="00EA484B" w:rsidRDefault="00EA484B">
      <w:pPr>
        <w:pStyle w:val="TOC4"/>
        <w:rPr>
          <w:rFonts w:eastAsiaTheme="minorEastAsia"/>
          <w:b/>
          <w:noProof/>
          <w:sz w:val="22"/>
          <w:szCs w:val="22"/>
        </w:rPr>
      </w:pPr>
      <w:r w:rsidRPr="00B01FF9">
        <w:rPr>
          <w:b/>
          <w:noProof/>
        </w:rPr>
        <w:t>Out-of-home care — placement with extended family</w:t>
      </w:r>
      <w:r w:rsidRPr="00EA484B">
        <w:rPr>
          <w:b/>
          <w:noProof/>
          <w:webHidden/>
        </w:rPr>
        <w:tab/>
      </w:r>
      <w:r w:rsidR="00665023">
        <w:rPr>
          <w:b/>
          <w:noProof/>
          <w:webHidden/>
        </w:rPr>
        <w:t>15.</w:t>
      </w:r>
      <w:r w:rsidR="005354FD">
        <w:rPr>
          <w:b/>
          <w:noProof/>
          <w:webHidden/>
        </w:rPr>
        <w:t>17</w:t>
      </w:r>
    </w:p>
    <w:p w:rsidR="00EA484B" w:rsidRPr="00EA484B" w:rsidRDefault="00EA484B">
      <w:pPr>
        <w:pStyle w:val="TOC4"/>
        <w:rPr>
          <w:rFonts w:eastAsiaTheme="minorEastAsia"/>
          <w:b/>
          <w:noProof/>
          <w:sz w:val="22"/>
          <w:szCs w:val="22"/>
        </w:rPr>
      </w:pPr>
      <w:r w:rsidRPr="00B01FF9">
        <w:rPr>
          <w:b/>
          <w:noProof/>
        </w:rPr>
        <w:t>Out-of-home care — placement in accordance with the Aboriginal Child Placement Principle</w:t>
      </w:r>
      <w:r w:rsidRPr="00EA484B">
        <w:rPr>
          <w:b/>
          <w:noProof/>
          <w:webHidden/>
        </w:rPr>
        <w:tab/>
      </w:r>
      <w:r w:rsidR="00665023">
        <w:rPr>
          <w:b/>
          <w:noProof/>
          <w:webHidden/>
        </w:rPr>
        <w:t>15</w:t>
      </w:r>
      <w:r w:rsidR="0075371B" w:rsidRPr="0075371B">
        <w:rPr>
          <w:b/>
          <w:noProof/>
          <w:webHidden/>
        </w:rPr>
        <w:t>.</w:t>
      </w:r>
      <w:r w:rsidR="005354FD">
        <w:rPr>
          <w:b/>
          <w:noProof/>
          <w:webHidden/>
        </w:rPr>
        <w:t>19</w:t>
      </w:r>
    </w:p>
    <w:p w:rsidR="00EA484B" w:rsidRPr="00EA484B" w:rsidRDefault="00EA484B">
      <w:pPr>
        <w:pStyle w:val="TOC3"/>
        <w:rPr>
          <w:rFonts w:eastAsiaTheme="minorEastAsia"/>
          <w:b/>
          <w:noProof/>
          <w:sz w:val="22"/>
          <w:szCs w:val="22"/>
        </w:rPr>
      </w:pPr>
      <w:r w:rsidRPr="00B01FF9">
        <w:rPr>
          <w:b/>
          <w:noProof/>
        </w:rPr>
        <w:t>Youth justice services</w:t>
      </w:r>
      <w:r w:rsidRPr="00EA484B">
        <w:rPr>
          <w:b/>
          <w:noProof/>
          <w:webHidden/>
        </w:rPr>
        <w:tab/>
      </w:r>
      <w:r w:rsidR="00665023">
        <w:rPr>
          <w:b/>
          <w:noProof/>
          <w:webHidden/>
        </w:rPr>
        <w:t>15</w:t>
      </w:r>
      <w:r w:rsidR="0075371B" w:rsidRPr="0075371B">
        <w:rPr>
          <w:b/>
          <w:noProof/>
          <w:webHidden/>
        </w:rPr>
        <w:t>.</w:t>
      </w:r>
      <w:r w:rsidR="005354FD">
        <w:rPr>
          <w:b/>
          <w:noProof/>
          <w:webHidden/>
        </w:rPr>
        <w:t>22</w:t>
      </w:r>
    </w:p>
    <w:p w:rsidR="00EA484B" w:rsidRPr="00EA484B" w:rsidRDefault="00EA484B">
      <w:pPr>
        <w:pStyle w:val="TOC3"/>
        <w:rPr>
          <w:rFonts w:eastAsiaTheme="minorEastAsia"/>
          <w:b/>
          <w:noProof/>
          <w:sz w:val="22"/>
          <w:szCs w:val="22"/>
        </w:rPr>
      </w:pPr>
      <w:r w:rsidRPr="00B01FF9">
        <w:rPr>
          <w:b/>
          <w:noProof/>
        </w:rPr>
        <w:t>Service overview</w:t>
      </w:r>
      <w:r w:rsidRPr="00EA484B">
        <w:rPr>
          <w:b/>
          <w:noProof/>
          <w:webHidden/>
        </w:rPr>
        <w:tab/>
      </w:r>
      <w:r w:rsidR="00665023">
        <w:rPr>
          <w:b/>
          <w:noProof/>
          <w:webHidden/>
        </w:rPr>
        <w:t>15</w:t>
      </w:r>
      <w:r w:rsidR="0075371B" w:rsidRPr="0075371B">
        <w:rPr>
          <w:b/>
          <w:noProof/>
          <w:webHidden/>
        </w:rPr>
        <w:t>.</w:t>
      </w:r>
      <w:r w:rsidR="005354FD">
        <w:rPr>
          <w:b/>
          <w:noProof/>
          <w:webHidden/>
        </w:rPr>
        <w:t>22</w:t>
      </w:r>
    </w:p>
    <w:p w:rsidR="00EA484B" w:rsidRPr="00EA484B" w:rsidRDefault="00EA484B">
      <w:pPr>
        <w:pStyle w:val="TOC3"/>
        <w:rPr>
          <w:rFonts w:eastAsiaTheme="minorEastAsia"/>
          <w:b/>
          <w:noProof/>
          <w:sz w:val="22"/>
          <w:szCs w:val="22"/>
        </w:rPr>
      </w:pPr>
      <w:r w:rsidRPr="00B01FF9">
        <w:rPr>
          <w:b/>
          <w:noProof/>
        </w:rPr>
        <w:t>Framework of performance indicators for youth justice services</w:t>
      </w:r>
      <w:r w:rsidRPr="00EA484B">
        <w:rPr>
          <w:b/>
          <w:noProof/>
          <w:webHidden/>
        </w:rPr>
        <w:tab/>
      </w:r>
      <w:r w:rsidR="00665023">
        <w:rPr>
          <w:b/>
          <w:noProof/>
          <w:webHidden/>
        </w:rPr>
        <w:t>15</w:t>
      </w:r>
      <w:r w:rsidR="0075371B" w:rsidRPr="0075371B">
        <w:rPr>
          <w:b/>
          <w:noProof/>
          <w:webHidden/>
        </w:rPr>
        <w:t>.</w:t>
      </w:r>
      <w:r w:rsidR="005354FD">
        <w:rPr>
          <w:b/>
          <w:noProof/>
          <w:webHidden/>
        </w:rPr>
        <w:t>25</w:t>
      </w:r>
    </w:p>
    <w:p w:rsidR="00EA484B" w:rsidRPr="00EA484B" w:rsidRDefault="00EA484B">
      <w:pPr>
        <w:pStyle w:val="TOC3"/>
        <w:rPr>
          <w:rFonts w:eastAsiaTheme="minorEastAsia"/>
          <w:b/>
          <w:noProof/>
          <w:sz w:val="22"/>
          <w:szCs w:val="22"/>
        </w:rPr>
      </w:pPr>
      <w:r w:rsidRPr="00B01FF9">
        <w:rPr>
          <w:b/>
          <w:noProof/>
        </w:rPr>
        <w:t>Youth justice services reporting for Indigenous Australians</w:t>
      </w:r>
      <w:r w:rsidRPr="00EA484B">
        <w:rPr>
          <w:b/>
          <w:noProof/>
          <w:webHidden/>
        </w:rPr>
        <w:tab/>
      </w:r>
      <w:r w:rsidR="00665023">
        <w:rPr>
          <w:b/>
          <w:noProof/>
          <w:webHidden/>
        </w:rPr>
        <w:t>15</w:t>
      </w:r>
      <w:r w:rsidR="0075371B" w:rsidRPr="0075371B">
        <w:rPr>
          <w:b/>
          <w:noProof/>
          <w:webHidden/>
        </w:rPr>
        <w:t>.</w:t>
      </w:r>
      <w:r w:rsidR="005354FD">
        <w:rPr>
          <w:b/>
          <w:noProof/>
          <w:webHidden/>
        </w:rPr>
        <w:t>26</w:t>
      </w:r>
    </w:p>
    <w:p w:rsidR="00EA484B" w:rsidRPr="00EA484B" w:rsidRDefault="00EA484B">
      <w:pPr>
        <w:pStyle w:val="TOC4"/>
        <w:rPr>
          <w:rFonts w:eastAsiaTheme="minorEastAsia"/>
          <w:b/>
          <w:noProof/>
          <w:sz w:val="22"/>
          <w:szCs w:val="22"/>
        </w:rPr>
      </w:pPr>
      <w:r w:rsidRPr="00B01FF9">
        <w:rPr>
          <w:b/>
          <w:noProof/>
        </w:rPr>
        <w:t>Diversion — group conferencing outcomes</w:t>
      </w:r>
      <w:r w:rsidRPr="00EA484B">
        <w:rPr>
          <w:b/>
          <w:noProof/>
          <w:webHidden/>
        </w:rPr>
        <w:tab/>
      </w:r>
      <w:r w:rsidR="00665023">
        <w:rPr>
          <w:b/>
          <w:noProof/>
          <w:webHidden/>
        </w:rPr>
        <w:t>15</w:t>
      </w:r>
      <w:r w:rsidR="0075371B" w:rsidRPr="0075371B">
        <w:rPr>
          <w:b/>
          <w:noProof/>
          <w:webHidden/>
        </w:rPr>
        <w:t>.</w:t>
      </w:r>
      <w:r w:rsidR="005354FD">
        <w:rPr>
          <w:b/>
          <w:noProof/>
          <w:webHidden/>
        </w:rPr>
        <w:t>26</w:t>
      </w:r>
    </w:p>
    <w:p w:rsidR="00EA484B" w:rsidRPr="00EA484B" w:rsidRDefault="00EA484B">
      <w:pPr>
        <w:pStyle w:val="TOC4"/>
        <w:rPr>
          <w:rFonts w:eastAsiaTheme="minorEastAsia"/>
          <w:b/>
          <w:noProof/>
          <w:sz w:val="22"/>
          <w:szCs w:val="22"/>
        </w:rPr>
      </w:pPr>
      <w:r w:rsidRPr="00B01FF9">
        <w:rPr>
          <w:b/>
          <w:noProof/>
        </w:rPr>
        <w:lastRenderedPageBreak/>
        <w:t>Rehabilitation — education and training attendance</w:t>
      </w:r>
      <w:r w:rsidRPr="00EA484B">
        <w:rPr>
          <w:b/>
          <w:noProof/>
          <w:webHidden/>
        </w:rPr>
        <w:tab/>
      </w:r>
      <w:r w:rsidR="00665023">
        <w:rPr>
          <w:b/>
          <w:noProof/>
          <w:webHidden/>
        </w:rPr>
        <w:t>15</w:t>
      </w:r>
      <w:r w:rsidR="0075371B" w:rsidRPr="0075371B">
        <w:rPr>
          <w:b/>
          <w:noProof/>
          <w:webHidden/>
        </w:rPr>
        <w:t>.</w:t>
      </w:r>
      <w:r w:rsidR="005354FD">
        <w:rPr>
          <w:b/>
          <w:noProof/>
          <w:webHidden/>
        </w:rPr>
        <w:t>28</w:t>
      </w:r>
    </w:p>
    <w:p w:rsidR="00EA484B" w:rsidRPr="00EA484B" w:rsidRDefault="00EA484B">
      <w:pPr>
        <w:pStyle w:val="TOC4"/>
        <w:rPr>
          <w:rFonts w:eastAsiaTheme="minorEastAsia"/>
          <w:b/>
          <w:noProof/>
          <w:sz w:val="22"/>
          <w:szCs w:val="22"/>
        </w:rPr>
      </w:pPr>
      <w:r w:rsidRPr="00B01FF9">
        <w:rPr>
          <w:b/>
          <w:noProof/>
        </w:rPr>
        <w:t>Safe and secure environment — escapes</w:t>
      </w:r>
      <w:r w:rsidRPr="00EA484B">
        <w:rPr>
          <w:b/>
          <w:noProof/>
          <w:webHidden/>
        </w:rPr>
        <w:tab/>
      </w:r>
      <w:r w:rsidR="00665023">
        <w:rPr>
          <w:b/>
          <w:noProof/>
          <w:webHidden/>
        </w:rPr>
        <w:t>15</w:t>
      </w:r>
      <w:r w:rsidR="0075371B" w:rsidRPr="0075371B">
        <w:rPr>
          <w:b/>
          <w:noProof/>
          <w:webHidden/>
        </w:rPr>
        <w:t>.</w:t>
      </w:r>
      <w:r w:rsidR="005354FD">
        <w:rPr>
          <w:b/>
          <w:noProof/>
          <w:webHidden/>
        </w:rPr>
        <w:t>30</w:t>
      </w:r>
    </w:p>
    <w:p w:rsidR="00EA484B" w:rsidRPr="00EA484B" w:rsidRDefault="00EA484B">
      <w:pPr>
        <w:pStyle w:val="TOC4"/>
        <w:rPr>
          <w:rFonts w:eastAsiaTheme="minorEastAsia"/>
          <w:b/>
          <w:noProof/>
          <w:sz w:val="22"/>
          <w:szCs w:val="22"/>
        </w:rPr>
      </w:pPr>
      <w:r w:rsidRPr="00B01FF9">
        <w:rPr>
          <w:b/>
          <w:noProof/>
        </w:rPr>
        <w:t>Safe and secure environment — absconds from unescorted leave</w:t>
      </w:r>
      <w:r w:rsidRPr="00EA484B">
        <w:rPr>
          <w:b/>
          <w:noProof/>
          <w:webHidden/>
        </w:rPr>
        <w:tab/>
      </w:r>
      <w:r w:rsidR="00665023">
        <w:rPr>
          <w:b/>
          <w:noProof/>
          <w:webHidden/>
        </w:rPr>
        <w:t>15</w:t>
      </w:r>
      <w:r w:rsidR="0075371B" w:rsidRPr="0075371B">
        <w:rPr>
          <w:b/>
          <w:noProof/>
          <w:webHidden/>
        </w:rPr>
        <w:t>.</w:t>
      </w:r>
      <w:r w:rsidR="005354FD">
        <w:rPr>
          <w:b/>
          <w:noProof/>
          <w:webHidden/>
        </w:rPr>
        <w:t>32</w:t>
      </w:r>
    </w:p>
    <w:p w:rsidR="00EA484B" w:rsidRPr="00EA484B" w:rsidRDefault="00EA484B">
      <w:pPr>
        <w:pStyle w:val="TOC4"/>
        <w:rPr>
          <w:rFonts w:eastAsiaTheme="minorEastAsia"/>
          <w:b/>
          <w:noProof/>
          <w:sz w:val="22"/>
          <w:szCs w:val="22"/>
        </w:rPr>
      </w:pPr>
      <w:r w:rsidRPr="00B01FF9">
        <w:rPr>
          <w:b/>
          <w:noProof/>
        </w:rPr>
        <w:t>Safe and secure environment — assaults in custody</w:t>
      </w:r>
      <w:r w:rsidRPr="00EA484B">
        <w:rPr>
          <w:b/>
          <w:noProof/>
          <w:webHidden/>
        </w:rPr>
        <w:tab/>
      </w:r>
      <w:r w:rsidR="00665023">
        <w:rPr>
          <w:b/>
          <w:noProof/>
          <w:webHidden/>
        </w:rPr>
        <w:t>15</w:t>
      </w:r>
      <w:r w:rsidR="0075371B" w:rsidRPr="0075371B">
        <w:rPr>
          <w:b/>
          <w:noProof/>
          <w:webHidden/>
        </w:rPr>
        <w:t>.</w:t>
      </w:r>
      <w:r w:rsidR="005354FD">
        <w:rPr>
          <w:b/>
          <w:noProof/>
          <w:webHidden/>
        </w:rPr>
        <w:t>33</w:t>
      </w:r>
    </w:p>
    <w:p w:rsidR="00EA484B" w:rsidRPr="00EA484B" w:rsidRDefault="00EA484B">
      <w:pPr>
        <w:pStyle w:val="TOC4"/>
        <w:rPr>
          <w:rFonts w:eastAsiaTheme="minorEastAsia"/>
          <w:b/>
          <w:noProof/>
          <w:sz w:val="22"/>
          <w:szCs w:val="22"/>
        </w:rPr>
      </w:pPr>
      <w:r w:rsidRPr="00B01FF9">
        <w:rPr>
          <w:b/>
          <w:noProof/>
        </w:rPr>
        <w:t>Safe and secure environment — self-harm and attempted suicide in custody</w:t>
      </w:r>
      <w:r w:rsidRPr="00EA484B">
        <w:rPr>
          <w:b/>
          <w:noProof/>
          <w:webHidden/>
        </w:rPr>
        <w:tab/>
      </w:r>
      <w:r w:rsidR="00665023">
        <w:rPr>
          <w:b/>
          <w:noProof/>
          <w:webHidden/>
        </w:rPr>
        <w:t>15</w:t>
      </w:r>
      <w:r w:rsidR="0075371B" w:rsidRPr="0075371B">
        <w:rPr>
          <w:b/>
          <w:noProof/>
          <w:webHidden/>
        </w:rPr>
        <w:t>.</w:t>
      </w:r>
      <w:r w:rsidR="005354FD">
        <w:rPr>
          <w:b/>
          <w:noProof/>
          <w:webHidden/>
        </w:rPr>
        <w:t>36</w:t>
      </w:r>
    </w:p>
    <w:p w:rsidR="00EA484B" w:rsidRPr="00EA484B" w:rsidRDefault="00EA484B">
      <w:pPr>
        <w:pStyle w:val="TOC4"/>
        <w:rPr>
          <w:rFonts w:eastAsiaTheme="minorEastAsia"/>
          <w:b/>
          <w:noProof/>
          <w:sz w:val="22"/>
          <w:szCs w:val="22"/>
        </w:rPr>
      </w:pPr>
      <w:r w:rsidRPr="00B01FF9">
        <w:rPr>
          <w:b/>
          <w:noProof/>
        </w:rPr>
        <w:t>Statutory responsibilities — case plans prepared</w:t>
      </w:r>
      <w:r w:rsidRPr="00EA484B">
        <w:rPr>
          <w:b/>
          <w:noProof/>
          <w:webHidden/>
        </w:rPr>
        <w:tab/>
      </w:r>
      <w:r w:rsidR="00665023">
        <w:rPr>
          <w:b/>
          <w:noProof/>
          <w:webHidden/>
        </w:rPr>
        <w:t>15</w:t>
      </w:r>
      <w:r w:rsidR="0075371B" w:rsidRPr="0075371B">
        <w:rPr>
          <w:b/>
          <w:noProof/>
          <w:webHidden/>
        </w:rPr>
        <w:t>.</w:t>
      </w:r>
      <w:r w:rsidR="005354FD">
        <w:rPr>
          <w:b/>
          <w:noProof/>
          <w:webHidden/>
        </w:rPr>
        <w:t>40</w:t>
      </w:r>
    </w:p>
    <w:p w:rsidR="00EA484B" w:rsidRPr="00EA484B" w:rsidRDefault="00EA484B">
      <w:pPr>
        <w:pStyle w:val="TOC4"/>
        <w:rPr>
          <w:rFonts w:eastAsiaTheme="minorEastAsia"/>
          <w:b/>
          <w:noProof/>
          <w:sz w:val="22"/>
          <w:szCs w:val="22"/>
        </w:rPr>
      </w:pPr>
      <w:r w:rsidRPr="00B01FF9">
        <w:rPr>
          <w:b/>
          <w:noProof/>
        </w:rPr>
        <w:t>Statutory responsibilities — completion of community-based orders</w:t>
      </w:r>
      <w:r w:rsidRPr="00EA484B">
        <w:rPr>
          <w:b/>
          <w:noProof/>
          <w:webHidden/>
        </w:rPr>
        <w:tab/>
      </w:r>
      <w:r w:rsidR="00665023">
        <w:rPr>
          <w:b/>
          <w:noProof/>
          <w:webHidden/>
        </w:rPr>
        <w:t>15</w:t>
      </w:r>
      <w:r w:rsidR="0075371B" w:rsidRPr="0075371B">
        <w:rPr>
          <w:b/>
          <w:noProof/>
          <w:webHidden/>
        </w:rPr>
        <w:t>.</w:t>
      </w:r>
      <w:r w:rsidR="005354FD">
        <w:rPr>
          <w:b/>
          <w:noProof/>
          <w:webHidden/>
        </w:rPr>
        <w:t>43</w:t>
      </w:r>
    </w:p>
    <w:p w:rsidR="00EA484B" w:rsidRPr="00EA484B" w:rsidRDefault="00EA484B">
      <w:pPr>
        <w:pStyle w:val="TOC3"/>
        <w:rPr>
          <w:rFonts w:eastAsiaTheme="minorEastAsia"/>
          <w:b/>
          <w:noProof/>
          <w:sz w:val="22"/>
          <w:szCs w:val="22"/>
        </w:rPr>
      </w:pPr>
      <w:r w:rsidRPr="00B01FF9">
        <w:rPr>
          <w:b/>
          <w:noProof/>
        </w:rPr>
        <w:t>Definitions of key terms and indicators</w:t>
      </w:r>
      <w:r w:rsidRPr="00EA484B">
        <w:rPr>
          <w:b/>
          <w:noProof/>
          <w:webHidden/>
        </w:rPr>
        <w:tab/>
      </w:r>
      <w:r w:rsidR="00665023">
        <w:rPr>
          <w:b/>
          <w:noProof/>
          <w:webHidden/>
        </w:rPr>
        <w:t>15</w:t>
      </w:r>
      <w:r w:rsidR="0075371B" w:rsidRPr="0075371B">
        <w:rPr>
          <w:b/>
          <w:noProof/>
          <w:webHidden/>
        </w:rPr>
        <w:t>.</w:t>
      </w:r>
      <w:r w:rsidR="005354FD">
        <w:rPr>
          <w:b/>
          <w:noProof/>
          <w:webHidden/>
        </w:rPr>
        <w:t>45</w:t>
      </w:r>
    </w:p>
    <w:p w:rsidR="00EA484B" w:rsidRPr="00EA484B" w:rsidRDefault="00EA484B">
      <w:pPr>
        <w:pStyle w:val="TOC4"/>
        <w:rPr>
          <w:rFonts w:eastAsiaTheme="minorEastAsia"/>
          <w:b/>
          <w:noProof/>
          <w:sz w:val="22"/>
          <w:szCs w:val="22"/>
        </w:rPr>
      </w:pPr>
      <w:r w:rsidRPr="00B01FF9">
        <w:rPr>
          <w:b/>
          <w:noProof/>
        </w:rPr>
        <w:t>Child protection and out-of-home care services</w:t>
      </w:r>
      <w:r w:rsidRPr="00EA484B">
        <w:rPr>
          <w:b/>
          <w:noProof/>
          <w:webHidden/>
        </w:rPr>
        <w:tab/>
      </w:r>
      <w:r w:rsidR="00665023">
        <w:rPr>
          <w:b/>
          <w:noProof/>
          <w:webHidden/>
        </w:rPr>
        <w:t>15</w:t>
      </w:r>
      <w:r w:rsidR="0075371B" w:rsidRPr="0075371B">
        <w:rPr>
          <w:b/>
          <w:noProof/>
          <w:webHidden/>
        </w:rPr>
        <w:t>.</w:t>
      </w:r>
      <w:r w:rsidR="005354FD">
        <w:rPr>
          <w:b/>
          <w:noProof/>
          <w:webHidden/>
        </w:rPr>
        <w:t>45</w:t>
      </w:r>
    </w:p>
    <w:p w:rsidR="00EA484B" w:rsidRPr="00EA484B" w:rsidRDefault="00EA484B">
      <w:pPr>
        <w:pStyle w:val="TOC4"/>
        <w:rPr>
          <w:rFonts w:eastAsiaTheme="minorEastAsia"/>
          <w:b/>
          <w:noProof/>
          <w:sz w:val="22"/>
          <w:szCs w:val="22"/>
        </w:rPr>
      </w:pPr>
      <w:r w:rsidRPr="00B01FF9">
        <w:rPr>
          <w:b/>
          <w:noProof/>
        </w:rPr>
        <w:t>List of attachment tables</w:t>
      </w:r>
      <w:r w:rsidRPr="00EA484B">
        <w:rPr>
          <w:b/>
          <w:noProof/>
          <w:webHidden/>
        </w:rPr>
        <w:tab/>
      </w:r>
      <w:r w:rsidR="00665023">
        <w:rPr>
          <w:b/>
          <w:noProof/>
          <w:webHidden/>
        </w:rPr>
        <w:t>15</w:t>
      </w:r>
      <w:r w:rsidR="0075371B" w:rsidRPr="0075371B">
        <w:rPr>
          <w:b/>
          <w:noProof/>
          <w:webHidden/>
        </w:rPr>
        <w:t>.</w:t>
      </w:r>
      <w:r w:rsidR="005354FD">
        <w:rPr>
          <w:b/>
          <w:noProof/>
          <w:webHidden/>
        </w:rPr>
        <w:t>48</w:t>
      </w:r>
    </w:p>
    <w:p w:rsidR="00EA484B" w:rsidRDefault="00EA484B" w:rsidP="00EA484B">
      <w:pPr>
        <w:pStyle w:val="TOC3"/>
        <w:rPr>
          <w:highlight w:val="yellow"/>
        </w:rPr>
      </w:pPr>
      <w:r w:rsidRPr="00B01FF9">
        <w:rPr>
          <w:b/>
          <w:noProof/>
        </w:rPr>
        <w:t>References</w:t>
      </w:r>
      <w:r w:rsidRPr="00EA484B">
        <w:rPr>
          <w:b/>
          <w:noProof/>
          <w:webHidden/>
        </w:rPr>
        <w:tab/>
      </w:r>
      <w:r w:rsidR="00665023">
        <w:rPr>
          <w:b/>
          <w:noProof/>
          <w:webHidden/>
        </w:rPr>
        <w:t>15</w:t>
      </w:r>
      <w:r w:rsidR="0075371B" w:rsidRPr="0075371B">
        <w:rPr>
          <w:b/>
          <w:noProof/>
          <w:webHidden/>
        </w:rPr>
        <w:t>.</w:t>
      </w:r>
      <w:r w:rsidR="005354FD">
        <w:rPr>
          <w:b/>
          <w:noProof/>
          <w:webHidden/>
        </w:rPr>
        <w:t>54</w:t>
      </w:r>
    </w:p>
    <w:p w:rsidR="00D103EE" w:rsidRPr="000E35CE" w:rsidRDefault="00D103EE" w:rsidP="00D103EE">
      <w:pPr>
        <w:pStyle w:val="BoxSpace"/>
      </w:pPr>
      <w:bookmarkStart w:id="4" w:name="_Toc211788423"/>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0B27" w:rsidRPr="000E35CE" w:rsidTr="0076310E">
        <w:trPr>
          <w:cantSplit/>
        </w:trPr>
        <w:tc>
          <w:tcPr>
            <w:tcW w:w="8771" w:type="dxa"/>
            <w:tcBorders>
              <w:top w:val="single" w:sz="6" w:space="0" w:color="auto"/>
              <w:left w:val="single" w:sz="6" w:space="0" w:color="auto"/>
              <w:bottom w:val="nil"/>
              <w:right w:val="single" w:sz="6" w:space="0" w:color="auto"/>
            </w:tcBorders>
            <w:shd w:val="clear" w:color="auto" w:fill="E6E6E6"/>
          </w:tcPr>
          <w:p w:rsidR="00270B27" w:rsidRPr="000E35CE" w:rsidRDefault="00270B27" w:rsidP="0076310E">
            <w:pPr>
              <w:pStyle w:val="BoxTitle"/>
            </w:pPr>
            <w:r w:rsidRPr="000E35CE">
              <w:t>Attachment tables</w:t>
            </w:r>
          </w:p>
        </w:tc>
      </w:tr>
      <w:tr w:rsidR="00270B27" w:rsidRPr="000E35CE" w:rsidTr="0076310E">
        <w:trPr>
          <w:cantSplit/>
        </w:trPr>
        <w:tc>
          <w:tcPr>
            <w:tcW w:w="8771" w:type="dxa"/>
            <w:tcBorders>
              <w:top w:val="nil"/>
              <w:left w:val="single" w:sz="6" w:space="0" w:color="auto"/>
              <w:bottom w:val="nil"/>
              <w:right w:val="single" w:sz="6" w:space="0" w:color="auto"/>
            </w:tcBorders>
            <w:shd w:val="clear" w:color="auto" w:fill="E6E6E6"/>
          </w:tcPr>
          <w:p w:rsidR="00270B27" w:rsidRPr="000E35CE" w:rsidRDefault="0036683E" w:rsidP="000E35CE">
            <w:pPr>
              <w:pStyle w:val="Box"/>
            </w:pPr>
            <w:r w:rsidRPr="000E35CE">
              <w:t>Attachment tables are identified in references throughout this Indigenous Compendium by an ‘A’ prefix (for example, in this chapter, table 1</w:t>
            </w:r>
            <w:r w:rsidR="00535A59" w:rsidRPr="000E35CE">
              <w:t>5</w:t>
            </w:r>
            <w:r w:rsidRPr="000E35CE">
              <w:t>A.1). As the data are directly sourced from the 2013 Report, the Compendium also notes where the original table, figure or text in the 2013 Report can be found. For example, where the Compendium refers to ‘2013 Report, p. 1</w:t>
            </w:r>
            <w:r w:rsidR="00535A59" w:rsidRPr="000E35CE">
              <w:t>5</w:t>
            </w:r>
            <w:r w:rsidRPr="000E35CE">
              <w:t>.1’ this is page 1 of chapter 1</w:t>
            </w:r>
            <w:r w:rsidR="00535A59" w:rsidRPr="000E35CE">
              <w:t>5</w:t>
            </w:r>
            <w:r w:rsidRPr="000E35CE">
              <w:t xml:space="preserve"> of the 2013 Report, and ‘2013 Report, table 1</w:t>
            </w:r>
            <w:r w:rsidR="00535A59" w:rsidRPr="000E35CE">
              <w:t>5</w:t>
            </w:r>
            <w:r w:rsidRPr="000E35CE">
              <w:t>A.1’ is attachment table 1 of attachment 1</w:t>
            </w:r>
            <w:r w:rsidR="00535A59" w:rsidRPr="000E35CE">
              <w:t>5</w:t>
            </w:r>
            <w:r w:rsidRPr="000E35CE">
              <w:t xml:space="preserve">A of the 2013 Report. A list of attachment tables referred to in the Compendium is provided at the end of this chapter, and the </w:t>
            </w:r>
            <w:r w:rsidR="000E35CE" w:rsidRPr="000E35CE">
              <w:t xml:space="preserve">full </w:t>
            </w:r>
            <w:r w:rsidRPr="000E35CE">
              <w:t>attachment tables are available from the Review website at www.pc.gov.au/gsp.</w:t>
            </w:r>
          </w:p>
        </w:tc>
      </w:tr>
      <w:tr w:rsidR="00270B27" w:rsidRPr="000E35CE" w:rsidTr="0076310E">
        <w:trPr>
          <w:cantSplit/>
        </w:trPr>
        <w:tc>
          <w:tcPr>
            <w:tcW w:w="8771" w:type="dxa"/>
            <w:tcBorders>
              <w:top w:val="nil"/>
              <w:left w:val="single" w:sz="6" w:space="0" w:color="auto"/>
              <w:bottom w:val="single" w:sz="6" w:space="0" w:color="auto"/>
              <w:right w:val="single" w:sz="6" w:space="0" w:color="auto"/>
            </w:tcBorders>
            <w:shd w:val="clear" w:color="auto" w:fill="E6E6E6"/>
          </w:tcPr>
          <w:p w:rsidR="00270B27" w:rsidRPr="000E35CE" w:rsidRDefault="00270B27" w:rsidP="0076310E">
            <w:pPr>
              <w:pStyle w:val="Box"/>
              <w:spacing w:before="0" w:line="120" w:lineRule="exact"/>
              <w:rPr>
                <w:highlight w:val="yellow"/>
              </w:rPr>
            </w:pPr>
          </w:p>
        </w:tc>
      </w:tr>
      <w:tr w:rsidR="00270B27" w:rsidRPr="000E35CE" w:rsidTr="0076310E">
        <w:tc>
          <w:tcPr>
            <w:tcW w:w="8771" w:type="dxa"/>
            <w:tcBorders>
              <w:top w:val="nil"/>
              <w:left w:val="nil"/>
              <w:bottom w:val="nil"/>
              <w:right w:val="nil"/>
            </w:tcBorders>
          </w:tcPr>
          <w:p w:rsidR="00270B27" w:rsidRPr="000E35CE" w:rsidRDefault="00270B27" w:rsidP="0076310E">
            <w:pPr>
              <w:pStyle w:val="Box"/>
              <w:keepNext w:val="0"/>
              <w:spacing w:before="60" w:after="60" w:line="80" w:lineRule="exact"/>
              <w:rPr>
                <w:b/>
                <w:color w:val="FF00FF"/>
                <w:sz w:val="14"/>
                <w:highlight w:val="yellow"/>
              </w:rPr>
            </w:pPr>
          </w:p>
        </w:tc>
      </w:tr>
    </w:tbl>
    <w:p w:rsidR="00535A59" w:rsidRPr="003E64C4" w:rsidRDefault="00535A59" w:rsidP="00AB1DAE">
      <w:pPr>
        <w:spacing w:before="240" w:line="320" w:lineRule="atLeast"/>
        <w:jc w:val="both"/>
        <w:rPr>
          <w:szCs w:val="20"/>
        </w:rPr>
      </w:pPr>
      <w:bookmarkStart w:id="5" w:name="_Toc217288567"/>
      <w:bookmarkStart w:id="6" w:name="_Toc242691689"/>
      <w:bookmarkStart w:id="7" w:name="_Toc249253440"/>
      <w:bookmarkStart w:id="8" w:name="_Toc266438518"/>
      <w:bookmarkStart w:id="9" w:name="_Toc317491758"/>
      <w:bookmarkEnd w:id="4"/>
      <w:r w:rsidRPr="003E64C4">
        <w:rPr>
          <w:szCs w:val="20"/>
        </w:rPr>
        <w:t>The Child p</w:t>
      </w:r>
      <w:r w:rsidR="00AB1DAE" w:rsidRPr="003E64C4">
        <w:rPr>
          <w:szCs w:val="20"/>
        </w:rPr>
        <w:t xml:space="preserve">rotection and </w:t>
      </w:r>
      <w:r w:rsidRPr="003E64C4">
        <w:rPr>
          <w:szCs w:val="20"/>
        </w:rPr>
        <w:t xml:space="preserve">youth </w:t>
      </w:r>
      <w:r w:rsidR="00D6577A" w:rsidRPr="003E64C4">
        <w:rPr>
          <w:szCs w:val="20"/>
        </w:rPr>
        <w:t xml:space="preserve">justice </w:t>
      </w:r>
      <w:r w:rsidR="00AB1DAE" w:rsidRPr="003E64C4">
        <w:rPr>
          <w:szCs w:val="20"/>
        </w:rPr>
        <w:t xml:space="preserve">services chapter (chapter 15) in the </w:t>
      </w:r>
      <w:r w:rsidR="00AB1DAE" w:rsidRPr="003E64C4">
        <w:rPr>
          <w:i/>
          <w:szCs w:val="20"/>
        </w:rPr>
        <w:t>Report on Government Services 201</w:t>
      </w:r>
      <w:r w:rsidRPr="003E64C4">
        <w:rPr>
          <w:i/>
          <w:szCs w:val="20"/>
        </w:rPr>
        <w:t>3</w:t>
      </w:r>
      <w:r w:rsidR="00AB1DAE" w:rsidRPr="003E64C4">
        <w:rPr>
          <w:szCs w:val="20"/>
        </w:rPr>
        <w:t xml:space="preserve"> (201</w:t>
      </w:r>
      <w:r w:rsidRPr="003E64C4">
        <w:rPr>
          <w:szCs w:val="20"/>
        </w:rPr>
        <w:t>3</w:t>
      </w:r>
      <w:r w:rsidR="00AB1DAE" w:rsidRPr="003E64C4">
        <w:rPr>
          <w:szCs w:val="20"/>
        </w:rPr>
        <w:t xml:space="preserve"> Report) reports on the performance of </w:t>
      </w:r>
      <w:r w:rsidR="005B7C3F" w:rsidRPr="003E64C4">
        <w:rPr>
          <w:szCs w:val="20"/>
        </w:rPr>
        <w:t xml:space="preserve">governments in delivering child protection and youth justice services </w:t>
      </w:r>
      <w:r w:rsidR="00AB1DAE" w:rsidRPr="003E64C4">
        <w:rPr>
          <w:szCs w:val="20"/>
        </w:rPr>
        <w:t xml:space="preserve">in each Australian State and Territory. Data are reported for Indigenous </w:t>
      </w:r>
      <w:r w:rsidR="00D6577A" w:rsidRPr="003E64C4">
        <w:rPr>
          <w:szCs w:val="20"/>
        </w:rPr>
        <w:t xml:space="preserve">Australians </w:t>
      </w:r>
      <w:r w:rsidR="00AB1DAE" w:rsidRPr="003E64C4">
        <w:rPr>
          <w:szCs w:val="20"/>
        </w:rPr>
        <w:t>for a subset of the performance indicators reported in that chapter — those data are compiled and presented here.</w:t>
      </w:r>
    </w:p>
    <w:p w:rsidR="00535A59" w:rsidRPr="003E64C4" w:rsidRDefault="00535A59" w:rsidP="00535A59">
      <w:pPr>
        <w:pStyle w:val="BodyText"/>
      </w:pPr>
      <w:r w:rsidRPr="003E64C4">
        <w:t>Child protection and youth justice services aim to assist individuals and families who are in crisis or experiencing difficulties that hinder personal or family functioning, promote community safety, and reduce youth offending.</w:t>
      </w:r>
    </w:p>
    <w:p w:rsidR="00B0351E" w:rsidRDefault="00B0351E">
      <w:pPr>
        <w:rPr>
          <w:szCs w:val="20"/>
        </w:rPr>
      </w:pPr>
      <w:r>
        <w:br w:type="page"/>
      </w:r>
    </w:p>
    <w:p w:rsidR="003268C5" w:rsidRPr="003E64C4" w:rsidRDefault="003268C5" w:rsidP="00B0351E">
      <w:pPr>
        <w:pStyle w:val="BodyText"/>
      </w:pPr>
      <w:r w:rsidRPr="003E64C4">
        <w:lastRenderedPageBreak/>
        <w:t>This chapter reports on:</w:t>
      </w:r>
    </w:p>
    <w:p w:rsidR="006877C0" w:rsidRPr="003E64C4" w:rsidRDefault="003268C5" w:rsidP="006877C0">
      <w:pPr>
        <w:pStyle w:val="ListBullet"/>
        <w:shd w:val="clear" w:color="auto" w:fill="FFFFFF" w:themeFill="background1"/>
      </w:pPr>
      <w:r w:rsidRPr="003E64C4">
        <w:rPr>
          <w:i/>
        </w:rPr>
        <w:t>child protection services —</w:t>
      </w:r>
      <w:r w:rsidRPr="003E64C4">
        <w:t xml:space="preserve"> functions of government that receive and assess allegations of child abuse and neglect, and/or harm to children and young people, provide and refer clients to family support and other relevant services, and intervene to protect children</w:t>
      </w:r>
    </w:p>
    <w:p w:rsidR="006877C0" w:rsidRPr="003E64C4" w:rsidRDefault="003268C5" w:rsidP="006877C0">
      <w:pPr>
        <w:pStyle w:val="ListBullet"/>
        <w:shd w:val="clear" w:color="auto" w:fill="FFFFFF" w:themeFill="background1"/>
      </w:pPr>
      <w:r w:rsidRPr="003E64C4">
        <w:rPr>
          <w:i/>
        </w:rPr>
        <w:t>out-of-home care services —</w:t>
      </w:r>
      <w:r w:rsidRPr="003E64C4">
        <w:t xml:space="preserve"> care for children placed away from their primary caregivers for protective or other family welfare reasons</w:t>
      </w:r>
    </w:p>
    <w:p w:rsidR="003268C5" w:rsidRPr="003E64C4" w:rsidRDefault="003268C5" w:rsidP="006877C0">
      <w:pPr>
        <w:pStyle w:val="ListBullet"/>
        <w:shd w:val="clear" w:color="auto" w:fill="FFFFFF" w:themeFill="background1"/>
      </w:pPr>
      <w:r w:rsidRPr="003E64C4">
        <w:rPr>
          <w:i/>
        </w:rPr>
        <w:t xml:space="preserve">intensive family support services — </w:t>
      </w:r>
      <w:r w:rsidRPr="003E64C4">
        <w:t>specialist services that aim to prevent the imminent separation of children from their primary caregivers as a result of child protection concerns and to reunify families where separation has already occurred. (Performance data for intensive family support services are not yet available, and reporting for intensive family support services is limited to expenditure data and information on the numbers of children commencing intensive family support services)</w:t>
      </w:r>
    </w:p>
    <w:p w:rsidR="003268C5" w:rsidRPr="003E64C4" w:rsidRDefault="006877C0" w:rsidP="003268C5">
      <w:pPr>
        <w:tabs>
          <w:tab w:val="num" w:pos="340"/>
        </w:tabs>
        <w:spacing w:before="120" w:line="320" w:lineRule="atLeast"/>
        <w:ind w:left="340" w:hanging="340"/>
        <w:jc w:val="both"/>
        <w:rPr>
          <w:szCs w:val="20"/>
        </w:rPr>
      </w:pPr>
      <w:r w:rsidRPr="003E64C4">
        <w:rPr>
          <w:shd w:val="clear" w:color="auto" w:fill="FFFFFF" w:themeFill="background1"/>
        </w:rPr>
        <w:t>•</w:t>
      </w:r>
      <w:r w:rsidRPr="003E64C4">
        <w:rPr>
          <w:shd w:val="clear" w:color="auto" w:fill="FFFFFF" w:themeFill="background1"/>
        </w:rPr>
        <w:tab/>
      </w:r>
      <w:r w:rsidR="003268C5" w:rsidRPr="003E64C4">
        <w:rPr>
          <w:i/>
          <w:szCs w:val="20"/>
        </w:rPr>
        <w:t xml:space="preserve">family support services — </w:t>
      </w:r>
      <w:r w:rsidR="003268C5" w:rsidRPr="003E64C4">
        <w:rPr>
          <w:szCs w:val="20"/>
        </w:rPr>
        <w:t>activities associated with the provision of lower level (that is, non-intensive) services to families in need, including identification and assessment of family needs, provision of support and diversionary services, some counselling, and active linking and referrals to support networks. These services are typically delivered via voluntary arrangements (as distinct from court orders) between the relevant agency and family. (Performance data for family support services are not yet available, and reporting for family support services is limited to expenditure data)</w:t>
      </w:r>
    </w:p>
    <w:p w:rsidR="003268C5" w:rsidRPr="003E64C4" w:rsidRDefault="006877C0" w:rsidP="003268C5">
      <w:pPr>
        <w:tabs>
          <w:tab w:val="num" w:pos="340"/>
        </w:tabs>
        <w:spacing w:before="120" w:line="320" w:lineRule="atLeast"/>
        <w:ind w:left="340" w:hanging="340"/>
        <w:jc w:val="both"/>
        <w:rPr>
          <w:szCs w:val="20"/>
        </w:rPr>
      </w:pPr>
      <w:r w:rsidRPr="003E64C4">
        <w:rPr>
          <w:shd w:val="clear" w:color="auto" w:fill="FFFFFF" w:themeFill="background1"/>
        </w:rPr>
        <w:t>•</w:t>
      </w:r>
      <w:r w:rsidRPr="003E64C4">
        <w:rPr>
          <w:shd w:val="clear" w:color="auto" w:fill="FFFFFF" w:themeFill="background1"/>
        </w:rPr>
        <w:tab/>
      </w:r>
      <w:r w:rsidR="003268C5" w:rsidRPr="003E64C4">
        <w:rPr>
          <w:i/>
          <w:szCs w:val="20"/>
        </w:rPr>
        <w:t>youth justice services —</w:t>
      </w:r>
      <w:r w:rsidR="003268C5" w:rsidRPr="003E64C4">
        <w:rPr>
          <w:szCs w:val="20"/>
        </w:rPr>
        <w:t xml:space="preserve"> services to promote community safety and reduce youth offending by assisting young people to address their offending behaviour.</w:t>
      </w:r>
    </w:p>
    <w:p w:rsidR="00AB1DAE" w:rsidRPr="003E64C4" w:rsidRDefault="00AB1DAE" w:rsidP="00AB1DAE">
      <w:pPr>
        <w:keepNext/>
        <w:spacing w:before="560" w:line="320" w:lineRule="exact"/>
        <w:outlineLvl w:val="2"/>
        <w:rPr>
          <w:rFonts w:ascii="Arial" w:hAnsi="Arial"/>
          <w:b/>
          <w:szCs w:val="20"/>
        </w:rPr>
      </w:pPr>
      <w:bookmarkStart w:id="10" w:name="_Toc290291981"/>
      <w:bookmarkStart w:id="11" w:name="_Toc257373842"/>
      <w:bookmarkStart w:id="12" w:name="_Toc320770807"/>
      <w:bookmarkStart w:id="13" w:name="_Toc348449350"/>
      <w:bookmarkStart w:id="14" w:name="_Toc348952901"/>
      <w:bookmarkStart w:id="15" w:name="_Toc351361342"/>
      <w:r w:rsidRPr="003E64C4">
        <w:rPr>
          <w:rFonts w:ascii="Arial" w:hAnsi="Arial"/>
          <w:b/>
          <w:szCs w:val="20"/>
        </w:rPr>
        <w:t xml:space="preserve">Indigenous data in the </w:t>
      </w:r>
      <w:r w:rsidR="00D6577A" w:rsidRPr="003E64C4">
        <w:rPr>
          <w:rFonts w:ascii="Arial" w:hAnsi="Arial"/>
          <w:b/>
          <w:szCs w:val="20"/>
        </w:rPr>
        <w:t xml:space="preserve">Child protection and youth justice </w:t>
      </w:r>
      <w:r w:rsidRPr="003E64C4">
        <w:rPr>
          <w:rFonts w:ascii="Arial" w:hAnsi="Arial"/>
          <w:b/>
          <w:szCs w:val="20"/>
        </w:rPr>
        <w:t>services chapter</w:t>
      </w:r>
      <w:bookmarkEnd w:id="10"/>
      <w:bookmarkEnd w:id="11"/>
      <w:bookmarkEnd w:id="12"/>
      <w:bookmarkEnd w:id="13"/>
      <w:bookmarkEnd w:id="14"/>
      <w:bookmarkEnd w:id="15"/>
    </w:p>
    <w:p w:rsidR="00AB1DAE" w:rsidRPr="003E64C4" w:rsidRDefault="00AB1DAE" w:rsidP="00AB1DAE">
      <w:pPr>
        <w:spacing w:before="240" w:line="320" w:lineRule="atLeast"/>
        <w:jc w:val="both"/>
        <w:rPr>
          <w:szCs w:val="20"/>
        </w:rPr>
      </w:pPr>
      <w:r w:rsidRPr="003E64C4">
        <w:rPr>
          <w:szCs w:val="20"/>
        </w:rPr>
        <w:t xml:space="preserve">The </w:t>
      </w:r>
      <w:r w:rsidR="005B7C3F" w:rsidRPr="003E64C4">
        <w:rPr>
          <w:szCs w:val="20"/>
        </w:rPr>
        <w:t>Child protection and youth justice</w:t>
      </w:r>
      <w:r w:rsidRPr="003E64C4">
        <w:rPr>
          <w:szCs w:val="20"/>
        </w:rPr>
        <w:t xml:space="preserve"> services chapter in the </w:t>
      </w:r>
      <w:r w:rsidRPr="003E64C4">
        <w:rPr>
          <w:i/>
          <w:szCs w:val="20"/>
        </w:rPr>
        <w:t>Report on Government Services</w:t>
      </w:r>
      <w:r w:rsidRPr="003E64C4">
        <w:rPr>
          <w:szCs w:val="20"/>
        </w:rPr>
        <w:t> </w:t>
      </w:r>
      <w:r w:rsidRPr="003E64C4">
        <w:rPr>
          <w:i/>
          <w:szCs w:val="20"/>
        </w:rPr>
        <w:t>201</w:t>
      </w:r>
      <w:r w:rsidR="006877C0" w:rsidRPr="003E64C4">
        <w:rPr>
          <w:i/>
          <w:szCs w:val="20"/>
        </w:rPr>
        <w:t>3</w:t>
      </w:r>
      <w:r w:rsidRPr="003E64C4">
        <w:rPr>
          <w:szCs w:val="20"/>
        </w:rPr>
        <w:t xml:space="preserve"> (201</w:t>
      </w:r>
      <w:r w:rsidR="006877C0" w:rsidRPr="003E64C4">
        <w:rPr>
          <w:szCs w:val="20"/>
        </w:rPr>
        <w:t>3</w:t>
      </w:r>
      <w:r w:rsidRPr="003E64C4">
        <w:rPr>
          <w:szCs w:val="20"/>
        </w:rPr>
        <w:t xml:space="preserve"> Report) contains the following data on Indigenous </w:t>
      </w:r>
      <w:r w:rsidR="005B7C3F" w:rsidRPr="003E64C4">
        <w:rPr>
          <w:szCs w:val="20"/>
        </w:rPr>
        <w:t>Australians</w:t>
      </w:r>
      <w:r w:rsidRPr="003E64C4">
        <w:rPr>
          <w:szCs w:val="20"/>
        </w:rPr>
        <w:t>:</w:t>
      </w:r>
    </w:p>
    <w:p w:rsidR="006877C0" w:rsidRPr="003E64C4" w:rsidRDefault="006877C0" w:rsidP="00AB1DAE">
      <w:pPr>
        <w:tabs>
          <w:tab w:val="num" w:pos="340"/>
        </w:tabs>
        <w:spacing w:before="120" w:line="320" w:lineRule="atLeast"/>
        <w:ind w:left="340" w:hanging="340"/>
        <w:jc w:val="both"/>
        <w:rPr>
          <w:shd w:val="clear" w:color="auto" w:fill="FFFFFF" w:themeFill="background1"/>
        </w:rPr>
      </w:pPr>
      <w:r w:rsidRPr="003E64C4">
        <w:rPr>
          <w:shd w:val="clear" w:color="auto" w:fill="FFFFFF" w:themeFill="background1"/>
        </w:rPr>
        <w:t>•</w:t>
      </w:r>
      <w:r w:rsidRPr="003E64C4">
        <w:rPr>
          <w:shd w:val="clear" w:color="auto" w:fill="FFFFFF" w:themeFill="background1"/>
        </w:rPr>
        <w:tab/>
      </w:r>
      <w:r w:rsidR="00AB1DAE" w:rsidRPr="003E64C4">
        <w:rPr>
          <w:shd w:val="clear" w:color="auto" w:fill="FFFFFF" w:themeFill="background1"/>
        </w:rPr>
        <w:t>children who were the subject of a notif</w:t>
      </w:r>
      <w:r w:rsidRPr="003E64C4">
        <w:rPr>
          <w:shd w:val="clear" w:color="auto" w:fill="FFFFFF" w:themeFill="background1"/>
        </w:rPr>
        <w:t xml:space="preserve">ication, investigation and </w:t>
      </w:r>
      <w:r w:rsidR="00AB1DAE" w:rsidRPr="003E64C4">
        <w:rPr>
          <w:shd w:val="clear" w:color="auto" w:fill="FFFFFF" w:themeFill="background1"/>
        </w:rPr>
        <w:t>substantiation (number and rate per 1000 children)</w:t>
      </w:r>
    </w:p>
    <w:p w:rsidR="00AB1DAE" w:rsidRPr="003E64C4" w:rsidRDefault="006877C0" w:rsidP="00AB1DAE">
      <w:pPr>
        <w:tabs>
          <w:tab w:val="num" w:pos="340"/>
        </w:tabs>
        <w:spacing w:before="120" w:line="320" w:lineRule="atLeast"/>
        <w:ind w:left="340" w:hanging="340"/>
        <w:jc w:val="both"/>
        <w:rPr>
          <w:szCs w:val="20"/>
        </w:rPr>
      </w:pPr>
      <w:r w:rsidRPr="003E64C4">
        <w:rPr>
          <w:shd w:val="clear" w:color="auto" w:fill="FFFFFF" w:themeFill="background1"/>
        </w:rPr>
        <w:t>•</w:t>
      </w:r>
      <w:r w:rsidRPr="003E64C4">
        <w:rPr>
          <w:shd w:val="clear" w:color="auto" w:fill="FFFFFF" w:themeFill="background1"/>
        </w:rPr>
        <w:tab/>
        <w:t>children</w:t>
      </w:r>
      <w:r w:rsidR="00AB1DAE" w:rsidRPr="003E64C4">
        <w:rPr>
          <w:szCs w:val="20"/>
        </w:rPr>
        <w:t xml:space="preserve"> who were on care and protection orders (number and rate </w:t>
      </w:r>
      <w:r w:rsidR="00AB1DAE" w:rsidRPr="003E64C4">
        <w:rPr>
          <w:szCs w:val="20"/>
        </w:rPr>
        <w:br/>
        <w:t>per 1000 children)</w:t>
      </w:r>
    </w:p>
    <w:p w:rsidR="006877C0" w:rsidRPr="003E64C4" w:rsidRDefault="006877C0" w:rsidP="00AB1DAE">
      <w:pPr>
        <w:tabs>
          <w:tab w:val="num" w:pos="340"/>
        </w:tabs>
        <w:spacing w:before="120" w:line="320" w:lineRule="atLeast"/>
        <w:ind w:left="340" w:hanging="340"/>
        <w:jc w:val="both"/>
        <w:rPr>
          <w:shd w:val="clear" w:color="auto" w:fill="FFFFFF" w:themeFill="background1"/>
        </w:rPr>
      </w:pPr>
      <w:r w:rsidRPr="003E64C4">
        <w:rPr>
          <w:shd w:val="clear" w:color="auto" w:fill="FFFFFF" w:themeFill="background1"/>
        </w:rPr>
        <w:t>•</w:t>
      </w:r>
      <w:r w:rsidRPr="003E64C4">
        <w:rPr>
          <w:shd w:val="clear" w:color="auto" w:fill="FFFFFF" w:themeFill="background1"/>
        </w:rPr>
        <w:tab/>
        <w:t>children in notifications, investigations and substantiations and children on care and protection orders: number and rate per 1000 children in the target populations</w:t>
      </w:r>
    </w:p>
    <w:p w:rsidR="006877C0" w:rsidRPr="003E64C4" w:rsidRDefault="006877C0" w:rsidP="00AB1DAE">
      <w:pPr>
        <w:tabs>
          <w:tab w:val="num" w:pos="340"/>
        </w:tabs>
        <w:spacing w:before="120" w:line="320" w:lineRule="atLeast"/>
        <w:ind w:left="340" w:hanging="340"/>
        <w:jc w:val="both"/>
        <w:rPr>
          <w:shd w:val="clear" w:color="auto" w:fill="FFFFFF" w:themeFill="background1"/>
        </w:rPr>
      </w:pPr>
      <w:r w:rsidRPr="003E64C4">
        <w:rPr>
          <w:shd w:val="clear" w:color="auto" w:fill="FFFFFF" w:themeFill="background1"/>
        </w:rPr>
        <w:lastRenderedPageBreak/>
        <w:t>•</w:t>
      </w:r>
      <w:r w:rsidRPr="003E64C4">
        <w:rPr>
          <w:shd w:val="clear" w:color="auto" w:fill="FFFFFF" w:themeFill="background1"/>
        </w:rPr>
        <w:tab/>
        <w:t>children with documented case plans, by Indigenous status, at 30 June</w:t>
      </w:r>
    </w:p>
    <w:p w:rsidR="00AB1DAE" w:rsidRPr="003E64C4" w:rsidRDefault="006877C0" w:rsidP="00AB1DAE">
      <w:pPr>
        <w:tabs>
          <w:tab w:val="num" w:pos="340"/>
        </w:tabs>
        <w:spacing w:before="120" w:line="320" w:lineRule="atLeast"/>
        <w:ind w:left="340" w:hanging="340"/>
        <w:jc w:val="both"/>
        <w:rPr>
          <w:szCs w:val="20"/>
        </w:rPr>
      </w:pPr>
      <w:r w:rsidRPr="003E64C4">
        <w:rPr>
          <w:shd w:val="clear" w:color="auto" w:fill="FFFFFF" w:themeFill="background1"/>
        </w:rPr>
        <w:t>•</w:t>
      </w:r>
      <w:r w:rsidRPr="003E64C4">
        <w:rPr>
          <w:shd w:val="clear" w:color="auto" w:fill="FFFFFF" w:themeFill="background1"/>
        </w:rPr>
        <w:tab/>
        <w:t>children</w:t>
      </w:r>
      <w:r w:rsidR="00AB1DAE" w:rsidRPr="003E64C4">
        <w:rPr>
          <w:szCs w:val="20"/>
        </w:rPr>
        <w:t xml:space="preserve"> in out-of-home care</w:t>
      </w:r>
    </w:p>
    <w:p w:rsidR="006877C0" w:rsidRPr="003E64C4" w:rsidRDefault="006877C0" w:rsidP="00AB1DAE">
      <w:pPr>
        <w:tabs>
          <w:tab w:val="num" w:pos="340"/>
        </w:tabs>
        <w:spacing w:before="120" w:line="320" w:lineRule="atLeast"/>
        <w:ind w:left="340" w:hanging="340"/>
        <w:jc w:val="both"/>
        <w:rPr>
          <w:shd w:val="clear" w:color="auto" w:fill="FFFFFF" w:themeFill="background1"/>
        </w:rPr>
      </w:pPr>
      <w:r w:rsidRPr="003E64C4">
        <w:rPr>
          <w:shd w:val="clear" w:color="auto" w:fill="FFFFFF" w:themeFill="background1"/>
        </w:rPr>
        <w:t>•</w:t>
      </w:r>
      <w:r w:rsidRPr="003E64C4">
        <w:rPr>
          <w:shd w:val="clear" w:color="auto" w:fill="FFFFFF" w:themeFill="background1"/>
        </w:rPr>
        <w:tab/>
        <w:t>children who exited care during the year by length of time spent in care</w:t>
      </w:r>
    </w:p>
    <w:p w:rsidR="006877C0" w:rsidRPr="003E64C4" w:rsidRDefault="006877C0" w:rsidP="00AB1DAE">
      <w:pPr>
        <w:tabs>
          <w:tab w:val="num" w:pos="340"/>
        </w:tabs>
        <w:spacing w:before="120" w:line="320" w:lineRule="atLeast"/>
        <w:ind w:left="340" w:hanging="340"/>
        <w:jc w:val="both"/>
        <w:rPr>
          <w:shd w:val="clear" w:color="auto" w:fill="FFFFFF" w:themeFill="background1"/>
        </w:rPr>
      </w:pPr>
      <w:r w:rsidRPr="003E64C4">
        <w:rPr>
          <w:shd w:val="clear" w:color="auto" w:fill="FFFFFF" w:themeFill="background1"/>
        </w:rPr>
        <w:t>•</w:t>
      </w:r>
      <w:r w:rsidRPr="003E64C4">
        <w:rPr>
          <w:shd w:val="clear" w:color="auto" w:fill="FFFFFF" w:themeFill="background1"/>
        </w:rPr>
        <w:tab/>
        <w:t>children in out-of-home care placed with relatives/kin</w:t>
      </w:r>
    </w:p>
    <w:p w:rsidR="003D15C0" w:rsidRPr="003E64C4" w:rsidRDefault="003D15C0" w:rsidP="00AB1DAE">
      <w:pPr>
        <w:tabs>
          <w:tab w:val="num" w:pos="340"/>
        </w:tabs>
        <w:spacing w:before="120" w:line="320" w:lineRule="atLeast"/>
        <w:ind w:left="340" w:hanging="340"/>
        <w:jc w:val="both"/>
        <w:rPr>
          <w:shd w:val="clear" w:color="auto" w:fill="FFFFFF" w:themeFill="background1"/>
        </w:rPr>
      </w:pPr>
      <w:r w:rsidRPr="003E64C4">
        <w:rPr>
          <w:shd w:val="clear" w:color="auto" w:fill="FFFFFF" w:themeFill="background1"/>
        </w:rPr>
        <w:t>•</w:t>
      </w:r>
      <w:r w:rsidRPr="003E64C4">
        <w:rPr>
          <w:shd w:val="clear" w:color="auto" w:fill="FFFFFF" w:themeFill="background1"/>
        </w:rPr>
        <w:tab/>
        <w:t>children in out-of-home care by relationship of caregiver</w:t>
      </w:r>
    </w:p>
    <w:p w:rsidR="003D15C0" w:rsidRPr="003E64C4" w:rsidRDefault="003D15C0" w:rsidP="00AB1DAE">
      <w:pPr>
        <w:tabs>
          <w:tab w:val="num" w:pos="340"/>
        </w:tabs>
        <w:spacing w:before="120" w:line="320" w:lineRule="atLeast"/>
        <w:ind w:left="340" w:hanging="340"/>
        <w:jc w:val="both"/>
        <w:rPr>
          <w:shd w:val="clear" w:color="auto" w:fill="FFFFFF" w:themeFill="background1"/>
        </w:rPr>
      </w:pPr>
      <w:r w:rsidRPr="003E64C4">
        <w:rPr>
          <w:shd w:val="clear" w:color="auto" w:fill="FFFFFF" w:themeFill="background1"/>
        </w:rPr>
        <w:t>•</w:t>
      </w:r>
      <w:r w:rsidRPr="003E64C4">
        <w:rPr>
          <w:shd w:val="clear" w:color="auto" w:fill="FFFFFF" w:themeFill="background1"/>
        </w:rPr>
        <w:tab/>
        <w:t>children aged under 12 years in out-of-home care and in a home-based placement</w:t>
      </w:r>
    </w:p>
    <w:p w:rsidR="003D15C0" w:rsidRPr="003E64C4" w:rsidRDefault="003D15C0" w:rsidP="00AB1DAE">
      <w:pPr>
        <w:tabs>
          <w:tab w:val="num" w:pos="340"/>
        </w:tabs>
        <w:spacing w:before="120" w:line="320" w:lineRule="atLeast"/>
        <w:ind w:left="340" w:hanging="340"/>
        <w:jc w:val="both"/>
        <w:rPr>
          <w:shd w:val="clear" w:color="auto" w:fill="FFFFFF" w:themeFill="background1"/>
        </w:rPr>
      </w:pPr>
      <w:r w:rsidRPr="003E64C4">
        <w:rPr>
          <w:shd w:val="clear" w:color="auto" w:fill="FFFFFF" w:themeFill="background1"/>
        </w:rPr>
        <w:t>•</w:t>
      </w:r>
      <w:r w:rsidRPr="003E64C4">
        <w:rPr>
          <w:shd w:val="clear" w:color="auto" w:fill="FFFFFF" w:themeFill="background1"/>
        </w:rPr>
        <w:tab/>
        <w:t>intensive family support services: number of children aged 0–17 years commencing intensive family support services</w:t>
      </w:r>
    </w:p>
    <w:p w:rsidR="003D15C0" w:rsidRPr="003E64C4" w:rsidRDefault="003D15C0" w:rsidP="00AB1DAE">
      <w:pPr>
        <w:tabs>
          <w:tab w:val="num" w:pos="340"/>
        </w:tabs>
        <w:spacing w:before="120" w:line="320" w:lineRule="atLeast"/>
        <w:ind w:left="340" w:hanging="340"/>
        <w:jc w:val="both"/>
        <w:rPr>
          <w:shd w:val="clear" w:color="auto" w:fill="FFFFFF" w:themeFill="background1"/>
        </w:rPr>
      </w:pPr>
      <w:r w:rsidRPr="003E64C4">
        <w:rPr>
          <w:shd w:val="clear" w:color="auto" w:fill="FFFFFF" w:themeFill="background1"/>
        </w:rPr>
        <w:t>•</w:t>
      </w:r>
      <w:r w:rsidRPr="003E64C4">
        <w:rPr>
          <w:shd w:val="clear" w:color="auto" w:fill="FFFFFF" w:themeFill="background1"/>
        </w:rPr>
        <w:tab/>
        <w:t>target population data used for annual and end of financial year data</w:t>
      </w:r>
    </w:p>
    <w:p w:rsidR="00AB1DAE" w:rsidRPr="003E64C4" w:rsidRDefault="003D15C0" w:rsidP="00AB1DAE">
      <w:pPr>
        <w:tabs>
          <w:tab w:val="num" w:pos="340"/>
        </w:tabs>
        <w:spacing w:before="120" w:line="320" w:lineRule="atLeast"/>
        <w:ind w:left="340" w:hanging="340"/>
        <w:jc w:val="both"/>
        <w:rPr>
          <w:szCs w:val="20"/>
        </w:rPr>
      </w:pPr>
      <w:r w:rsidRPr="003E64C4">
        <w:rPr>
          <w:shd w:val="clear" w:color="auto" w:fill="FFFFFF" w:themeFill="background1"/>
        </w:rPr>
        <w:t>•</w:t>
      </w:r>
      <w:r w:rsidRPr="003E64C4">
        <w:rPr>
          <w:shd w:val="clear" w:color="auto" w:fill="FFFFFF" w:themeFill="background1"/>
        </w:rPr>
        <w:tab/>
      </w:r>
      <w:r w:rsidR="00AB1DAE" w:rsidRPr="003E64C4">
        <w:rPr>
          <w:szCs w:val="20"/>
        </w:rPr>
        <w:t xml:space="preserve">daily average </w:t>
      </w:r>
      <w:r w:rsidRPr="003E64C4">
        <w:rPr>
          <w:szCs w:val="20"/>
        </w:rPr>
        <w:t xml:space="preserve">number and </w:t>
      </w:r>
      <w:r w:rsidR="00AB1DAE" w:rsidRPr="003E64C4">
        <w:rPr>
          <w:szCs w:val="20"/>
        </w:rPr>
        <w:t>rate of detention of people aged 10–17 years, per 100</w:t>
      </w:r>
      <w:r w:rsidR="005B7C3F" w:rsidRPr="003E64C4">
        <w:rPr>
          <w:szCs w:val="20"/>
        </w:rPr>
        <w:t> </w:t>
      </w:r>
      <w:r w:rsidR="00AB1DAE" w:rsidRPr="003E64C4">
        <w:rPr>
          <w:szCs w:val="20"/>
        </w:rPr>
        <w:t>000 people</w:t>
      </w:r>
    </w:p>
    <w:p w:rsidR="00AB1DAE" w:rsidRPr="003E64C4" w:rsidRDefault="003D15C0" w:rsidP="00AB1DAE">
      <w:pPr>
        <w:tabs>
          <w:tab w:val="num" w:pos="340"/>
        </w:tabs>
        <w:spacing w:before="120" w:line="320" w:lineRule="atLeast"/>
        <w:ind w:left="340" w:hanging="340"/>
        <w:jc w:val="both"/>
        <w:rPr>
          <w:szCs w:val="20"/>
        </w:rPr>
      </w:pPr>
      <w:r w:rsidRPr="003E64C4">
        <w:rPr>
          <w:shd w:val="clear" w:color="auto" w:fill="FFFFFF" w:themeFill="background1"/>
        </w:rPr>
        <w:t>•</w:t>
      </w:r>
      <w:r w:rsidRPr="003E64C4">
        <w:rPr>
          <w:shd w:val="clear" w:color="auto" w:fill="FFFFFF" w:themeFill="background1"/>
        </w:rPr>
        <w:tab/>
      </w:r>
      <w:r w:rsidR="00AB1DAE" w:rsidRPr="003E64C4">
        <w:rPr>
          <w:szCs w:val="20"/>
        </w:rPr>
        <w:t xml:space="preserve">daily </w:t>
      </w:r>
      <w:r w:rsidRPr="003E64C4">
        <w:rPr>
          <w:szCs w:val="20"/>
        </w:rPr>
        <w:t xml:space="preserve">average number and </w:t>
      </w:r>
      <w:r w:rsidR="00AB1DAE" w:rsidRPr="003E64C4">
        <w:rPr>
          <w:szCs w:val="20"/>
        </w:rPr>
        <w:t>rate of people aged 10–17 years subject to community-based supervision, per 100 000 people</w:t>
      </w:r>
    </w:p>
    <w:p w:rsidR="003D15C0" w:rsidRPr="003E64C4" w:rsidRDefault="003D15C0" w:rsidP="00AB1DAE">
      <w:pPr>
        <w:tabs>
          <w:tab w:val="num" w:pos="340"/>
        </w:tabs>
        <w:spacing w:before="120" w:line="320" w:lineRule="atLeast"/>
        <w:ind w:left="340" w:hanging="340"/>
        <w:jc w:val="both"/>
        <w:rPr>
          <w:szCs w:val="20"/>
        </w:rPr>
      </w:pPr>
      <w:r w:rsidRPr="003E64C4">
        <w:rPr>
          <w:shd w:val="clear" w:color="auto" w:fill="FFFFFF" w:themeFill="background1"/>
        </w:rPr>
        <w:t>•</w:t>
      </w:r>
      <w:r w:rsidRPr="003E64C4">
        <w:rPr>
          <w:shd w:val="clear" w:color="auto" w:fill="FFFFFF" w:themeFill="background1"/>
        </w:rPr>
        <w:tab/>
      </w:r>
      <w:r w:rsidRPr="003E64C4">
        <w:rPr>
          <w:szCs w:val="20"/>
        </w:rPr>
        <w:t>average rates of detention and Indigenous rate ratio, young people aged 10-17 years in juvenile detention, per 100 000 people</w:t>
      </w:r>
    </w:p>
    <w:p w:rsidR="003D15C0" w:rsidRPr="003E64C4" w:rsidRDefault="003D15C0" w:rsidP="00AB1DAE">
      <w:pPr>
        <w:tabs>
          <w:tab w:val="num" w:pos="340"/>
        </w:tabs>
        <w:spacing w:before="120" w:line="320" w:lineRule="atLeast"/>
        <w:ind w:left="340" w:hanging="340"/>
        <w:jc w:val="both"/>
        <w:rPr>
          <w:szCs w:val="20"/>
        </w:rPr>
      </w:pPr>
      <w:r w:rsidRPr="003E64C4">
        <w:rPr>
          <w:shd w:val="clear" w:color="auto" w:fill="FFFFFF" w:themeFill="background1"/>
        </w:rPr>
        <w:t>•</w:t>
      </w:r>
      <w:r w:rsidRPr="003E64C4">
        <w:rPr>
          <w:shd w:val="clear" w:color="auto" w:fill="FFFFFF" w:themeFill="background1"/>
        </w:rPr>
        <w:tab/>
      </w:r>
      <w:r w:rsidRPr="003E64C4">
        <w:rPr>
          <w:szCs w:val="20"/>
        </w:rPr>
        <w:t>custody nights</w:t>
      </w:r>
    </w:p>
    <w:p w:rsidR="00AB1DAE" w:rsidRPr="003E64C4" w:rsidRDefault="003D15C0" w:rsidP="00AB1DAE">
      <w:pPr>
        <w:tabs>
          <w:tab w:val="num" w:pos="340"/>
        </w:tabs>
        <w:spacing w:before="120" w:line="320" w:lineRule="atLeast"/>
        <w:ind w:left="340" w:hanging="340"/>
        <w:jc w:val="both"/>
        <w:rPr>
          <w:szCs w:val="20"/>
        </w:rPr>
      </w:pPr>
      <w:r w:rsidRPr="003E64C4">
        <w:rPr>
          <w:shd w:val="clear" w:color="auto" w:fill="FFFFFF" w:themeFill="background1"/>
        </w:rPr>
        <w:t>•</w:t>
      </w:r>
      <w:r w:rsidRPr="003E64C4">
        <w:rPr>
          <w:shd w:val="clear" w:color="auto" w:fill="FFFFFF" w:themeFill="background1"/>
        </w:rPr>
        <w:tab/>
      </w:r>
      <w:r w:rsidR="00AB1DAE" w:rsidRPr="003E64C4">
        <w:rPr>
          <w:szCs w:val="20"/>
        </w:rPr>
        <w:t>proportion of pre-sentence reports completed by juvenile justice agencies</w:t>
      </w:r>
    </w:p>
    <w:p w:rsidR="003D15C0" w:rsidRPr="003E64C4" w:rsidRDefault="003D15C0" w:rsidP="003D15C0">
      <w:pPr>
        <w:tabs>
          <w:tab w:val="num" w:pos="340"/>
        </w:tabs>
        <w:spacing w:before="120" w:line="320" w:lineRule="atLeast"/>
        <w:ind w:left="340" w:hanging="340"/>
        <w:jc w:val="both"/>
        <w:rPr>
          <w:szCs w:val="20"/>
        </w:rPr>
      </w:pPr>
      <w:r w:rsidRPr="003E64C4">
        <w:rPr>
          <w:shd w:val="clear" w:color="auto" w:fill="FFFFFF" w:themeFill="background1"/>
        </w:rPr>
        <w:t>•</w:t>
      </w:r>
      <w:r w:rsidRPr="003E64C4">
        <w:rPr>
          <w:shd w:val="clear" w:color="auto" w:fill="FFFFFF" w:themeFill="background1"/>
        </w:rPr>
        <w:tab/>
      </w:r>
      <w:r w:rsidRPr="003E64C4">
        <w:rPr>
          <w:szCs w:val="20"/>
        </w:rPr>
        <w:t>deaths in custody</w:t>
      </w:r>
    </w:p>
    <w:p w:rsidR="003D15C0" w:rsidRPr="003E64C4" w:rsidRDefault="003D15C0" w:rsidP="003D15C0">
      <w:pPr>
        <w:tabs>
          <w:tab w:val="num" w:pos="340"/>
        </w:tabs>
        <w:spacing w:before="120" w:line="320" w:lineRule="atLeast"/>
        <w:ind w:left="340" w:hanging="340"/>
        <w:jc w:val="both"/>
        <w:rPr>
          <w:szCs w:val="20"/>
        </w:rPr>
      </w:pPr>
      <w:r w:rsidRPr="003E64C4">
        <w:rPr>
          <w:shd w:val="clear" w:color="auto" w:fill="FFFFFF" w:themeFill="background1"/>
        </w:rPr>
        <w:t>•</w:t>
      </w:r>
      <w:r w:rsidRPr="003E64C4">
        <w:rPr>
          <w:shd w:val="clear" w:color="auto" w:fill="FFFFFF" w:themeFill="background1"/>
        </w:rPr>
        <w:tab/>
      </w:r>
      <w:r w:rsidRPr="003E64C4">
        <w:rPr>
          <w:szCs w:val="20"/>
        </w:rPr>
        <w:t>young people in detention attending education and training</w:t>
      </w:r>
    </w:p>
    <w:p w:rsidR="003D15C0" w:rsidRPr="003E64C4" w:rsidRDefault="003D15C0" w:rsidP="00AB1DAE">
      <w:pPr>
        <w:tabs>
          <w:tab w:val="num" w:pos="340"/>
        </w:tabs>
        <w:spacing w:before="120" w:line="320" w:lineRule="atLeast"/>
        <w:ind w:left="340" w:hanging="340"/>
        <w:jc w:val="both"/>
        <w:rPr>
          <w:szCs w:val="20"/>
        </w:rPr>
      </w:pPr>
      <w:r w:rsidRPr="003E64C4">
        <w:rPr>
          <w:shd w:val="clear" w:color="auto" w:fill="FFFFFF" w:themeFill="background1"/>
        </w:rPr>
        <w:t>•</w:t>
      </w:r>
      <w:r w:rsidRPr="003E64C4">
        <w:rPr>
          <w:shd w:val="clear" w:color="auto" w:fill="FFFFFF" w:themeFill="background1"/>
        </w:rPr>
        <w:tab/>
        <w:t>e</w:t>
      </w:r>
      <w:r w:rsidRPr="003E64C4">
        <w:rPr>
          <w:szCs w:val="20"/>
        </w:rPr>
        <w:t>scapes from detention and escorted movement</w:t>
      </w:r>
    </w:p>
    <w:p w:rsidR="003D15C0" w:rsidRPr="003E64C4" w:rsidRDefault="003D15C0" w:rsidP="00AB1DAE">
      <w:pPr>
        <w:tabs>
          <w:tab w:val="num" w:pos="340"/>
        </w:tabs>
        <w:spacing w:before="120" w:line="320" w:lineRule="atLeast"/>
        <w:ind w:left="340" w:hanging="340"/>
        <w:jc w:val="both"/>
        <w:rPr>
          <w:szCs w:val="20"/>
        </w:rPr>
      </w:pPr>
      <w:r w:rsidRPr="003E64C4">
        <w:rPr>
          <w:shd w:val="clear" w:color="auto" w:fill="FFFFFF" w:themeFill="background1"/>
        </w:rPr>
        <w:t>•</w:t>
      </w:r>
      <w:r w:rsidRPr="003E64C4">
        <w:rPr>
          <w:shd w:val="clear" w:color="auto" w:fill="FFFFFF" w:themeFill="background1"/>
        </w:rPr>
        <w:tab/>
        <w:t>a</w:t>
      </w:r>
      <w:r w:rsidRPr="003E64C4">
        <w:rPr>
          <w:szCs w:val="20"/>
        </w:rPr>
        <w:t>bsconds from unescorted leave</w:t>
      </w:r>
    </w:p>
    <w:p w:rsidR="003D15C0" w:rsidRPr="003E64C4" w:rsidRDefault="003D15C0" w:rsidP="00AB1DAE">
      <w:pPr>
        <w:tabs>
          <w:tab w:val="num" w:pos="340"/>
        </w:tabs>
        <w:spacing w:before="120" w:line="320" w:lineRule="atLeast"/>
        <w:ind w:left="340" w:hanging="340"/>
        <w:jc w:val="both"/>
        <w:rPr>
          <w:shd w:val="clear" w:color="auto" w:fill="FFFFFF" w:themeFill="background1"/>
        </w:rPr>
      </w:pPr>
      <w:r w:rsidRPr="003E64C4">
        <w:rPr>
          <w:shd w:val="clear" w:color="auto" w:fill="FFFFFF" w:themeFill="background1"/>
        </w:rPr>
        <w:t>•</w:t>
      </w:r>
      <w:r w:rsidRPr="003E64C4">
        <w:rPr>
          <w:shd w:val="clear" w:color="auto" w:fill="FFFFFF" w:themeFill="background1"/>
        </w:rPr>
        <w:tab/>
        <w:t>serious assaults in custody</w:t>
      </w:r>
    </w:p>
    <w:p w:rsidR="003D15C0" w:rsidRPr="003E64C4" w:rsidRDefault="003D15C0" w:rsidP="003D15C0">
      <w:pPr>
        <w:tabs>
          <w:tab w:val="num" w:pos="340"/>
        </w:tabs>
        <w:spacing w:before="120" w:line="320" w:lineRule="atLeast"/>
        <w:ind w:left="340" w:hanging="340"/>
        <w:jc w:val="both"/>
        <w:rPr>
          <w:shd w:val="clear" w:color="auto" w:fill="FFFFFF" w:themeFill="background1"/>
        </w:rPr>
      </w:pPr>
      <w:r w:rsidRPr="003E64C4">
        <w:rPr>
          <w:shd w:val="clear" w:color="auto" w:fill="FFFFFF" w:themeFill="background1"/>
        </w:rPr>
        <w:t>•</w:t>
      </w:r>
      <w:r w:rsidRPr="003E64C4">
        <w:rPr>
          <w:shd w:val="clear" w:color="auto" w:fill="FFFFFF" w:themeFill="background1"/>
        </w:rPr>
        <w:tab/>
        <w:t>assaults in custody</w:t>
      </w:r>
    </w:p>
    <w:p w:rsidR="003D15C0" w:rsidRPr="003E64C4" w:rsidRDefault="003D15C0" w:rsidP="003D15C0">
      <w:pPr>
        <w:tabs>
          <w:tab w:val="num" w:pos="340"/>
        </w:tabs>
        <w:spacing w:before="120" w:line="320" w:lineRule="atLeast"/>
        <w:ind w:left="340" w:hanging="340"/>
        <w:jc w:val="both"/>
        <w:rPr>
          <w:shd w:val="clear" w:color="auto" w:fill="FFFFFF" w:themeFill="background1"/>
        </w:rPr>
      </w:pPr>
      <w:r w:rsidRPr="003E64C4">
        <w:rPr>
          <w:shd w:val="clear" w:color="auto" w:fill="FFFFFF" w:themeFill="background1"/>
        </w:rPr>
        <w:t>•</w:t>
      </w:r>
      <w:r w:rsidRPr="003E64C4">
        <w:rPr>
          <w:shd w:val="clear" w:color="auto" w:fill="FFFFFF" w:themeFill="background1"/>
        </w:rPr>
        <w:tab/>
        <w:t>self-harm and attempted suicide in custody</w:t>
      </w:r>
    </w:p>
    <w:p w:rsidR="003D15C0" w:rsidRPr="003E64C4" w:rsidRDefault="003D15C0" w:rsidP="003D15C0">
      <w:pPr>
        <w:tabs>
          <w:tab w:val="num" w:pos="340"/>
        </w:tabs>
        <w:spacing w:before="120" w:line="320" w:lineRule="atLeast"/>
        <w:ind w:left="340" w:hanging="340"/>
        <w:jc w:val="both"/>
        <w:rPr>
          <w:shd w:val="clear" w:color="auto" w:fill="FFFFFF" w:themeFill="background1"/>
        </w:rPr>
      </w:pPr>
      <w:r w:rsidRPr="003E64C4">
        <w:rPr>
          <w:shd w:val="clear" w:color="auto" w:fill="FFFFFF" w:themeFill="background1"/>
        </w:rPr>
        <w:t>•</w:t>
      </w:r>
      <w:r w:rsidRPr="003E64C4">
        <w:rPr>
          <w:shd w:val="clear" w:color="auto" w:fill="FFFFFF" w:themeFill="background1"/>
        </w:rPr>
        <w:tab/>
        <w:t xml:space="preserve">completion of community-based orders </w:t>
      </w:r>
    </w:p>
    <w:p w:rsidR="003D15C0" w:rsidRPr="003E64C4" w:rsidRDefault="003D15C0" w:rsidP="003D15C0">
      <w:pPr>
        <w:tabs>
          <w:tab w:val="num" w:pos="340"/>
        </w:tabs>
        <w:spacing w:before="120" w:line="320" w:lineRule="atLeast"/>
        <w:ind w:left="340" w:hanging="340"/>
        <w:jc w:val="both"/>
        <w:rPr>
          <w:shd w:val="clear" w:color="auto" w:fill="FFFFFF" w:themeFill="background1"/>
        </w:rPr>
      </w:pPr>
      <w:r w:rsidRPr="003E64C4">
        <w:rPr>
          <w:shd w:val="clear" w:color="auto" w:fill="FFFFFF" w:themeFill="background1"/>
        </w:rPr>
        <w:t>•</w:t>
      </w:r>
      <w:r w:rsidRPr="003E64C4">
        <w:rPr>
          <w:shd w:val="clear" w:color="auto" w:fill="FFFFFF" w:themeFill="background1"/>
        </w:rPr>
        <w:tab/>
        <w:t>case plans prepared/reviewed within 6 weeks of commencing a sentenced order.</w:t>
      </w:r>
    </w:p>
    <w:p w:rsidR="00AB1DAE" w:rsidRPr="003E64C4" w:rsidRDefault="00AB1DAE" w:rsidP="00AB1DAE">
      <w:pPr>
        <w:keepNext/>
        <w:spacing w:before="560" w:line="320" w:lineRule="exact"/>
        <w:outlineLvl w:val="2"/>
        <w:rPr>
          <w:rFonts w:ascii="Arial" w:hAnsi="Arial"/>
          <w:b/>
          <w:szCs w:val="20"/>
        </w:rPr>
      </w:pPr>
      <w:bookmarkStart w:id="16" w:name="_Toc290291982"/>
      <w:bookmarkStart w:id="17" w:name="_Toc320770808"/>
      <w:bookmarkStart w:id="18" w:name="_Toc348449351"/>
      <w:bookmarkStart w:id="19" w:name="_Toc348952902"/>
      <w:bookmarkStart w:id="20" w:name="_Toc351361343"/>
      <w:r w:rsidRPr="003E64C4">
        <w:rPr>
          <w:rFonts w:ascii="Arial" w:hAnsi="Arial"/>
          <w:b/>
          <w:szCs w:val="20"/>
        </w:rPr>
        <w:t>Child protection and out-of-home care services</w:t>
      </w:r>
      <w:bookmarkEnd w:id="16"/>
      <w:bookmarkEnd w:id="17"/>
      <w:bookmarkEnd w:id="18"/>
      <w:bookmarkEnd w:id="19"/>
      <w:bookmarkEnd w:id="20"/>
    </w:p>
    <w:p w:rsidR="003D15C0" w:rsidRPr="003E64C4" w:rsidRDefault="003D15C0" w:rsidP="00AB1DAE">
      <w:pPr>
        <w:spacing w:before="240" w:line="320" w:lineRule="atLeast"/>
        <w:jc w:val="both"/>
        <w:rPr>
          <w:szCs w:val="20"/>
        </w:rPr>
      </w:pPr>
      <w:r w:rsidRPr="003E64C4">
        <w:t xml:space="preserve">Child protection services are provided to protect children and young people aged </w:t>
      </w:r>
      <w:r w:rsidRPr="003E64C4">
        <w:br/>
        <w:t>0–17 years who are at risk of harm within their families, or whose families do not have the capacity to protect them.</w:t>
      </w:r>
    </w:p>
    <w:p w:rsidR="00F96B09" w:rsidRPr="003E64C4" w:rsidRDefault="00F96B09" w:rsidP="00F96B09">
      <w:pPr>
        <w:pStyle w:val="BodyText"/>
      </w:pPr>
      <w:r w:rsidRPr="003E64C4">
        <w:lastRenderedPageBreak/>
        <w:t>Research suggests that children and families who come into contact with the child protection system often share common social and demographic characteristics. Families with a history of domestic violence, alcohol and substance abuse, psychiatric disability, and families with low incomes or that are reliant on pensions and benefits are over</w:t>
      </w:r>
      <w:r w:rsidRPr="003E64C4">
        <w:noBreakHyphen/>
        <w:t>represented in the families that come into contact with the child protection system (Department of Human Services 2002; The Allen Consulting Group 2008).</w:t>
      </w:r>
    </w:p>
    <w:p w:rsidR="00AB1DAE" w:rsidRPr="003E64C4" w:rsidRDefault="00AB1DAE" w:rsidP="00AB1DAE">
      <w:pPr>
        <w:keepNext/>
        <w:spacing w:before="480" w:line="320" w:lineRule="exact"/>
        <w:outlineLvl w:val="3"/>
        <w:rPr>
          <w:rFonts w:ascii="Arial" w:hAnsi="Arial"/>
          <w:i/>
          <w:sz w:val="24"/>
          <w:szCs w:val="20"/>
        </w:rPr>
      </w:pPr>
      <w:bookmarkStart w:id="21" w:name="_Toc320770809"/>
      <w:bookmarkStart w:id="22" w:name="_Toc348449352"/>
      <w:bookmarkStart w:id="23" w:name="_Toc348952903"/>
      <w:bookmarkStart w:id="24" w:name="_Toc351361344"/>
      <w:r w:rsidRPr="003E64C4">
        <w:rPr>
          <w:rFonts w:ascii="Arial" w:hAnsi="Arial"/>
          <w:i/>
          <w:sz w:val="24"/>
          <w:szCs w:val="20"/>
        </w:rPr>
        <w:t>Child protection concerns and Indigenous communities</w:t>
      </w:r>
      <w:bookmarkEnd w:id="21"/>
      <w:bookmarkEnd w:id="22"/>
      <w:bookmarkEnd w:id="23"/>
      <w:bookmarkEnd w:id="24"/>
    </w:p>
    <w:p w:rsidR="000D44C0" w:rsidRPr="003E64C4" w:rsidRDefault="000D44C0" w:rsidP="000D44C0">
      <w:pPr>
        <w:pStyle w:val="BodyText"/>
      </w:pPr>
      <w:r w:rsidRPr="003E64C4">
        <w:t>Studies have highlighted the high incidence of child abuse and neglect within some Indigenous communities, compared with non-Indigenous communities. Indigenous families across Australia have been found to experience higher levels of violence, compared with non-Indigenous families (AIHW 2006). The final report of the Northern Territory Board of Inquiry into the Protection of Aboriginal Children from Sexual Abuse (2007) identified child sexual abuse as a significant issue for many of the remote NT Aboriginal communities consulted as part of the Inquiry. The final report of the WA Inquiry into Response by Government Agencies to Complaints of Family Violence and Child Abuse in Aboriginal Communities (Gordon Report 2002) also found high levels of violence and child abuse within Aboriginal communities in WA.</w:t>
      </w:r>
    </w:p>
    <w:p w:rsidR="000D44C0" w:rsidRPr="003E64C4" w:rsidRDefault="000D44C0" w:rsidP="000D44C0">
      <w:pPr>
        <w:pStyle w:val="BodyText"/>
      </w:pPr>
      <w:bookmarkStart w:id="25" w:name="_Toc320770810"/>
      <w:bookmarkStart w:id="26" w:name="_Toc348449353"/>
      <w:r w:rsidRPr="003E64C4">
        <w:t xml:space="preserve">The Report of the Board of Inquiry into the Child Protection System in the NT (2010) </w:t>
      </w:r>
      <w:r w:rsidRPr="003E64C4">
        <w:rPr>
          <w:i/>
        </w:rPr>
        <w:t xml:space="preserve">Growing them strong, together </w:t>
      </w:r>
      <w:r w:rsidRPr="003E64C4">
        <w:t>also observed the presence of multiple risk factors in Aboriginal communities, including lack of adequate housing, financial security and education. However, Aboriginal communities also possessed protective factors that can safeguard children and families from psychological distress, such as spirituality and connection to land, family and culture (Bamblett, Bath and Roseby 2010).</w:t>
      </w:r>
    </w:p>
    <w:p w:rsidR="00AB1DAE" w:rsidRPr="003E64C4" w:rsidRDefault="00AB1DAE" w:rsidP="00AB1DAE">
      <w:pPr>
        <w:keepNext/>
        <w:spacing w:before="480" w:line="320" w:lineRule="exact"/>
        <w:outlineLvl w:val="3"/>
        <w:rPr>
          <w:rFonts w:ascii="Arial" w:hAnsi="Arial"/>
          <w:i/>
          <w:sz w:val="24"/>
          <w:szCs w:val="20"/>
        </w:rPr>
      </w:pPr>
      <w:bookmarkStart w:id="27" w:name="_Toc348952904"/>
      <w:bookmarkStart w:id="28" w:name="_Toc351361345"/>
      <w:r w:rsidRPr="003E64C4">
        <w:rPr>
          <w:rFonts w:ascii="Arial" w:hAnsi="Arial"/>
          <w:i/>
          <w:sz w:val="24"/>
          <w:szCs w:val="20"/>
        </w:rPr>
        <w:t>Out-of-home care services</w:t>
      </w:r>
      <w:bookmarkEnd w:id="25"/>
      <w:bookmarkEnd w:id="26"/>
      <w:bookmarkEnd w:id="27"/>
      <w:bookmarkEnd w:id="28"/>
    </w:p>
    <w:p w:rsidR="000D44C0" w:rsidRPr="003E64C4" w:rsidRDefault="000D44C0" w:rsidP="000D44C0">
      <w:pPr>
        <w:pStyle w:val="BodyText"/>
      </w:pPr>
      <w:bookmarkStart w:id="29" w:name="_Toc320770811"/>
      <w:bookmarkStart w:id="30" w:name="_Toc348449354"/>
      <w:r w:rsidRPr="003E64C4">
        <w:t xml:space="preserve">Out-of-home care services provide care for children and young people aged </w:t>
      </w:r>
      <w:r w:rsidRPr="003E64C4">
        <w:br/>
        <w:t>0–17 years who are placed away from their parents or family home for reasons of safety or family crisis. These reasons include abuse, neglect or harm, illness of a parent and/or the inability of parents to provide adequate care. Placements may be voluntary or made in conjunction with care and protection orders.</w:t>
      </w:r>
    </w:p>
    <w:p w:rsidR="000D44C0" w:rsidRPr="003E64C4" w:rsidRDefault="000D44C0" w:rsidP="000D44C0">
      <w:pPr>
        <w:keepNext/>
        <w:spacing w:before="480" w:line="320" w:lineRule="exact"/>
        <w:outlineLvl w:val="3"/>
        <w:rPr>
          <w:rFonts w:ascii="Arial" w:hAnsi="Arial"/>
          <w:i/>
          <w:sz w:val="24"/>
          <w:szCs w:val="20"/>
        </w:rPr>
      </w:pPr>
      <w:bookmarkStart w:id="31" w:name="_Toc348952905"/>
      <w:bookmarkStart w:id="32" w:name="_Toc351361346"/>
      <w:bookmarkStart w:id="33" w:name="_Toc320770812"/>
      <w:bookmarkStart w:id="34" w:name="_Toc348449355"/>
      <w:bookmarkEnd w:id="29"/>
      <w:bookmarkEnd w:id="30"/>
      <w:r w:rsidRPr="003E64C4">
        <w:rPr>
          <w:rFonts w:ascii="Arial" w:hAnsi="Arial"/>
          <w:i/>
          <w:sz w:val="24"/>
          <w:szCs w:val="20"/>
        </w:rPr>
        <w:t>Intensive family support services</w:t>
      </w:r>
      <w:bookmarkEnd w:id="31"/>
      <w:bookmarkEnd w:id="32"/>
    </w:p>
    <w:p w:rsidR="005946CF" w:rsidRPr="003E64C4" w:rsidRDefault="000D44C0" w:rsidP="005946CF">
      <w:pPr>
        <w:widowControl w:val="0"/>
        <w:spacing w:before="240" w:line="320" w:lineRule="atLeast"/>
        <w:jc w:val="both"/>
        <w:rPr>
          <w:szCs w:val="20"/>
        </w:rPr>
      </w:pPr>
      <w:r w:rsidRPr="003E64C4">
        <w:rPr>
          <w:szCs w:val="20"/>
        </w:rPr>
        <w:t xml:space="preserve">Intensive family support services are an alternative to the removal of a child from </w:t>
      </w:r>
      <w:r w:rsidRPr="003E64C4">
        <w:rPr>
          <w:szCs w:val="20"/>
        </w:rPr>
        <w:lastRenderedPageBreak/>
        <w:t>his or her home for child</w:t>
      </w:r>
      <w:r w:rsidR="003E64C4" w:rsidRPr="003E64C4">
        <w:rPr>
          <w:szCs w:val="20"/>
        </w:rPr>
        <w:t xml:space="preserve"> protection reasons (box 15.1).</w:t>
      </w:r>
    </w:p>
    <w:p w:rsidR="00D103EE" w:rsidRPr="003E64C4" w:rsidRDefault="00D103EE" w:rsidP="00D103EE">
      <w:pPr>
        <w:pStyle w:val="BoxSpace"/>
      </w:pP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771"/>
      </w:tblGrid>
      <w:tr w:rsidR="000D44C0" w:rsidRPr="003E64C4" w:rsidTr="000D44C0">
        <w:tc>
          <w:tcPr>
            <w:tcW w:w="8771" w:type="dxa"/>
          </w:tcPr>
          <w:p w:rsidR="000D44C0" w:rsidRPr="003E64C4" w:rsidRDefault="000D44C0" w:rsidP="009F41E6">
            <w:pPr>
              <w:pStyle w:val="BoxTitle"/>
              <w:rPr>
                <w:b w:val="0"/>
              </w:rPr>
            </w:pPr>
            <w:r w:rsidRPr="003E64C4">
              <w:rPr>
                <w:b w:val="0"/>
              </w:rPr>
              <w:t xml:space="preserve">Box </w:t>
            </w:r>
            <w:r w:rsidR="009F41E6" w:rsidRPr="003E64C4">
              <w:rPr>
                <w:b w:val="0"/>
              </w:rPr>
              <w:t>15.1</w:t>
            </w:r>
            <w:r w:rsidRPr="003E64C4">
              <w:rPr>
                <w:b w:val="0"/>
              </w:rPr>
              <w:tab/>
            </w:r>
            <w:r w:rsidRPr="003E64C4">
              <w:t>Intensive family support services</w:t>
            </w:r>
          </w:p>
        </w:tc>
      </w:tr>
      <w:tr w:rsidR="000D44C0" w:rsidRPr="003E64C4" w:rsidTr="000D44C0">
        <w:trPr>
          <w:cantSplit/>
        </w:trPr>
        <w:tc>
          <w:tcPr>
            <w:tcW w:w="8771" w:type="dxa"/>
          </w:tcPr>
          <w:p w:rsidR="000D44C0" w:rsidRPr="003E64C4" w:rsidRDefault="000D44C0" w:rsidP="000D44C0">
            <w:pPr>
              <w:widowControl w:val="0"/>
              <w:spacing w:before="120" w:line="280" w:lineRule="atLeast"/>
              <w:jc w:val="both"/>
              <w:rPr>
                <w:rFonts w:ascii="Arial" w:hAnsi="Arial"/>
                <w:sz w:val="22"/>
                <w:szCs w:val="20"/>
              </w:rPr>
            </w:pPr>
            <w:r w:rsidRPr="003E64C4">
              <w:rPr>
                <w:rFonts w:ascii="Arial" w:hAnsi="Arial"/>
                <w:sz w:val="22"/>
                <w:szCs w:val="20"/>
              </w:rPr>
              <w:t>Intensive family support services are specialist services that aim to:</w:t>
            </w:r>
          </w:p>
          <w:p w:rsidR="000D44C0" w:rsidRPr="003E64C4" w:rsidRDefault="000D44C0" w:rsidP="000D44C0">
            <w:pPr>
              <w:pStyle w:val="BoxListBullet"/>
              <w:numPr>
                <w:ilvl w:val="0"/>
                <w:numId w:val="17"/>
              </w:numPr>
              <w:spacing w:before="120"/>
              <w:rPr>
                <w:szCs w:val="26"/>
              </w:rPr>
            </w:pPr>
            <w:r w:rsidRPr="003E64C4">
              <w:t>prevent the imminent separation of children from their primary caregivers as a result of child protection concerns</w:t>
            </w:r>
          </w:p>
          <w:p w:rsidR="00322BD9" w:rsidRPr="003E64C4" w:rsidRDefault="000D44C0" w:rsidP="00322BD9">
            <w:pPr>
              <w:pStyle w:val="BoxListBullet"/>
              <w:numPr>
                <w:ilvl w:val="0"/>
                <w:numId w:val="17"/>
              </w:numPr>
              <w:spacing w:before="120"/>
              <w:rPr>
                <w:szCs w:val="26"/>
              </w:rPr>
            </w:pPr>
            <w:r w:rsidRPr="003E64C4">
              <w:t>reunify families where separation has already occurred.</w:t>
            </w:r>
          </w:p>
          <w:p w:rsidR="000D44C0" w:rsidRPr="003E64C4" w:rsidRDefault="000D44C0" w:rsidP="000D44C0">
            <w:pPr>
              <w:widowControl w:val="0"/>
              <w:spacing w:before="120" w:line="280" w:lineRule="atLeast"/>
              <w:jc w:val="both"/>
              <w:rPr>
                <w:rFonts w:ascii="Arial" w:hAnsi="Arial"/>
                <w:sz w:val="22"/>
                <w:szCs w:val="20"/>
              </w:rPr>
            </w:pPr>
            <w:r w:rsidRPr="003E64C4">
              <w:rPr>
                <w:rFonts w:ascii="Arial" w:hAnsi="Arial"/>
                <w:sz w:val="22"/>
                <w:szCs w:val="20"/>
              </w:rPr>
              <w:t>Intensive family support services differ from other types of child protection and family support services referred to in this chapter, in that they:</w:t>
            </w:r>
          </w:p>
          <w:p w:rsidR="00322BD9" w:rsidRPr="003E64C4" w:rsidRDefault="000D44C0" w:rsidP="00322BD9">
            <w:pPr>
              <w:pStyle w:val="BoxListBullet"/>
              <w:numPr>
                <w:ilvl w:val="0"/>
                <w:numId w:val="17"/>
              </w:numPr>
              <w:spacing w:before="120"/>
              <w:rPr>
                <w:szCs w:val="26"/>
              </w:rPr>
            </w:pPr>
            <w:r w:rsidRPr="003E64C4">
              <w:t>are funded or established explicitly to prevent the separation of, or to reunify, families</w:t>
            </w:r>
          </w:p>
          <w:p w:rsidR="00322BD9" w:rsidRPr="003E64C4" w:rsidRDefault="000D44C0" w:rsidP="00322BD9">
            <w:pPr>
              <w:pStyle w:val="BoxListBullet"/>
              <w:numPr>
                <w:ilvl w:val="0"/>
                <w:numId w:val="17"/>
              </w:numPr>
              <w:spacing w:before="120"/>
              <w:rPr>
                <w:szCs w:val="26"/>
              </w:rPr>
            </w:pPr>
            <w:r w:rsidRPr="003E64C4">
              <w:t>provide a range of services as part of an integrated strategy focusing on improving family functioning and skills, rather than providing a single type of service</w:t>
            </w:r>
          </w:p>
          <w:p w:rsidR="00322BD9" w:rsidRPr="003E64C4" w:rsidRDefault="000D44C0" w:rsidP="00322BD9">
            <w:pPr>
              <w:pStyle w:val="BoxListBullet"/>
              <w:numPr>
                <w:ilvl w:val="0"/>
                <w:numId w:val="17"/>
              </w:numPr>
              <w:spacing w:before="120"/>
              <w:rPr>
                <w:szCs w:val="26"/>
              </w:rPr>
            </w:pPr>
            <w:r w:rsidRPr="003E64C4">
              <w:t>are intensive in nature, averaging at least four hours of service provision per week for a specified short term period (usually less than six months)</w:t>
            </w:r>
          </w:p>
          <w:p w:rsidR="000D44C0" w:rsidRPr="003E64C4" w:rsidRDefault="00A61FBF" w:rsidP="00322BD9">
            <w:pPr>
              <w:pStyle w:val="BoxListBullet"/>
              <w:numPr>
                <w:ilvl w:val="0"/>
                <w:numId w:val="17"/>
              </w:numPr>
              <w:spacing w:before="120"/>
              <w:rPr>
                <w:szCs w:val="26"/>
              </w:rPr>
            </w:pPr>
            <w:r w:rsidRPr="003E64C4">
              <w:t>g</w:t>
            </w:r>
            <w:r w:rsidR="000D44C0" w:rsidRPr="003E64C4">
              <w:t>enerally respond to referrals from a child protection service.</w:t>
            </w:r>
          </w:p>
          <w:p w:rsidR="000D44C0" w:rsidRPr="003E64C4" w:rsidRDefault="000D44C0" w:rsidP="000D44C0">
            <w:pPr>
              <w:widowControl w:val="0"/>
              <w:spacing w:before="120" w:line="280" w:lineRule="atLeast"/>
              <w:jc w:val="both"/>
              <w:rPr>
                <w:rFonts w:ascii="Arial" w:hAnsi="Arial"/>
                <w:sz w:val="22"/>
                <w:szCs w:val="20"/>
              </w:rPr>
            </w:pPr>
            <w:r w:rsidRPr="003E64C4">
              <w:rPr>
                <w:rFonts w:ascii="Arial" w:hAnsi="Arial"/>
                <w:sz w:val="22"/>
                <w:szCs w:val="20"/>
              </w:rPr>
              <w:t>Intensive family support services may use some or all of the following strategies: assessment and case planning; parent education and skill development; individual and family counselling; anger management; respite and emergency care; practical and financial support; mediation, brokerage and referral services; and training in problem solving.</w:t>
            </w:r>
          </w:p>
          <w:p w:rsidR="005946CF" w:rsidRPr="003E64C4" w:rsidRDefault="005946CF" w:rsidP="005946CF">
            <w:pPr>
              <w:widowControl w:val="0"/>
              <w:spacing w:before="200" w:line="280" w:lineRule="atLeast"/>
              <w:jc w:val="both"/>
              <w:rPr>
                <w:rFonts w:ascii="Arial" w:hAnsi="Arial"/>
                <w:i/>
                <w:sz w:val="22"/>
                <w:szCs w:val="20"/>
              </w:rPr>
            </w:pPr>
            <w:r w:rsidRPr="003E64C4">
              <w:rPr>
                <w:rFonts w:ascii="Arial" w:hAnsi="Arial"/>
                <w:i/>
                <w:sz w:val="22"/>
                <w:szCs w:val="20"/>
              </w:rPr>
              <w:t>Child protection treatment and support services</w:t>
            </w:r>
          </w:p>
          <w:p w:rsidR="005946CF" w:rsidRPr="003E64C4" w:rsidRDefault="005946CF" w:rsidP="005946CF">
            <w:pPr>
              <w:widowControl w:val="0"/>
              <w:spacing w:before="60" w:line="280" w:lineRule="atLeast"/>
              <w:jc w:val="both"/>
              <w:rPr>
                <w:rFonts w:ascii="Arial" w:hAnsi="Arial"/>
                <w:sz w:val="22"/>
                <w:szCs w:val="20"/>
              </w:rPr>
            </w:pPr>
            <w:r w:rsidRPr="003E64C4">
              <w:rPr>
                <w:rFonts w:ascii="Arial" w:hAnsi="Arial"/>
                <w:sz w:val="22"/>
                <w:szCs w:val="20"/>
              </w:rPr>
              <w:t>A complementary suite of services not included in this Report, but intended for inclusion in future editions, are known as child protection treatment and support services. These services target at-risk families where there are concerns about the safety and wellbeing of children. They may be less intensive in nature and focus on services that strengthen family relationships in response to concerns about the welfare of a child and may focus on either early intervention or reunification support.</w:t>
            </w:r>
          </w:p>
          <w:p w:rsidR="005946CF" w:rsidRPr="003E64C4" w:rsidRDefault="005946CF" w:rsidP="005946CF">
            <w:pPr>
              <w:keepNext/>
              <w:spacing w:before="60" w:line="280" w:lineRule="atLeast"/>
              <w:jc w:val="both"/>
              <w:rPr>
                <w:rFonts w:ascii="Arial" w:hAnsi="Arial"/>
                <w:sz w:val="22"/>
                <w:szCs w:val="20"/>
              </w:rPr>
            </w:pPr>
            <w:r w:rsidRPr="003E64C4">
              <w:rPr>
                <w:rFonts w:ascii="Arial" w:hAnsi="Arial"/>
                <w:sz w:val="22"/>
                <w:szCs w:val="20"/>
              </w:rPr>
              <w:t>Child protection treatment and support services include educational services, clinical services including counselling, group work and other therapeutic interventions, and domestic violence services.</w:t>
            </w:r>
          </w:p>
          <w:p w:rsidR="005946CF" w:rsidRPr="003E64C4" w:rsidRDefault="005946CF" w:rsidP="005946CF">
            <w:pPr>
              <w:widowControl w:val="0"/>
              <w:spacing w:before="120" w:line="280" w:lineRule="atLeast"/>
              <w:jc w:val="both"/>
              <w:rPr>
                <w:rFonts w:ascii="Arial" w:hAnsi="Arial"/>
                <w:sz w:val="22"/>
                <w:szCs w:val="20"/>
              </w:rPr>
            </w:pPr>
            <w:r w:rsidRPr="003E64C4">
              <w:rPr>
                <w:rFonts w:ascii="Arial" w:hAnsi="Arial"/>
                <w:sz w:val="22"/>
                <w:szCs w:val="20"/>
              </w:rPr>
              <w:t>State and Territory governments, with the Australian Institute of Health and Welfare (AIHW), are studying the feasibility of a national data collection for child protection treatment and support services.</w:t>
            </w:r>
          </w:p>
        </w:tc>
      </w:tr>
      <w:tr w:rsidR="000D44C0" w:rsidRPr="003E64C4" w:rsidTr="000D44C0">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single" w:sz="6" w:space="0" w:color="auto"/>
              <w:bottom w:val="nil"/>
              <w:right w:val="single" w:sz="6" w:space="0" w:color="auto"/>
            </w:tcBorders>
          </w:tcPr>
          <w:p w:rsidR="000D44C0" w:rsidRPr="003E64C4" w:rsidRDefault="005946CF" w:rsidP="005946CF">
            <w:pPr>
              <w:widowControl w:val="0"/>
              <w:spacing w:before="180" w:line="220" w:lineRule="exact"/>
              <w:rPr>
                <w:rFonts w:ascii="Arial" w:hAnsi="Arial"/>
                <w:sz w:val="18"/>
                <w:szCs w:val="20"/>
              </w:rPr>
            </w:pPr>
            <w:r w:rsidRPr="003E64C4">
              <w:rPr>
                <w:rFonts w:ascii="Arial" w:hAnsi="Arial"/>
                <w:i/>
                <w:sz w:val="18"/>
                <w:szCs w:val="20"/>
              </w:rPr>
              <w:t>Source</w:t>
            </w:r>
            <w:r w:rsidRPr="003E64C4">
              <w:rPr>
                <w:rFonts w:ascii="Arial" w:hAnsi="Arial"/>
                <w:sz w:val="18"/>
                <w:szCs w:val="20"/>
              </w:rPr>
              <w:t>: AIHW (unpublished).</w:t>
            </w:r>
          </w:p>
        </w:tc>
      </w:tr>
      <w:tr w:rsidR="000D44C0" w:rsidRPr="003E64C4" w:rsidTr="000D44C0">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single" w:sz="6" w:space="0" w:color="auto"/>
              <w:bottom w:val="single" w:sz="6" w:space="0" w:color="auto"/>
              <w:right w:val="single" w:sz="6" w:space="0" w:color="auto"/>
            </w:tcBorders>
          </w:tcPr>
          <w:p w:rsidR="000D44C0" w:rsidRPr="003E64C4" w:rsidRDefault="000D44C0" w:rsidP="000D44C0">
            <w:pPr>
              <w:widowControl w:val="0"/>
              <w:spacing w:line="120" w:lineRule="exact"/>
              <w:jc w:val="both"/>
              <w:rPr>
                <w:rFonts w:ascii="Arial" w:hAnsi="Arial"/>
                <w:sz w:val="22"/>
                <w:szCs w:val="20"/>
              </w:rPr>
            </w:pPr>
          </w:p>
        </w:tc>
      </w:tr>
      <w:tr w:rsidR="000D44C0" w:rsidRPr="003E64C4" w:rsidTr="000D44C0">
        <w:tblPrEx>
          <w:tblBorders>
            <w:top w:val="single" w:sz="6" w:space="0" w:color="auto"/>
            <w:left w:val="single" w:sz="6" w:space="0" w:color="auto"/>
            <w:bottom w:val="single" w:sz="6" w:space="0" w:color="auto"/>
            <w:right w:val="single" w:sz="6" w:space="0" w:color="auto"/>
          </w:tblBorders>
        </w:tblPrEx>
        <w:tc>
          <w:tcPr>
            <w:tcW w:w="8771" w:type="dxa"/>
            <w:tcBorders>
              <w:top w:val="nil"/>
              <w:left w:val="nil"/>
              <w:bottom w:val="nil"/>
              <w:right w:val="nil"/>
            </w:tcBorders>
          </w:tcPr>
          <w:p w:rsidR="000D44C0" w:rsidRPr="003E64C4" w:rsidRDefault="000D44C0" w:rsidP="000D44C0">
            <w:pPr>
              <w:widowControl w:val="0"/>
              <w:spacing w:before="60" w:after="60" w:line="80" w:lineRule="exact"/>
              <w:jc w:val="both"/>
              <w:rPr>
                <w:rFonts w:ascii="Arial" w:hAnsi="Arial"/>
                <w:b/>
                <w:color w:val="FF00FF"/>
                <w:sz w:val="14"/>
                <w:szCs w:val="20"/>
              </w:rPr>
            </w:pPr>
          </w:p>
        </w:tc>
      </w:tr>
    </w:tbl>
    <w:p w:rsidR="000D44C0" w:rsidRPr="003E64C4" w:rsidRDefault="000D44C0" w:rsidP="000D44C0">
      <w:pPr>
        <w:keepNext/>
        <w:spacing w:before="480" w:line="320" w:lineRule="exact"/>
        <w:outlineLvl w:val="3"/>
        <w:rPr>
          <w:rFonts w:ascii="Arial" w:hAnsi="Arial"/>
          <w:i/>
          <w:sz w:val="24"/>
          <w:szCs w:val="20"/>
        </w:rPr>
      </w:pPr>
      <w:bookmarkStart w:id="35" w:name="_Toc348952906"/>
      <w:bookmarkStart w:id="36" w:name="_Toc351361347"/>
      <w:r w:rsidRPr="003E64C4">
        <w:rPr>
          <w:rFonts w:ascii="Arial" w:hAnsi="Arial"/>
          <w:i/>
          <w:sz w:val="24"/>
          <w:szCs w:val="20"/>
        </w:rPr>
        <w:lastRenderedPageBreak/>
        <w:t>Family support services</w:t>
      </w:r>
      <w:bookmarkEnd w:id="35"/>
      <w:bookmarkEnd w:id="36"/>
    </w:p>
    <w:p w:rsidR="000D44C0" w:rsidRPr="003E64C4" w:rsidRDefault="000D44C0" w:rsidP="000D44C0">
      <w:pPr>
        <w:spacing w:before="240" w:line="320" w:lineRule="atLeast"/>
        <w:jc w:val="both"/>
        <w:rPr>
          <w:szCs w:val="20"/>
        </w:rPr>
      </w:pPr>
      <w:r w:rsidRPr="003E64C4">
        <w:rPr>
          <w:szCs w:val="20"/>
        </w:rPr>
        <w:t>Family support services are activities typically associated with the provision of lower level (that is, non-intensive) services to families in need, including identification and assessment of family needs, provision of support and diversionary services, some counselling, and active linking and referrals to support networks. These types of services are funded by government but can be delivered by the relevant child protection agency or a non-government organisation. This suite of services does not typically involve planned follow-up by the relevant child protection agency after initial service referral or delivery. These types of services are delivered via voluntary arrangements (as distinct from court orders) between the relevant agency and family.</w:t>
      </w:r>
    </w:p>
    <w:p w:rsidR="000D44C0" w:rsidRPr="003E64C4" w:rsidRDefault="000D44C0" w:rsidP="000D44C0">
      <w:pPr>
        <w:spacing w:before="240" w:line="320" w:lineRule="atLeast"/>
        <w:jc w:val="both"/>
        <w:rPr>
          <w:b/>
          <w:sz w:val="24"/>
          <w:szCs w:val="20"/>
          <w:u w:val="dotted"/>
        </w:rPr>
      </w:pPr>
      <w:r w:rsidRPr="003E64C4">
        <w:rPr>
          <w:szCs w:val="20"/>
        </w:rPr>
        <w:t>For the first time, this Report includes expenditure information for family support services (</w:t>
      </w:r>
      <w:r w:rsidR="00322BD9" w:rsidRPr="003E64C4">
        <w:rPr>
          <w:szCs w:val="20"/>
        </w:rPr>
        <w:t xml:space="preserve">2013 Report, </w:t>
      </w:r>
      <w:r w:rsidRPr="003E64C4">
        <w:rPr>
          <w:szCs w:val="20"/>
        </w:rPr>
        <w:t>table 15A.1). Corresponding family support service activity data (for example, numbers of clients or numbers of referrals) are not yet available nationally. The Steering Committee considers the development of a data collection to quantify the extent of family support service activity, and the effectiveness of family support service activity, as an important future development.</w:t>
      </w:r>
    </w:p>
    <w:p w:rsidR="00AB1DAE" w:rsidRPr="003E64C4" w:rsidRDefault="00AB1DAE" w:rsidP="00AB1DAE">
      <w:pPr>
        <w:widowControl w:val="0"/>
        <w:spacing w:before="480" w:line="320" w:lineRule="exact"/>
        <w:outlineLvl w:val="3"/>
        <w:rPr>
          <w:rFonts w:ascii="Arial" w:hAnsi="Arial"/>
          <w:i/>
          <w:sz w:val="24"/>
          <w:szCs w:val="20"/>
        </w:rPr>
      </w:pPr>
      <w:bookmarkStart w:id="37" w:name="_Toc348952907"/>
      <w:bookmarkStart w:id="38" w:name="_Toc351361348"/>
      <w:r w:rsidRPr="003E64C4">
        <w:rPr>
          <w:rFonts w:ascii="Arial" w:hAnsi="Arial"/>
          <w:i/>
          <w:sz w:val="24"/>
          <w:szCs w:val="20"/>
        </w:rPr>
        <w:t>The child protection system</w:t>
      </w:r>
      <w:bookmarkEnd w:id="33"/>
      <w:bookmarkEnd w:id="34"/>
      <w:bookmarkEnd w:id="37"/>
      <w:bookmarkEnd w:id="38"/>
    </w:p>
    <w:p w:rsidR="00322BD9" w:rsidRPr="0006341C" w:rsidRDefault="00322BD9" w:rsidP="00322BD9">
      <w:pPr>
        <w:pStyle w:val="BodyText"/>
      </w:pPr>
      <w:bookmarkStart w:id="39" w:name="OLE_LINK71"/>
      <w:bookmarkStart w:id="40" w:name="OLE_LINK83"/>
      <w:r w:rsidRPr="0006341C">
        <w:t>Child protection legislation, policies and practices vary across jurisdictions, which has some implications for the comparability of child protection data (</w:t>
      </w:r>
      <w:bookmarkStart w:id="41" w:name="OLE_LINK32"/>
      <w:bookmarkStart w:id="42" w:name="OLE_LINK34"/>
      <w:r w:rsidRPr="0006341C">
        <w:t xml:space="preserve">Holzer and Bromfield 2008). </w:t>
      </w:r>
      <w:bookmarkEnd w:id="41"/>
      <w:bookmarkEnd w:id="42"/>
      <w:r w:rsidRPr="0006341C">
        <w:t>However, the broad processes in child protection systems are similar (figure 15.1).</w:t>
      </w:r>
    </w:p>
    <w:p w:rsidR="00322BD9" w:rsidRPr="0006341C" w:rsidRDefault="00322BD9" w:rsidP="00322BD9">
      <w:pPr>
        <w:pStyle w:val="BodyText"/>
      </w:pPr>
      <w:r w:rsidRPr="0006341C">
        <w:t xml:space="preserve">State and Territory government departments with responsibility for child protection are advised of concerns about the wellbeing of children through reports to these agencies. Reports may be made by people mandated to report or by other members of the community. Individuals and organisations mandated to report vary across states and territories, and may include medical practitioners, police officers, school teachers and principals. These reports are assessed and classified as child protection notifications, child concern reports, or matters requiring some other kind of response. </w:t>
      </w:r>
      <w:bookmarkStart w:id="43" w:name="OLE_LINK14"/>
      <w:bookmarkStart w:id="44" w:name="OLE_LINK15"/>
      <w:bookmarkStart w:id="45" w:name="OLE_LINK16"/>
      <w:bookmarkStart w:id="46" w:name="OLE_LINK17"/>
      <w:bookmarkStart w:id="47" w:name="OLE_LINK12"/>
      <w:bookmarkStart w:id="48" w:name="OLE_LINK13"/>
      <w:r w:rsidRPr="0006341C">
        <w:t>Nationally, police were the most common source of notifications in 2011</w:t>
      </w:r>
      <w:r w:rsidRPr="0006341C">
        <w:noBreakHyphen/>
        <w:t>1</w:t>
      </w:r>
      <w:bookmarkEnd w:id="43"/>
      <w:bookmarkEnd w:id="44"/>
      <w:bookmarkEnd w:id="45"/>
      <w:bookmarkEnd w:id="46"/>
      <w:r w:rsidRPr="0006341C">
        <w:t>2 (AIHW forthcoming).</w:t>
      </w:r>
      <w:bookmarkEnd w:id="47"/>
      <w:bookmarkEnd w:id="48"/>
    </w:p>
    <w:p w:rsidR="00322BD9" w:rsidRPr="0006341C" w:rsidRDefault="00322BD9" w:rsidP="00322BD9">
      <w:pPr>
        <w:pStyle w:val="BodyText"/>
      </w:pPr>
      <w:r w:rsidRPr="0006341C">
        <w:t xml:space="preserve">Figure 15.1 is a simplified representation of the statutory child protection system. It depicts the common pathways through the statutory system and referrals to support services, which can take place at any point along the statutory service system. Children might or might not move sequentially along these pathways and in some instances children might move through these pathways quite rapidly (for example, </w:t>
      </w:r>
      <w:r w:rsidRPr="0006341C">
        <w:lastRenderedPageBreak/>
        <w:t>on the same day). There are a range of other services and programs which work to meet the needs of children and families that are not depicted in this diagram, including health, education and early childhood services.</w:t>
      </w:r>
    </w:p>
    <w:p w:rsidR="00AA6848" w:rsidRPr="0006341C" w:rsidRDefault="00AA6848" w:rsidP="00AA6848">
      <w:pPr>
        <w:pStyle w:val="FigureTitle"/>
      </w:pPr>
      <w:r w:rsidRPr="0006341C">
        <w:rPr>
          <w:b w:val="0"/>
        </w:rPr>
        <w:lastRenderedPageBreak/>
        <w:t xml:space="preserve">Figure </w:t>
      </w:r>
      <w:r w:rsidR="009F41E6" w:rsidRPr="0006341C">
        <w:rPr>
          <w:b w:val="0"/>
        </w:rPr>
        <w:t>15.1</w:t>
      </w:r>
      <w:r w:rsidRPr="0006341C">
        <w:tab/>
        <w:t>The child protection service</w:t>
      </w:r>
      <w:r w:rsidRPr="0006341C">
        <w:rPr>
          <w:rStyle w:val="NoteLabel"/>
          <w:b/>
        </w:rPr>
        <w:t>a, b, c,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A6848" w:rsidRPr="0006341C" w:rsidTr="00331FA8">
        <w:tc>
          <w:tcPr>
            <w:tcW w:w="8777" w:type="dxa"/>
          </w:tcPr>
          <w:p w:rsidR="00AA6848" w:rsidRPr="0006341C" w:rsidRDefault="00AA6848" w:rsidP="00331FA8">
            <w:pPr>
              <w:pStyle w:val="Figure"/>
            </w:pPr>
            <w:r w:rsidRPr="0006341C">
              <w:rPr>
                <w:noProof/>
              </w:rPr>
              <w:drawing>
                <wp:inline distT="0" distB="0" distL="0" distR="0" wp14:anchorId="47C20195" wp14:editId="78C3984D">
                  <wp:extent cx="5560235" cy="5705475"/>
                  <wp:effectExtent l="0" t="0" r="2540" b="0"/>
                  <wp:docPr id="2" name="Picture 2" descr="Figure 15.1 The child protection servi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4301" cy="5709648"/>
                          </a:xfrm>
                          <a:prstGeom prst="rect">
                            <a:avLst/>
                          </a:prstGeom>
                          <a:noFill/>
                          <a:ln>
                            <a:noFill/>
                          </a:ln>
                        </pic:spPr>
                      </pic:pic>
                    </a:graphicData>
                  </a:graphic>
                </wp:inline>
              </w:drawing>
            </w:r>
          </w:p>
        </w:tc>
      </w:tr>
    </w:tbl>
    <w:p w:rsidR="00AA6848" w:rsidRPr="0006341C" w:rsidRDefault="00AA6848" w:rsidP="00AA6848">
      <w:pPr>
        <w:pStyle w:val="Note"/>
      </w:pPr>
      <w:r w:rsidRPr="0006341C">
        <w:rPr>
          <w:rStyle w:val="NoteLabel"/>
        </w:rPr>
        <w:t>a</w:t>
      </w:r>
      <w:r w:rsidRPr="0006341C">
        <w:sym w:font="Symbol" w:char="F020"/>
      </w:r>
      <w:r w:rsidRPr="0006341C">
        <w:t xml:space="preserve">Dashed lines indicate that clients may or may not receive these services, depending on need, service availability, and client willingness to participate in what are voluntary services. </w:t>
      </w:r>
      <w:r w:rsidRPr="0006341C">
        <w:rPr>
          <w:rStyle w:val="NoteLabel"/>
        </w:rPr>
        <w:t>b</w:t>
      </w:r>
      <w:r w:rsidRPr="0006341C">
        <w:t xml:space="preserve"> Support services include family preservation and reunification services provided by government departments responsible for child protection and other agencies. Children and families move in and out of these services and the statutory child protection system, and might also be in the statutory child protection system while receiving support services. </w:t>
      </w:r>
      <w:r w:rsidRPr="0006341C">
        <w:rPr>
          <w:rStyle w:val="NoteLabel"/>
        </w:rPr>
        <w:t>c</w:t>
      </w:r>
      <w:r w:rsidRPr="0006341C">
        <w:t xml:space="preserve"> Shaded boxes are those for which data are available. </w:t>
      </w:r>
      <w:r w:rsidRPr="0006341C">
        <w:rPr>
          <w:rStyle w:val="NoteLabel"/>
        </w:rPr>
        <w:t>d</w:t>
      </w:r>
      <w:r w:rsidRPr="0006341C">
        <w:t xml:space="preserve"> AG = Activity Group. </w:t>
      </w:r>
      <w:r w:rsidRPr="0006341C">
        <w:rPr>
          <w:rStyle w:val="NoteLabel"/>
        </w:rPr>
        <w:t>e</w:t>
      </w:r>
      <w:r w:rsidRPr="0006341C">
        <w:t xml:space="preserve"> AG1 = Receipt and assessment of initial information about a potential protection and support issue; AG2 = Provision of generic family support services; AG3 = Provision of intensive family support services; AG4 = Secondary information gathering and assessment; AG5 = Provision of short term protective intervention and coordination services for children not on an order; AG6 = Seeking an order; AG7 = Provision of protective intervention, support and coordination services for children on an order; AG8 = Provision of out</w:t>
      </w:r>
      <w:r w:rsidRPr="0006341C">
        <w:noBreakHyphen/>
        <w:t>of</w:t>
      </w:r>
      <w:r w:rsidRPr="0006341C">
        <w:noBreakHyphen/>
        <w:t>home care services.</w:t>
      </w:r>
    </w:p>
    <w:p w:rsidR="00AA6848" w:rsidRPr="0006341C" w:rsidRDefault="00AA6848" w:rsidP="00AA6848">
      <w:pPr>
        <w:pStyle w:val="Source"/>
      </w:pPr>
      <w:r w:rsidRPr="0006341C">
        <w:rPr>
          <w:i/>
        </w:rPr>
        <w:t>Source</w:t>
      </w:r>
      <w:r w:rsidRPr="0006341C">
        <w:t>: State and Territory governments (unpublished); 2013 Report, figure 15.1, p. 15.11.</w:t>
      </w:r>
    </w:p>
    <w:p w:rsidR="00AB1DAE" w:rsidRPr="0006341C" w:rsidRDefault="00AB1DAE" w:rsidP="00AB1DAE">
      <w:pPr>
        <w:keepNext/>
        <w:spacing w:before="480" w:line="320" w:lineRule="exact"/>
        <w:outlineLvl w:val="3"/>
        <w:rPr>
          <w:rFonts w:ascii="Arial" w:hAnsi="Arial"/>
          <w:i/>
          <w:sz w:val="24"/>
          <w:szCs w:val="20"/>
        </w:rPr>
      </w:pPr>
      <w:bookmarkStart w:id="49" w:name="_Toc320770813"/>
      <w:bookmarkStart w:id="50" w:name="_Toc348449356"/>
      <w:bookmarkStart w:id="51" w:name="_Toc348952908"/>
      <w:bookmarkStart w:id="52" w:name="_Toc351361349"/>
      <w:bookmarkEnd w:id="39"/>
      <w:bookmarkEnd w:id="40"/>
      <w:r w:rsidRPr="0006341C">
        <w:rPr>
          <w:rFonts w:ascii="Arial" w:hAnsi="Arial"/>
          <w:i/>
          <w:sz w:val="24"/>
          <w:szCs w:val="20"/>
        </w:rPr>
        <w:lastRenderedPageBreak/>
        <w:t>Notification</w:t>
      </w:r>
      <w:bookmarkEnd w:id="49"/>
      <w:bookmarkEnd w:id="50"/>
      <w:bookmarkEnd w:id="51"/>
      <w:bookmarkEnd w:id="52"/>
    </w:p>
    <w:p w:rsidR="00AA6848" w:rsidRPr="0006341C" w:rsidRDefault="00AA6848" w:rsidP="00AA6848">
      <w:pPr>
        <w:pStyle w:val="BodyText"/>
      </w:pPr>
      <w:bookmarkStart w:id="53" w:name="_Toc320770814"/>
      <w:bookmarkStart w:id="54" w:name="_Toc348449357"/>
      <w:r w:rsidRPr="0006341C">
        <w:t>Notifications are reports lodged by members of the community with the appropriate statutory child protection department to signify that they have reason to believe that a child is in need of protection. Depending on the circumstances, not all reports received by child protection departments will be recorded as notifications. Most jurisdictions assess incoming reports to determine whether they meet the threshold for recording a notification. Where, for example, a determination is made that the alleged behaviour does not meet the definition of a child in need of protection, a child concern report or equivalent might be recorded instead. If the alleged behaviour does not meet the threshold for recording a notification or a child concern report, the person reporting the matter might be provided with ge</w:t>
      </w:r>
      <w:r w:rsidR="0007163D" w:rsidRPr="0006341C">
        <w:t>neral advice and/or a referral.</w:t>
      </w:r>
    </w:p>
    <w:p w:rsidR="00AA6848" w:rsidRPr="0006341C" w:rsidRDefault="00AA6848" w:rsidP="00AA6848">
      <w:pPr>
        <w:pStyle w:val="BodyText"/>
      </w:pPr>
      <w:r w:rsidRPr="0006341C">
        <w:t>Jurisdictions count notifications at different points in the response to a report, ranging from the point of initial contact with the source of the report to the end of a screening and decision making process. This means the number of notifications is not strictly comparable across jurisdictions. Notifications are subsequently investigated based on the policies and practices in each jurisdiction (figure 15.1).</w:t>
      </w:r>
    </w:p>
    <w:p w:rsidR="00AA6848" w:rsidRPr="0006341C" w:rsidRDefault="00AA6848" w:rsidP="00AA6848">
      <w:pPr>
        <w:pStyle w:val="BodyText"/>
      </w:pPr>
      <w:r w:rsidRPr="0006341C">
        <w:t xml:space="preserve">Prior to 2009-10, the rates of children subject to notifications, investigations and substantiations were calculated for children aged 0–16 years, while the rates of children on care and protection orders and in out-of-home care were calculated for children aged 0–17 years. From the 2009-10 period onwards, all child protection data are reported for the age range 0–17 years. </w:t>
      </w:r>
    </w:p>
    <w:p w:rsidR="00AA6848" w:rsidRPr="0006341C" w:rsidRDefault="00AA6848" w:rsidP="00AA6848">
      <w:pPr>
        <w:pStyle w:val="BodyText"/>
      </w:pPr>
      <w:r w:rsidRPr="0006341C">
        <w:t>Nationally, 173 502 children aged 0–17 years were the subject of child protection notifications in 2011-12. The rate of notifications per 1000 children in the population aged 0–17 years was 34.0 in 2011-12 (table 15A.8). The total number of notifications for each jurisdiction for 2011-12 (including cases where a child was the subject of more than one child protection notification) by Indigenous status of the child is reported in table 15A.5.</w:t>
      </w:r>
    </w:p>
    <w:p w:rsidR="00AA6848" w:rsidRPr="0006341C" w:rsidRDefault="00AA6848" w:rsidP="00AA6848">
      <w:pPr>
        <w:pStyle w:val="BodyText"/>
      </w:pPr>
      <w:r w:rsidRPr="0006341C">
        <w:t>Notifications data are collected early in the child protection process and often before an agency has full knowledge of a child’s circumstances. This lack of information and the inherent difficulties in identifying Indigenous status mean that data on the number of notifications by Indigenous status need to be interpreted with care.</w:t>
      </w:r>
    </w:p>
    <w:p w:rsidR="00AB1DAE" w:rsidRPr="0006341C" w:rsidRDefault="00AB1DAE" w:rsidP="00AB1DAE">
      <w:pPr>
        <w:keepNext/>
        <w:spacing w:before="480" w:line="320" w:lineRule="exact"/>
        <w:outlineLvl w:val="3"/>
        <w:rPr>
          <w:rFonts w:ascii="Arial" w:hAnsi="Arial"/>
          <w:i/>
          <w:sz w:val="24"/>
          <w:szCs w:val="20"/>
        </w:rPr>
      </w:pPr>
      <w:bookmarkStart w:id="55" w:name="_Toc348952909"/>
      <w:bookmarkStart w:id="56" w:name="_Toc351361350"/>
      <w:r w:rsidRPr="0006341C">
        <w:rPr>
          <w:rFonts w:ascii="Arial" w:hAnsi="Arial"/>
          <w:i/>
          <w:sz w:val="24"/>
          <w:szCs w:val="20"/>
        </w:rPr>
        <w:lastRenderedPageBreak/>
        <w:t>Investigation</w:t>
      </w:r>
      <w:bookmarkEnd w:id="53"/>
      <w:bookmarkEnd w:id="54"/>
      <w:bookmarkEnd w:id="55"/>
      <w:bookmarkEnd w:id="56"/>
    </w:p>
    <w:p w:rsidR="0007163D" w:rsidRPr="0006341C" w:rsidRDefault="0007163D" w:rsidP="0007163D">
      <w:pPr>
        <w:pStyle w:val="BodyText"/>
      </w:pPr>
      <w:bookmarkStart w:id="57" w:name="_Toc320770815"/>
      <w:bookmarkStart w:id="58" w:name="_Toc348449358"/>
      <w:r w:rsidRPr="0006341C">
        <w:t>An investigation is the process whereby the relevant department obtains more detailed information about a child who is the subject of a notification and makes an assessment about the harm or risk of harm to the child, and his or her protective needs. Not all notifications are investigated in all jurisdictions. For example, if a determination is made that a child and family are better served by family support services rather than a child protection response, children and families might be referred to diversionary and support services. Once it has been decided that an investigation is required, the investigation process is similar across jurisdictions.</w:t>
      </w:r>
    </w:p>
    <w:p w:rsidR="0007163D" w:rsidRPr="0006341C" w:rsidRDefault="0007163D" w:rsidP="0007163D">
      <w:pPr>
        <w:pStyle w:val="BodyText"/>
      </w:pPr>
      <w:r w:rsidRPr="0006341C">
        <w:t>The department responsible for child protection may obtain further information about the child and his or her family by checking information systems for any previous history, undertaking discussion with agencies and individuals, interviewing/sighting the child and/or interviewing the caregivers/parents. At a minimum, the child is sighted whenever practicable, and the child’s circumstances and needs are assessed. Where possible, an investigation determines whether a notification is substantiated or not substantiated.</w:t>
      </w:r>
    </w:p>
    <w:p w:rsidR="0007163D" w:rsidRPr="0006341C" w:rsidRDefault="0007163D" w:rsidP="0007163D">
      <w:pPr>
        <w:pStyle w:val="BodyText"/>
      </w:pPr>
      <w:r w:rsidRPr="0006341C">
        <w:t>Nationally, 82 401 children aged 0–17 years who were the subject of a notification in 2011-12 were subsequently the subject of an investigation in 2011-12 (table 15A.8). The rate per 1000 children in the population aged 0–17 years was 16.2 in 2011-12 (table 15A.8). The total number of notifications investigated for each jurisdiction in 2011-12, by Indigenous status, is reported in table 15A.5.</w:t>
      </w:r>
    </w:p>
    <w:p w:rsidR="00AB1DAE" w:rsidRPr="0006341C" w:rsidRDefault="00AB1DAE" w:rsidP="00AB1DAE">
      <w:pPr>
        <w:keepNext/>
        <w:spacing w:before="480" w:line="320" w:lineRule="exact"/>
        <w:outlineLvl w:val="3"/>
        <w:rPr>
          <w:rFonts w:ascii="Arial" w:hAnsi="Arial"/>
          <w:i/>
          <w:sz w:val="24"/>
          <w:szCs w:val="20"/>
        </w:rPr>
      </w:pPr>
      <w:bookmarkStart w:id="59" w:name="_Toc348952910"/>
      <w:bookmarkStart w:id="60" w:name="_Toc351361351"/>
      <w:r w:rsidRPr="0006341C">
        <w:rPr>
          <w:rFonts w:ascii="Arial" w:hAnsi="Arial"/>
          <w:i/>
          <w:sz w:val="24"/>
          <w:szCs w:val="20"/>
        </w:rPr>
        <w:t>Substantiation</w:t>
      </w:r>
      <w:bookmarkEnd w:id="57"/>
      <w:bookmarkEnd w:id="58"/>
      <w:bookmarkEnd w:id="59"/>
      <w:bookmarkEnd w:id="60"/>
    </w:p>
    <w:p w:rsidR="0007163D" w:rsidRPr="0006341C" w:rsidRDefault="0007163D" w:rsidP="0007163D">
      <w:pPr>
        <w:pStyle w:val="BodyText"/>
      </w:pPr>
      <w:bookmarkStart w:id="61" w:name="_Toc320770816"/>
      <w:bookmarkStart w:id="62" w:name="_Toc348449359"/>
      <w:r w:rsidRPr="0006341C">
        <w:t>The legal definition of harm or risk of harm, abuse or risk of abuse are similar across jurisdictions. Traditionally, child protection legislation and policy focused on the identification and investigation of narrowly defined incidents that were broadly grouped as types of abuse or neglect. Across all jurisdictions, the focus has now shifted away from the actions of parents and guardians, toward the desired outcomes for the child, the identification and investigation of actual and/or likely harm or risk to the child, and the child’s needs. While the legal criteria for substantiating such matters are now similar across jurisdictions, there remain some differences in practice, including different thresholds for recording a substantiation related to risk of harm.</w:t>
      </w:r>
    </w:p>
    <w:p w:rsidR="0007163D" w:rsidRPr="0006341C" w:rsidRDefault="0007163D" w:rsidP="0007163D">
      <w:pPr>
        <w:pStyle w:val="BodyText"/>
      </w:pPr>
      <w:r w:rsidRPr="0006341C">
        <w:t>If an investigation results in a substantiation, intervention by child protection services might be needed to protect the child. This intervention can take a number of forms, including one or more of: referral to other services; supervision and support; an application to court; and a placement in out-of-home care.</w:t>
      </w:r>
    </w:p>
    <w:p w:rsidR="0007163D" w:rsidRPr="0006341C" w:rsidRDefault="0007163D" w:rsidP="0007163D">
      <w:pPr>
        <w:pStyle w:val="BodyText"/>
      </w:pPr>
      <w:r w:rsidRPr="0006341C">
        <w:lastRenderedPageBreak/>
        <w:t>Nationally, 37 781 children aged 0–17 years were the subject of a substantiation in 2011-12. The rate of children who were the subject of a substantiation per 1000 children in the population aged 0–17 years was 7.4 (table 15A.8). The number and rate of children who were the subject of a substantiation has fluctuated within jurisdictions since 2007-08. Nationally, 31 915 children aged 0–16 were the subject of a substantiation in 2007-08. This represented a rate of 6.8 per 1000 children in the population aged 0–16 years (prior to 2009-10, substantiations data were collected for children aged 0–16 years) (table 15A.8).</w:t>
      </w:r>
    </w:p>
    <w:p w:rsidR="0007163D" w:rsidRPr="0006341C" w:rsidRDefault="0007163D" w:rsidP="0007163D">
      <w:pPr>
        <w:pStyle w:val="BodyText"/>
      </w:pPr>
      <w:r w:rsidRPr="0006341C">
        <w:t>Nationally, 10 058 Indigenous children, 26 183 non-Indigenous children and 1540 children of unknown Indigenous status were the subject of substantiations in 2011-12. The rate of children who were the subject of a substantiation per 1000 children in the target population aged 0–17 years was 41.9 for Indigenous children and 5.4 for non</w:t>
      </w:r>
      <w:r w:rsidRPr="0006341C">
        <w:noBreakHyphen/>
        <w:t>Indigenous children (table 15A.8).</w:t>
      </w:r>
    </w:p>
    <w:p w:rsidR="00AB1DAE" w:rsidRPr="0006341C" w:rsidRDefault="00AB1DAE" w:rsidP="00AB1DAE">
      <w:pPr>
        <w:keepNext/>
        <w:spacing w:before="480" w:line="320" w:lineRule="exact"/>
        <w:outlineLvl w:val="3"/>
        <w:rPr>
          <w:rFonts w:ascii="Arial" w:hAnsi="Arial"/>
          <w:i/>
          <w:sz w:val="24"/>
          <w:szCs w:val="20"/>
        </w:rPr>
      </w:pPr>
      <w:bookmarkStart w:id="63" w:name="_Toc348952911"/>
      <w:bookmarkStart w:id="64" w:name="_Toc351361352"/>
      <w:r w:rsidRPr="0006341C">
        <w:rPr>
          <w:rFonts w:ascii="Arial" w:hAnsi="Arial"/>
          <w:i/>
          <w:sz w:val="24"/>
          <w:szCs w:val="20"/>
        </w:rPr>
        <w:t>Care and protection orders</w:t>
      </w:r>
      <w:bookmarkEnd w:id="61"/>
      <w:bookmarkEnd w:id="62"/>
      <w:bookmarkEnd w:id="63"/>
      <w:bookmarkEnd w:id="64"/>
    </w:p>
    <w:p w:rsidR="0007163D" w:rsidRPr="0006341C" w:rsidRDefault="0007163D" w:rsidP="0007163D">
      <w:pPr>
        <w:pStyle w:val="BodyText"/>
      </w:pPr>
      <w:bookmarkStart w:id="65" w:name="_Toc320770817"/>
      <w:bookmarkStart w:id="66" w:name="_Toc348449360"/>
      <w:r w:rsidRPr="0006341C">
        <w:t>Although child protection substantiations are often resolved without the need for a court order (which is usually a last resort) recourse to a court may take place at any point in the child protection investigation process. The types of orders available vary across jurisdictions and may include finalised guardianship or custody orders, finalised supervisory orders, and interim and temporary orders.</w:t>
      </w:r>
    </w:p>
    <w:p w:rsidR="0007163D" w:rsidRPr="0006341C" w:rsidRDefault="0007163D" w:rsidP="0007163D">
      <w:pPr>
        <w:pStyle w:val="BodyText"/>
      </w:pPr>
      <w:r w:rsidRPr="0006341C">
        <w:t>Nationally, 40 962 children aged 0–17 years were on care and protection orders at 30 June 2012. The rate of children on care and protection orders per 1000 children in the population aged 0–17 years was 8.0 (table 15A.8). The number and rate of children aged 0–17 years who were the subject of a care and protection order has increased since 2008. At 30 June 2008, 32 642 children were the subject of a care and protection order, which represented a rate of 6.6 per 1000 children in the population aged 0–17 years (table 15A.8).</w:t>
      </w:r>
    </w:p>
    <w:p w:rsidR="0007163D" w:rsidRPr="0006341C" w:rsidRDefault="0007163D" w:rsidP="0007163D">
      <w:pPr>
        <w:pStyle w:val="BodyText"/>
      </w:pPr>
      <w:r w:rsidRPr="0006341C">
        <w:t>Nationally, 13 268 Indigenous, 27 531 non-Indigenous and 163 children of unknown Indigenous status were on care and protection orders at 30 June 2012. The rate of children on care and protection orders per 1000 children in the target population aged 0–17 years was 54.9 for Indigenous children and 5.6 for non</w:t>
      </w:r>
      <w:r w:rsidRPr="0006341C">
        <w:noBreakHyphen/>
        <w:t>Indigenous children (table 15A.8).</w:t>
      </w:r>
    </w:p>
    <w:p w:rsidR="0007163D" w:rsidRPr="0006341C" w:rsidRDefault="0007163D" w:rsidP="0007163D">
      <w:pPr>
        <w:pStyle w:val="BodyText"/>
      </w:pPr>
      <w:r w:rsidRPr="0006341C">
        <w:t>Further information regarding children on care and protection orders is included in the attachment tables. Table 15A.6 identifies the number of children admitted to and discharged from care and protection orders by Indigenous status in 2011-12. Table 15A.7 identifies the number of children on care and protection orders by type of order and Indigenous status at 30 June 2012.</w:t>
      </w:r>
    </w:p>
    <w:p w:rsidR="00AB1DAE" w:rsidRPr="0006341C" w:rsidRDefault="00AB1DAE" w:rsidP="00AB1DAE">
      <w:pPr>
        <w:keepNext/>
        <w:spacing w:before="480" w:line="320" w:lineRule="exact"/>
        <w:outlineLvl w:val="3"/>
        <w:rPr>
          <w:rFonts w:ascii="Arial" w:hAnsi="Arial"/>
          <w:i/>
          <w:sz w:val="24"/>
          <w:szCs w:val="20"/>
        </w:rPr>
      </w:pPr>
      <w:bookmarkStart w:id="67" w:name="_Toc348952912"/>
      <w:bookmarkStart w:id="68" w:name="_Toc351361353"/>
      <w:r w:rsidRPr="0006341C">
        <w:rPr>
          <w:rFonts w:ascii="Arial" w:hAnsi="Arial"/>
          <w:i/>
          <w:sz w:val="24"/>
          <w:szCs w:val="20"/>
        </w:rPr>
        <w:lastRenderedPageBreak/>
        <w:t>Out-of-home care</w:t>
      </w:r>
      <w:bookmarkEnd w:id="65"/>
      <w:bookmarkEnd w:id="66"/>
      <w:bookmarkEnd w:id="67"/>
      <w:bookmarkEnd w:id="68"/>
    </w:p>
    <w:p w:rsidR="005D46C2" w:rsidRPr="0006341C" w:rsidRDefault="005D46C2" w:rsidP="005D46C2">
      <w:pPr>
        <w:pStyle w:val="BodyText"/>
        <w:rPr>
          <w:rStyle w:val="DraftingNote"/>
          <w:color w:val="auto"/>
        </w:rPr>
      </w:pPr>
      <w:bookmarkStart w:id="69" w:name="_Toc290291983"/>
      <w:bookmarkStart w:id="70" w:name="_Toc320770818"/>
      <w:bookmarkStart w:id="71" w:name="_Toc348449361"/>
      <w:r w:rsidRPr="0006341C">
        <w:t>Out-of-home care is one of a range of services provided to children and families where there is a need to provide safe care for a child. Children are placed in out</w:t>
      </w:r>
      <w:r w:rsidRPr="0006341C">
        <w:noBreakHyphen/>
        <w:t>of</w:t>
      </w:r>
      <w:r w:rsidRPr="0006341C">
        <w:noBreakHyphen/>
        <w:t>home care as a last resort when it is not in their best interests to remain with their family (for example, because there is no one to provide care). Where children are placed in out-of-home care, placement with the extended family or community is sought where possible, particularly in the case of Indigenous children (AIHW 2006). Continued emphasis is placed on improving case planning and case management processes to facilitate the safe return home of children in out-of-home care and to maximise case workers’ contact time with children and families.</w:t>
      </w:r>
    </w:p>
    <w:p w:rsidR="005D46C2" w:rsidRPr="0006341C" w:rsidRDefault="005D46C2" w:rsidP="005D46C2">
      <w:pPr>
        <w:pStyle w:val="BodyText"/>
      </w:pPr>
      <w:r w:rsidRPr="0006341C">
        <w:t>Nationally, 39 621 children were in out-of-home care at 30 June 2012. The rate of children in out-of-home care per 1000 children in the population aged 0–17 years was 7.7 (table 15A.17). The number and rate of children aged 0–17 years in out</w:t>
      </w:r>
      <w:r w:rsidRPr="0006341C">
        <w:noBreakHyphen/>
        <w:t>of</w:t>
      </w:r>
      <w:r w:rsidRPr="0006341C">
        <w:noBreakHyphen/>
        <w:t>home care has increased since 2008. At 30 June 2008, 31 166 children were in out-of-home care. This represented a rate of 6.3 per 1000 children in the population aged 0–17 years (table 15A.17).</w:t>
      </w:r>
    </w:p>
    <w:p w:rsidR="005D46C2" w:rsidRPr="0006341C" w:rsidRDefault="005D46C2" w:rsidP="005D46C2">
      <w:pPr>
        <w:pStyle w:val="BodyText"/>
      </w:pPr>
      <w:r w:rsidRPr="0006341C">
        <w:t>Nationally, 13 299 Indigenous children and 26 127 non-Indigenous children were in out-of-home care at 30 June 2012. The rate of children in out-of-home care per 1000 children in the target population aged 0–17 years was 55.1 for Indigenous children and 5.4 for non-Indigenous children (table 15A.17).</w:t>
      </w:r>
    </w:p>
    <w:p w:rsidR="005D46C2" w:rsidRPr="0006341C" w:rsidRDefault="005D46C2" w:rsidP="005D46C2">
      <w:pPr>
        <w:pStyle w:val="BodyText"/>
      </w:pPr>
      <w:r w:rsidRPr="0006341C">
        <w:t>Further information on children in out-of-home care is included in the attachment tables. Table 15A.18 identifies the number of children in out-of-home care by Indigenous status and placement type at 30 June 2012. Table 15A.19 identifies the number of children in out-of-home care by Indigenous status and whether they were on a care and protection order at 30 June 2012. Table 15A.20 identifies the number of children in out-of-home care by Indigenous status and length of time in continuous out-of-home care as at 30 June 2012. Table 15A.21 identifies the number of children who exited care during 2011-12, by Indigenous status and length of time spent in care.</w:t>
      </w:r>
    </w:p>
    <w:p w:rsidR="00AB1DAE" w:rsidRPr="0006341C" w:rsidRDefault="00AB1DAE" w:rsidP="00AB1DAE">
      <w:pPr>
        <w:keepNext/>
        <w:spacing w:before="480" w:line="320" w:lineRule="exact"/>
        <w:outlineLvl w:val="3"/>
        <w:rPr>
          <w:rFonts w:ascii="Arial" w:hAnsi="Arial"/>
          <w:b/>
          <w:szCs w:val="26"/>
        </w:rPr>
      </w:pPr>
      <w:bookmarkStart w:id="72" w:name="_Toc348952913"/>
      <w:bookmarkStart w:id="73" w:name="_Toc351361354"/>
      <w:r w:rsidRPr="0006341C">
        <w:rPr>
          <w:rFonts w:ascii="Arial" w:hAnsi="Arial"/>
          <w:b/>
          <w:szCs w:val="26"/>
        </w:rPr>
        <w:t>Framework of performance indi</w:t>
      </w:r>
      <w:r w:rsidR="00CB434C">
        <w:rPr>
          <w:rFonts w:ascii="Arial" w:hAnsi="Arial"/>
          <w:b/>
          <w:szCs w:val="26"/>
        </w:rPr>
        <w:t>cators for child protection and</w:t>
      </w:r>
      <w:r w:rsidR="00914EEF">
        <w:rPr>
          <w:rFonts w:ascii="Arial" w:hAnsi="Arial"/>
          <w:b/>
          <w:szCs w:val="26"/>
        </w:rPr>
        <w:t xml:space="preserve"> </w:t>
      </w:r>
      <w:r w:rsidRPr="0006341C">
        <w:rPr>
          <w:rFonts w:ascii="Arial" w:hAnsi="Arial"/>
          <w:b/>
          <w:szCs w:val="26"/>
        </w:rPr>
        <w:br/>
        <w:t>out-of-home care services</w:t>
      </w:r>
      <w:bookmarkEnd w:id="69"/>
      <w:bookmarkEnd w:id="70"/>
      <w:bookmarkEnd w:id="71"/>
      <w:bookmarkEnd w:id="72"/>
      <w:bookmarkEnd w:id="73"/>
    </w:p>
    <w:p w:rsidR="00AB1DAE" w:rsidRPr="00BE7E13" w:rsidRDefault="00AB1DAE" w:rsidP="00AB1DAE">
      <w:pPr>
        <w:spacing w:before="240" w:line="320" w:lineRule="atLeast"/>
        <w:jc w:val="both"/>
        <w:rPr>
          <w:szCs w:val="20"/>
        </w:rPr>
      </w:pPr>
      <w:r w:rsidRPr="0006341C">
        <w:rPr>
          <w:szCs w:val="20"/>
        </w:rPr>
        <w:t xml:space="preserve">The Child protection and out-of-home care services performance indicator </w:t>
      </w:r>
      <w:r w:rsidRPr="00BE7E13">
        <w:rPr>
          <w:szCs w:val="20"/>
        </w:rPr>
        <w:t xml:space="preserve">framework outlined in figure 15.2 identifies the principal child protection and </w:t>
      </w:r>
      <w:r w:rsidRPr="00BE7E13">
        <w:rPr>
          <w:szCs w:val="20"/>
        </w:rPr>
        <w:br/>
        <w:t>out-of-home care services activity areas considered in the 201</w:t>
      </w:r>
      <w:r w:rsidR="00132146" w:rsidRPr="00BE7E13">
        <w:rPr>
          <w:szCs w:val="20"/>
        </w:rPr>
        <w:t>3</w:t>
      </w:r>
      <w:r w:rsidRPr="00BE7E13">
        <w:rPr>
          <w:szCs w:val="20"/>
        </w:rPr>
        <w:t xml:space="preserve"> Report. Data for Indigenous </w:t>
      </w:r>
      <w:r w:rsidR="00C7471F" w:rsidRPr="00BE7E13">
        <w:rPr>
          <w:szCs w:val="20"/>
        </w:rPr>
        <w:t>people</w:t>
      </w:r>
      <w:r w:rsidRPr="00BE7E13">
        <w:rPr>
          <w:szCs w:val="20"/>
        </w:rPr>
        <w:t xml:space="preserve"> are reported for a subset of the performance indicators and are presented here. It is important to interpret these data in the context of the broader </w:t>
      </w:r>
      <w:r w:rsidRPr="00BE7E13">
        <w:rPr>
          <w:szCs w:val="20"/>
        </w:rPr>
        <w:lastRenderedPageBreak/>
        <w:t>performance indicator framework. The framework shows which data are comparable. For data that are not considered directly comparable, the text includes relevant caveats and supporting commentary.</w:t>
      </w:r>
    </w:p>
    <w:p w:rsidR="00AB1DAE" w:rsidRPr="00BE7E13" w:rsidRDefault="00AB1DAE" w:rsidP="00AB1DAE">
      <w:pPr>
        <w:spacing w:before="240" w:line="320" w:lineRule="atLeast"/>
        <w:jc w:val="both"/>
        <w:rPr>
          <w:szCs w:val="20"/>
        </w:rPr>
      </w:pPr>
      <w:r w:rsidRPr="00BE7E13">
        <w:rPr>
          <w:szCs w:val="20"/>
        </w:rPr>
        <w:t>Indicator boxes presented throughout the chapter provide information about the reported indicators. As these are sourced directly from the 201</w:t>
      </w:r>
      <w:r w:rsidR="00132146" w:rsidRPr="00BE7E13">
        <w:rPr>
          <w:szCs w:val="20"/>
        </w:rPr>
        <w:t>3</w:t>
      </w:r>
      <w:r w:rsidRPr="00BE7E13">
        <w:rPr>
          <w:szCs w:val="20"/>
        </w:rPr>
        <w:t xml:space="preserve"> Report, they may include references to data not reported for Indigenous </w:t>
      </w:r>
      <w:r w:rsidR="00C7471F" w:rsidRPr="00BE7E13">
        <w:rPr>
          <w:szCs w:val="20"/>
        </w:rPr>
        <w:t>people</w:t>
      </w:r>
      <w:r w:rsidRPr="00BE7E13">
        <w:rPr>
          <w:szCs w:val="20"/>
        </w:rPr>
        <w:t xml:space="preserve"> and therefore not included in this Compendium.</w:t>
      </w:r>
    </w:p>
    <w:p w:rsidR="003615E0" w:rsidRPr="00BE7E13" w:rsidRDefault="003615E0" w:rsidP="00AB1DAE">
      <w:pPr>
        <w:spacing w:before="240" w:line="320" w:lineRule="atLeast"/>
        <w:jc w:val="both"/>
        <w:rPr>
          <w:szCs w:val="20"/>
        </w:rPr>
      </w:pPr>
      <w:r w:rsidRPr="00BE7E13">
        <w:t>The Report’s statistical appendix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(appendix A).</w:t>
      </w:r>
    </w:p>
    <w:p w:rsidR="00D171E7" w:rsidRPr="00BE7E13" w:rsidRDefault="00D171E7" w:rsidP="00D171E7">
      <w:pPr>
        <w:pStyle w:val="FigureTitle"/>
        <w:rPr>
          <w:rStyle w:val="DraftingNote"/>
          <w:color w:val="auto"/>
        </w:rPr>
      </w:pPr>
      <w:r w:rsidRPr="00BE7E13">
        <w:rPr>
          <w:b w:val="0"/>
        </w:rPr>
        <w:lastRenderedPageBreak/>
        <w:t xml:space="preserve">Figure </w:t>
      </w:r>
      <w:r w:rsidR="009F41E6" w:rsidRPr="00BE7E13">
        <w:rPr>
          <w:b w:val="0"/>
        </w:rPr>
        <w:t>15.2</w:t>
      </w:r>
      <w:r w:rsidRPr="00BE7E13">
        <w:tab/>
        <w:t>Child protection and out-of-home care services performance indicator framework</w:t>
      </w:r>
    </w:p>
    <w:tbl>
      <w:tblPr>
        <w:tblpPr w:leftFromText="180" w:rightFromText="180" w:vertAnchor="text" w:horzAnchor="margin" w:tblpY="157"/>
        <w:tblW w:w="0" w:type="auto"/>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482"/>
      </w:tblGrid>
      <w:tr w:rsidR="00D171E7" w:rsidRPr="00BE7E13" w:rsidTr="00587B38">
        <w:trPr>
          <w:trHeight w:val="11889"/>
        </w:trPr>
        <w:tc>
          <w:tcPr>
            <w:tcW w:w="8482" w:type="dxa"/>
          </w:tcPr>
          <w:p w:rsidR="00D171E7" w:rsidRPr="00BE7E13" w:rsidRDefault="00D171E7" w:rsidP="00587B38">
            <w:pPr>
              <w:pStyle w:val="Figure"/>
            </w:pPr>
            <w:r w:rsidRPr="00BE7E13">
              <w:rPr>
                <w:noProof/>
              </w:rPr>
              <w:drawing>
                <wp:inline distT="0" distB="0" distL="0" distR="0" wp14:anchorId="02B6C6C0" wp14:editId="38F36222">
                  <wp:extent cx="5383763" cy="7449616"/>
                  <wp:effectExtent l="0" t="0" r="7620" b="0"/>
                  <wp:docPr id="9" name="Picture 9" descr="Figure 15.2 Child protection and out-of-home care services performance indicator framework&#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2319" cy="7461456"/>
                          </a:xfrm>
                          <a:prstGeom prst="rect">
                            <a:avLst/>
                          </a:prstGeom>
                          <a:noFill/>
                          <a:ln>
                            <a:noFill/>
                          </a:ln>
                        </pic:spPr>
                      </pic:pic>
                    </a:graphicData>
                  </a:graphic>
                </wp:inline>
              </w:drawing>
            </w:r>
          </w:p>
        </w:tc>
      </w:tr>
    </w:tbl>
    <w:p w:rsidR="00AB1DAE" w:rsidRPr="00BE7E13" w:rsidRDefault="00AB1DAE" w:rsidP="00AB1DAE">
      <w:pPr>
        <w:keepLines/>
        <w:spacing w:before="80" w:after="120" w:line="220" w:lineRule="exact"/>
        <w:jc w:val="both"/>
        <w:rPr>
          <w:rFonts w:ascii="Arial" w:hAnsi="Arial"/>
          <w:sz w:val="18"/>
          <w:szCs w:val="20"/>
        </w:rPr>
      </w:pPr>
      <w:r w:rsidRPr="00BE7E13">
        <w:rPr>
          <w:rFonts w:ascii="Arial" w:hAnsi="Arial"/>
          <w:i/>
          <w:sz w:val="18"/>
          <w:szCs w:val="20"/>
        </w:rPr>
        <w:t>Source</w:t>
      </w:r>
      <w:r w:rsidRPr="00BE7E13">
        <w:rPr>
          <w:rFonts w:ascii="Arial" w:hAnsi="Arial"/>
          <w:sz w:val="18"/>
          <w:szCs w:val="20"/>
        </w:rPr>
        <w:t>: 201</w:t>
      </w:r>
      <w:r w:rsidR="00D171E7" w:rsidRPr="00BE7E13">
        <w:rPr>
          <w:rFonts w:ascii="Arial" w:hAnsi="Arial"/>
          <w:sz w:val="18"/>
          <w:szCs w:val="20"/>
        </w:rPr>
        <w:t>3</w:t>
      </w:r>
      <w:r w:rsidR="00BF0BB5" w:rsidRPr="00BE7E13">
        <w:rPr>
          <w:rFonts w:ascii="Arial" w:hAnsi="Arial"/>
          <w:sz w:val="18"/>
          <w:szCs w:val="20"/>
        </w:rPr>
        <w:t> Report, figure 15.4, p. 15.19</w:t>
      </w:r>
      <w:r w:rsidRPr="00BE7E13">
        <w:rPr>
          <w:rFonts w:ascii="Arial" w:hAnsi="Arial"/>
          <w:sz w:val="18"/>
          <w:szCs w:val="20"/>
        </w:rPr>
        <w:t>.</w:t>
      </w:r>
    </w:p>
    <w:p w:rsidR="00BF0BB5" w:rsidRPr="00BE7E13" w:rsidRDefault="00BF0BB5" w:rsidP="00BF0BB5">
      <w:pPr>
        <w:keepNext/>
        <w:spacing w:before="560" w:line="320" w:lineRule="exact"/>
        <w:outlineLvl w:val="2"/>
        <w:rPr>
          <w:rFonts w:ascii="Arial" w:hAnsi="Arial"/>
          <w:b/>
          <w:szCs w:val="20"/>
        </w:rPr>
      </w:pPr>
      <w:bookmarkStart w:id="74" w:name="_Toc320770819"/>
      <w:bookmarkStart w:id="75" w:name="_Toc348952914"/>
      <w:bookmarkStart w:id="76" w:name="_Toc351361355"/>
      <w:bookmarkStart w:id="77" w:name="_Toc320770820"/>
      <w:bookmarkStart w:id="78" w:name="_Toc348449363"/>
      <w:r w:rsidRPr="00BE7E13">
        <w:rPr>
          <w:rFonts w:ascii="Arial" w:hAnsi="Arial"/>
          <w:b/>
          <w:szCs w:val="20"/>
        </w:rPr>
        <w:lastRenderedPageBreak/>
        <w:t>Child protection and out-of-home care services reporting for Indigenous</w:t>
      </w:r>
      <w:bookmarkEnd w:id="74"/>
      <w:bookmarkEnd w:id="75"/>
      <w:r w:rsidRPr="00BE7E13">
        <w:rPr>
          <w:rFonts w:ascii="Arial" w:hAnsi="Arial"/>
          <w:b/>
          <w:szCs w:val="20"/>
        </w:rPr>
        <w:t xml:space="preserve"> </w:t>
      </w:r>
      <w:r w:rsidR="00D6577A" w:rsidRPr="00BE7E13">
        <w:rPr>
          <w:rFonts w:ascii="Arial" w:hAnsi="Arial"/>
          <w:b/>
          <w:szCs w:val="20"/>
        </w:rPr>
        <w:t>Australians</w:t>
      </w:r>
      <w:bookmarkEnd w:id="76"/>
    </w:p>
    <w:p w:rsidR="00AB1DAE" w:rsidRPr="00BE7E13" w:rsidRDefault="00AB1DAE" w:rsidP="00AB1DAE">
      <w:pPr>
        <w:keepNext/>
        <w:spacing w:before="480" w:line="320" w:lineRule="exact"/>
        <w:outlineLvl w:val="3"/>
        <w:rPr>
          <w:rFonts w:ascii="Arial" w:hAnsi="Arial"/>
          <w:i/>
          <w:sz w:val="24"/>
          <w:szCs w:val="20"/>
        </w:rPr>
      </w:pPr>
      <w:bookmarkStart w:id="79" w:name="_Toc348952915"/>
      <w:bookmarkStart w:id="80" w:name="_Toc351361356"/>
      <w:r w:rsidRPr="00BE7E13">
        <w:rPr>
          <w:rFonts w:ascii="Arial" w:hAnsi="Arial"/>
          <w:i/>
          <w:sz w:val="24"/>
          <w:szCs w:val="20"/>
        </w:rPr>
        <w:t>Out-of-home care — children aged under 12 years in home-based care</w:t>
      </w:r>
      <w:bookmarkEnd w:id="77"/>
      <w:bookmarkEnd w:id="78"/>
      <w:bookmarkEnd w:id="79"/>
      <w:bookmarkEnd w:id="80"/>
    </w:p>
    <w:p w:rsidR="00BF0BB5" w:rsidRPr="00BE7E13" w:rsidRDefault="00BF0BB5" w:rsidP="00BF0BB5">
      <w:pPr>
        <w:pStyle w:val="BodyText"/>
      </w:pPr>
      <w:r w:rsidRPr="00BE7E13">
        <w:t xml:space="preserve">‘Children aged under 12 years in home-based care’ is an indicator of governments’ objective to provide services which meet the needs of recipients (box </w:t>
      </w:r>
      <w:r w:rsidR="00A72677" w:rsidRPr="00BE7E13">
        <w:t>15.2</w:t>
      </w:r>
      <w:r w:rsidRPr="00BE7E13">
        <w:t>).</w:t>
      </w:r>
    </w:p>
    <w:p w:rsidR="00D103EE" w:rsidRPr="00BE7E13" w:rsidRDefault="00D103EE" w:rsidP="00D103E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B1DAE" w:rsidRPr="00BE7E13" w:rsidTr="006877C0">
        <w:tc>
          <w:tcPr>
            <w:tcW w:w="8771" w:type="dxa"/>
            <w:tcBorders>
              <w:top w:val="single" w:sz="6" w:space="0" w:color="auto"/>
              <w:bottom w:val="nil"/>
            </w:tcBorders>
          </w:tcPr>
          <w:p w:rsidR="00AB1DAE" w:rsidRPr="00BE7E13" w:rsidRDefault="00A72677" w:rsidP="009552F0">
            <w:pPr>
              <w:pStyle w:val="BoxTitle"/>
              <w:rPr>
                <w:b w:val="0"/>
              </w:rPr>
            </w:pPr>
            <w:r w:rsidRPr="00BE7E13">
              <w:rPr>
                <w:b w:val="0"/>
              </w:rPr>
              <w:t xml:space="preserve">Box </w:t>
            </w:r>
            <w:r w:rsidR="009F41E6" w:rsidRPr="00BE7E13">
              <w:rPr>
                <w:b w:val="0"/>
              </w:rPr>
              <w:t>15.2</w:t>
            </w:r>
            <w:r w:rsidRPr="00BE7E13">
              <w:rPr>
                <w:b w:val="0"/>
              </w:rPr>
              <w:tab/>
            </w:r>
            <w:r w:rsidRPr="00BE7E13">
              <w:t>Children aged under 12 years in home-based care</w:t>
            </w:r>
          </w:p>
        </w:tc>
      </w:tr>
      <w:tr w:rsidR="00AB1DAE" w:rsidRPr="00BE7E13" w:rsidTr="006877C0">
        <w:trPr>
          <w:cantSplit/>
        </w:trPr>
        <w:tc>
          <w:tcPr>
            <w:tcW w:w="8771" w:type="dxa"/>
            <w:tcBorders>
              <w:top w:val="nil"/>
              <w:left w:val="single" w:sz="6" w:space="0" w:color="auto"/>
              <w:bottom w:val="nil"/>
              <w:right w:val="single" w:sz="6" w:space="0" w:color="auto"/>
            </w:tcBorders>
          </w:tcPr>
          <w:p w:rsidR="00A72677" w:rsidRPr="00BE7E13" w:rsidRDefault="00A72677" w:rsidP="00A72677">
            <w:pPr>
              <w:pStyle w:val="Box"/>
            </w:pPr>
            <w:r w:rsidRPr="00BE7E13">
              <w:t>‘Children aged under 12 years in home-based care’ is defined as the number of children aged under 12 years placed in home-based care divided by the total number of children aged under 12 years in out-of-home care.</w:t>
            </w:r>
          </w:p>
          <w:p w:rsidR="00A72677" w:rsidRPr="00BE7E13" w:rsidRDefault="00A72677" w:rsidP="00A72677">
            <w:pPr>
              <w:pStyle w:val="Box"/>
            </w:pPr>
            <w:r w:rsidRPr="00BE7E13">
              <w:t>A high or increasing rate for this indicator is desirable. This indicator should be interpreted in conjunction with other placement indicators.</w:t>
            </w:r>
          </w:p>
          <w:p w:rsidR="00A72677" w:rsidRPr="00BE7E13" w:rsidRDefault="00A72677" w:rsidP="00A72677">
            <w:pPr>
              <w:pStyle w:val="Box"/>
            </w:pPr>
            <w:r w:rsidRPr="00BE7E13">
              <w:t>Placing children in home-based care is generally considered to be in their best interests, particularly for younger children. Children will generally make better developmental progress (and have more ready access to normal childhood experiences) in family settings rather than in residential or i</w:t>
            </w:r>
            <w:r w:rsidR="007A439D" w:rsidRPr="00BE7E13">
              <w:t>nstitutional care environments.</w:t>
            </w:r>
          </w:p>
          <w:p w:rsidR="00A72677" w:rsidRPr="00BE7E13" w:rsidRDefault="00A72677" w:rsidP="00A72677">
            <w:pPr>
              <w:pStyle w:val="Box"/>
            </w:pPr>
            <w:r w:rsidRPr="00BE7E13">
              <w:t>Data reported for this indicator are comparable.</w:t>
            </w:r>
          </w:p>
          <w:p w:rsidR="00AB1DAE" w:rsidRPr="00BE7E13" w:rsidRDefault="00A72677" w:rsidP="00A72677">
            <w:pPr>
              <w:pStyle w:val="Box"/>
            </w:pPr>
            <w:r w:rsidRPr="00BE7E13">
              <w:t>Data quality information for this indicator is at www.pc.gov.au/gsp/reports/rogs/2013</w:t>
            </w:r>
            <w:r w:rsidR="00F82740" w:rsidRPr="00BE7E13">
              <w:t>.</w:t>
            </w:r>
          </w:p>
        </w:tc>
      </w:tr>
      <w:tr w:rsidR="00AB1DAE" w:rsidRPr="00BE7E13" w:rsidTr="006877C0">
        <w:trPr>
          <w:cantSplit/>
        </w:trPr>
        <w:tc>
          <w:tcPr>
            <w:tcW w:w="8771" w:type="dxa"/>
            <w:tcBorders>
              <w:top w:val="nil"/>
              <w:left w:val="single" w:sz="6" w:space="0" w:color="auto"/>
              <w:bottom w:val="single" w:sz="6" w:space="0" w:color="auto"/>
              <w:right w:val="single" w:sz="6" w:space="0" w:color="auto"/>
            </w:tcBorders>
          </w:tcPr>
          <w:p w:rsidR="00AB1DAE" w:rsidRPr="00BE7E13" w:rsidRDefault="00AB1DAE" w:rsidP="00AB1DAE">
            <w:pPr>
              <w:keepNext/>
              <w:spacing w:line="120" w:lineRule="exact"/>
              <w:jc w:val="both"/>
              <w:rPr>
                <w:rFonts w:ascii="Arial" w:hAnsi="Arial"/>
                <w:sz w:val="22"/>
                <w:szCs w:val="20"/>
              </w:rPr>
            </w:pPr>
          </w:p>
        </w:tc>
      </w:tr>
      <w:tr w:rsidR="00AB1DAE" w:rsidRPr="00BE7E13" w:rsidTr="006877C0">
        <w:tc>
          <w:tcPr>
            <w:tcW w:w="8771" w:type="dxa"/>
            <w:tcBorders>
              <w:top w:val="nil"/>
              <w:left w:val="nil"/>
              <w:bottom w:val="nil"/>
              <w:right w:val="nil"/>
            </w:tcBorders>
          </w:tcPr>
          <w:p w:rsidR="00AB1DAE" w:rsidRPr="00BE7E13" w:rsidRDefault="00AB1DAE" w:rsidP="00AB1DAE">
            <w:pPr>
              <w:spacing w:before="60" w:after="60" w:line="80" w:lineRule="exact"/>
              <w:jc w:val="both"/>
              <w:rPr>
                <w:rFonts w:ascii="Arial" w:hAnsi="Arial"/>
                <w:b/>
                <w:color w:val="FF00FF"/>
                <w:sz w:val="14"/>
                <w:szCs w:val="20"/>
              </w:rPr>
            </w:pPr>
          </w:p>
        </w:tc>
      </w:tr>
    </w:tbl>
    <w:p w:rsidR="00587B38" w:rsidRPr="00BE7E13" w:rsidRDefault="00587B38" w:rsidP="00587B38">
      <w:pPr>
        <w:pStyle w:val="BodyText"/>
      </w:pPr>
      <w:r w:rsidRPr="00BE7E13">
        <w:t>Nationally, the proportion of all children aged under 12 years in care who were placed in home-based care at 30 June 2012 was 97.5 per cent. In most jurisdictions, the proportion of Indigenous children aged under 12 years who were placed in home-based care was similar to that of non-Indigenous children (figure 15.3).</w:t>
      </w:r>
    </w:p>
    <w:p w:rsidR="00587B38" w:rsidRPr="001C0485" w:rsidRDefault="00587B38" w:rsidP="00587B38">
      <w:pPr>
        <w:pStyle w:val="FigureTitle"/>
        <w:rPr>
          <w:rStyle w:val="NoteLabel"/>
        </w:rPr>
      </w:pPr>
      <w:r w:rsidRPr="001C0485">
        <w:rPr>
          <w:b w:val="0"/>
        </w:rPr>
        <w:lastRenderedPageBreak/>
        <w:t xml:space="preserve">Figure </w:t>
      </w:r>
      <w:r w:rsidR="009F41E6" w:rsidRPr="001C0485">
        <w:rPr>
          <w:b w:val="0"/>
        </w:rPr>
        <w:t>15.3</w:t>
      </w:r>
      <w:r w:rsidRPr="001C0485">
        <w:rPr>
          <w:b w:val="0"/>
        </w:rPr>
        <w:tab/>
      </w:r>
      <w:r w:rsidRPr="001C0485">
        <w:t>Proportion of children aged under 12 years in out</w:t>
      </w:r>
      <w:r w:rsidRPr="001C0485">
        <w:noBreakHyphen/>
        <w:t>of</w:t>
      </w:r>
      <w:r w:rsidRPr="001C0485">
        <w:noBreakHyphen/>
        <w:t>home care who were in a home-based placement, by Indigenous status, 30 June 2012</w:t>
      </w:r>
      <w:r w:rsidRPr="001C0485">
        <w:rPr>
          <w:rStyle w:val="NoteLabel"/>
        </w:rPr>
        <w:t>a</w:t>
      </w:r>
    </w:p>
    <w:tbl>
      <w:tblPr>
        <w:tblW w:w="8920" w:type="dxa"/>
        <w:tblInd w:w="119" w:type="dxa"/>
        <w:tblBorders>
          <w:top w:val="single" w:sz="6" w:space="0" w:color="auto"/>
          <w:left w:val="single" w:sz="4" w:space="0" w:color="auto"/>
          <w:bottom w:val="single" w:sz="6" w:space="0" w:color="auto"/>
        </w:tblBorders>
        <w:tblLayout w:type="fixed"/>
        <w:tblLook w:val="0000" w:firstRow="0" w:lastRow="0" w:firstColumn="0" w:lastColumn="0" w:noHBand="0" w:noVBand="0"/>
      </w:tblPr>
      <w:tblGrid>
        <w:gridCol w:w="8920"/>
      </w:tblGrid>
      <w:tr w:rsidR="00587B38" w:rsidRPr="001C0485" w:rsidTr="00587B38">
        <w:tc>
          <w:tcPr>
            <w:tcW w:w="8920" w:type="dxa"/>
            <w:tcBorders>
              <w:top w:val="single" w:sz="6" w:space="0" w:color="auto"/>
              <w:left w:val="nil"/>
              <w:bottom w:val="single" w:sz="6" w:space="0" w:color="auto"/>
              <w:right w:val="nil"/>
            </w:tcBorders>
          </w:tcPr>
          <w:p w:rsidR="00587B38" w:rsidRPr="001C0485" w:rsidRDefault="00587B38" w:rsidP="00587B38">
            <w:pPr>
              <w:pStyle w:val="Figure"/>
            </w:pPr>
            <w:r w:rsidRPr="001C0485">
              <w:rPr>
                <w:noProof/>
              </w:rPr>
              <w:drawing>
                <wp:inline distT="0" distB="0" distL="0" distR="0" wp14:anchorId="6C087689" wp14:editId="1BB861DA">
                  <wp:extent cx="5400000" cy="2520000"/>
                  <wp:effectExtent l="0" t="0" r="0" b="0"/>
                  <wp:docPr id="10" name="Chart 10" descr="Figure 15.3 Proportion of children aged under 12 years in out of home care who were in a home-based placement, by Indigenous status, 30 June 20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587B38" w:rsidRPr="001C0485" w:rsidRDefault="00587B38" w:rsidP="00587B38">
      <w:pPr>
        <w:pStyle w:val="Note"/>
      </w:pPr>
      <w:r w:rsidRPr="001C0485">
        <w:rPr>
          <w:rStyle w:val="NoteLabel"/>
        </w:rPr>
        <w:t>a</w:t>
      </w:r>
      <w:r w:rsidRPr="001C0485">
        <w:sym w:font="Symbol" w:char="F020"/>
      </w:r>
      <w:r w:rsidRPr="001C0485">
        <w:t xml:space="preserve"> See source table for detailed footnotes. </w:t>
      </w:r>
    </w:p>
    <w:p w:rsidR="00587B38" w:rsidRPr="001C0485" w:rsidRDefault="00587B38" w:rsidP="00587B38">
      <w:pPr>
        <w:pStyle w:val="Source"/>
      </w:pPr>
      <w:r w:rsidRPr="001C0485">
        <w:rPr>
          <w:i/>
        </w:rPr>
        <w:t>Source</w:t>
      </w:r>
      <w:r w:rsidRPr="001C0485">
        <w:t>: AIHW data collection (unpublished); table 15A.24; 2013 Report, figure 15.9, p. 15.34.</w:t>
      </w:r>
    </w:p>
    <w:p w:rsidR="00AB1DAE" w:rsidRPr="001C0485" w:rsidRDefault="00AB1DAE" w:rsidP="00AB1DAE">
      <w:pPr>
        <w:keepNext/>
        <w:spacing w:before="480" w:line="320" w:lineRule="exact"/>
        <w:outlineLvl w:val="3"/>
        <w:rPr>
          <w:rFonts w:ascii="Arial" w:hAnsi="Arial"/>
          <w:i/>
          <w:sz w:val="24"/>
          <w:szCs w:val="20"/>
        </w:rPr>
      </w:pPr>
      <w:bookmarkStart w:id="81" w:name="_Toc320770821"/>
      <w:bookmarkStart w:id="82" w:name="_Toc348449364"/>
      <w:bookmarkStart w:id="83" w:name="_Toc348952916"/>
      <w:bookmarkStart w:id="84" w:name="_Toc351361357"/>
      <w:r w:rsidRPr="001C0485">
        <w:rPr>
          <w:rFonts w:ascii="Arial" w:hAnsi="Arial"/>
          <w:i/>
          <w:sz w:val="24"/>
          <w:szCs w:val="20"/>
        </w:rPr>
        <w:t>Out-of-home care — placement with extended family</w:t>
      </w:r>
      <w:bookmarkEnd w:id="81"/>
      <w:bookmarkEnd w:id="82"/>
      <w:bookmarkEnd w:id="83"/>
      <w:bookmarkEnd w:id="84"/>
    </w:p>
    <w:p w:rsidR="00587B38" w:rsidRPr="001C0485" w:rsidRDefault="00587B38" w:rsidP="00587B38">
      <w:pPr>
        <w:pStyle w:val="BodyText"/>
      </w:pPr>
      <w:r w:rsidRPr="001C0485">
        <w:t>‘Placement with extended family’ is an indicator of governments’ objective to provide services that meet the needs of recipients (box 15.3).</w:t>
      </w:r>
    </w:p>
    <w:p w:rsidR="00D103EE" w:rsidRPr="001C0485" w:rsidRDefault="00D103EE" w:rsidP="00D103E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B1DAE" w:rsidRPr="001C0485" w:rsidTr="006877C0">
        <w:tc>
          <w:tcPr>
            <w:tcW w:w="8771" w:type="dxa"/>
            <w:tcBorders>
              <w:top w:val="single" w:sz="6" w:space="0" w:color="auto"/>
              <w:bottom w:val="nil"/>
            </w:tcBorders>
          </w:tcPr>
          <w:p w:rsidR="00AB1DAE" w:rsidRPr="001C0485" w:rsidRDefault="00587B38" w:rsidP="009552F0">
            <w:pPr>
              <w:pStyle w:val="BoxTitle"/>
              <w:rPr>
                <w:b w:val="0"/>
              </w:rPr>
            </w:pPr>
            <w:r w:rsidRPr="001C0485">
              <w:rPr>
                <w:b w:val="0"/>
              </w:rPr>
              <w:t xml:space="preserve">Box </w:t>
            </w:r>
            <w:r w:rsidR="009F41E6" w:rsidRPr="001C0485">
              <w:rPr>
                <w:b w:val="0"/>
              </w:rPr>
              <w:t>15.3</w:t>
            </w:r>
            <w:r w:rsidRPr="001C0485">
              <w:rPr>
                <w:b w:val="0"/>
              </w:rPr>
              <w:tab/>
            </w:r>
            <w:r w:rsidRPr="001C0485">
              <w:t>Placement with extended family</w:t>
            </w:r>
          </w:p>
        </w:tc>
      </w:tr>
      <w:tr w:rsidR="00AB1DAE" w:rsidRPr="001C0485" w:rsidTr="006877C0">
        <w:trPr>
          <w:cantSplit/>
        </w:trPr>
        <w:tc>
          <w:tcPr>
            <w:tcW w:w="8771" w:type="dxa"/>
            <w:tcBorders>
              <w:top w:val="nil"/>
              <w:left w:val="single" w:sz="6" w:space="0" w:color="auto"/>
              <w:bottom w:val="nil"/>
              <w:right w:val="single" w:sz="6" w:space="0" w:color="auto"/>
            </w:tcBorders>
          </w:tcPr>
          <w:p w:rsidR="008328FB" w:rsidRPr="001C0485" w:rsidRDefault="008328FB" w:rsidP="008328FB">
            <w:pPr>
              <w:pStyle w:val="Box"/>
            </w:pPr>
            <w:r w:rsidRPr="001C0485">
              <w:t>‘Placement with extended family’ is defined as the proportion of all children in</w:t>
            </w:r>
            <w:r w:rsidRPr="001C0485">
              <w:br/>
              <w:t xml:space="preserve">out-of-home care who are placed with relatives or kin who receive government financial assistance to care for that child. </w:t>
            </w:r>
          </w:p>
          <w:p w:rsidR="008328FB" w:rsidRPr="001C0485" w:rsidRDefault="008328FB" w:rsidP="008328FB">
            <w:pPr>
              <w:pStyle w:val="Box"/>
            </w:pPr>
            <w:r w:rsidRPr="001C0485">
              <w:t>A high or increasing rate for this indicator is desirable. Placing children with their relatives or kin is generally the preferred out-of-home care placement option. This option is generally associated with better long term outcomes due to increased continuity, familiarity and stability for the child. Relatives are more likely to have or form long term emotional bonds with the child. Placement with familiar people can help to overcome the loss of attachment and belonging that can occur when children are placed in out-of-home care.</w:t>
            </w:r>
          </w:p>
          <w:p w:rsidR="008328FB" w:rsidRPr="001C0485" w:rsidRDefault="008328FB" w:rsidP="008328FB">
            <w:pPr>
              <w:pStyle w:val="Box"/>
            </w:pPr>
            <w:r w:rsidRPr="001C0485">
              <w:t>Placement with extended family needs to be considered with other factors in the placement decision, placements with extended family may not always be the best option. Long standing family dynamics can undermine the pursuit of case goals such as reunification, and the possibility of intergenerational abuse needs to be considered. In addition, depending on the individual circumstances of the child, it may be more important to have a local placement that enables continuity at school, for example, rather than a distant placement with relatives.</w:t>
            </w:r>
          </w:p>
          <w:p w:rsidR="008328FB" w:rsidRPr="001C0485" w:rsidRDefault="008328FB" w:rsidP="008328FB">
            <w:pPr>
              <w:pStyle w:val="Box"/>
            </w:pPr>
            <w:r w:rsidRPr="001C0485">
              <w:t>Data reported for this indicator are comparable.</w:t>
            </w:r>
          </w:p>
          <w:p w:rsidR="00AB1DAE" w:rsidRPr="001C0485" w:rsidRDefault="008328FB" w:rsidP="00AB1DAE">
            <w:pPr>
              <w:keepNext/>
              <w:spacing w:before="120" w:line="280" w:lineRule="atLeast"/>
              <w:jc w:val="both"/>
              <w:rPr>
                <w:rFonts w:ascii="Arial" w:hAnsi="Arial"/>
                <w:sz w:val="22"/>
                <w:szCs w:val="20"/>
              </w:rPr>
            </w:pPr>
            <w:r w:rsidRPr="001C0485">
              <w:rPr>
                <w:rFonts w:ascii="Arial" w:hAnsi="Arial"/>
                <w:sz w:val="22"/>
                <w:szCs w:val="20"/>
              </w:rPr>
              <w:t>Data quality information for this indicator is at www.pc.gov.au/gsp/reports/rogs/2013.</w:t>
            </w:r>
          </w:p>
        </w:tc>
      </w:tr>
      <w:tr w:rsidR="00AB1DAE" w:rsidRPr="001C0485" w:rsidTr="006877C0">
        <w:trPr>
          <w:cantSplit/>
        </w:trPr>
        <w:tc>
          <w:tcPr>
            <w:tcW w:w="8771" w:type="dxa"/>
            <w:tcBorders>
              <w:top w:val="nil"/>
              <w:left w:val="single" w:sz="6" w:space="0" w:color="auto"/>
              <w:bottom w:val="single" w:sz="6" w:space="0" w:color="auto"/>
              <w:right w:val="single" w:sz="6" w:space="0" w:color="auto"/>
            </w:tcBorders>
          </w:tcPr>
          <w:p w:rsidR="00AB1DAE" w:rsidRPr="001C0485" w:rsidRDefault="00AB1DAE" w:rsidP="00AB1DAE">
            <w:pPr>
              <w:keepNext/>
              <w:spacing w:line="120" w:lineRule="exact"/>
              <w:jc w:val="both"/>
              <w:rPr>
                <w:rFonts w:ascii="Arial" w:hAnsi="Arial"/>
                <w:sz w:val="22"/>
                <w:szCs w:val="20"/>
              </w:rPr>
            </w:pPr>
          </w:p>
        </w:tc>
      </w:tr>
      <w:tr w:rsidR="00AB1DAE" w:rsidRPr="001C0485" w:rsidTr="006877C0">
        <w:tc>
          <w:tcPr>
            <w:tcW w:w="8771" w:type="dxa"/>
            <w:tcBorders>
              <w:top w:val="nil"/>
              <w:left w:val="nil"/>
              <w:bottom w:val="nil"/>
              <w:right w:val="nil"/>
            </w:tcBorders>
          </w:tcPr>
          <w:p w:rsidR="00AB1DAE" w:rsidRPr="001C0485" w:rsidRDefault="00AB1DAE" w:rsidP="00AB1DAE">
            <w:pPr>
              <w:spacing w:before="60" w:after="60" w:line="80" w:lineRule="exact"/>
              <w:jc w:val="both"/>
              <w:rPr>
                <w:rFonts w:ascii="Arial" w:hAnsi="Arial"/>
                <w:b/>
                <w:color w:val="FF00FF"/>
                <w:sz w:val="14"/>
                <w:szCs w:val="20"/>
              </w:rPr>
            </w:pPr>
          </w:p>
        </w:tc>
      </w:tr>
    </w:tbl>
    <w:p w:rsidR="00250C90" w:rsidRPr="001C0485" w:rsidRDefault="00250C90" w:rsidP="00250C90">
      <w:pPr>
        <w:pStyle w:val="BodyText"/>
      </w:pPr>
      <w:r w:rsidRPr="001C0485">
        <w:t xml:space="preserve">Figure 15.4 shows the proportion of children placed with relatives or kin by Indigenous status. The proportion of children placed with relatives or kin at </w:t>
      </w:r>
      <w:r w:rsidRPr="001C0485">
        <w:br/>
        <w:t>30 June 2012 was greater for Indigenous children than for non-Indigenous children in most jurisdictions (figure 15.4).</w:t>
      </w:r>
    </w:p>
    <w:p w:rsidR="00250C90" w:rsidRPr="001C0485" w:rsidRDefault="00250C90" w:rsidP="00250C90">
      <w:pPr>
        <w:pStyle w:val="BodyText"/>
      </w:pPr>
      <w:r w:rsidRPr="001C0485">
        <w:t>The Aboriginal Child Placement Principle gives considerable emphasis to the placement of Indigenous children with extended family. This principle is discussed in box 15.4.</w:t>
      </w:r>
    </w:p>
    <w:p w:rsidR="00250C90" w:rsidRPr="001C0485" w:rsidRDefault="00250C90" w:rsidP="00250C90">
      <w:pPr>
        <w:pStyle w:val="FigureTitle"/>
        <w:rPr>
          <w:rStyle w:val="DraftingNote"/>
          <w:color w:val="auto"/>
        </w:rPr>
      </w:pPr>
      <w:r w:rsidRPr="001C0485">
        <w:rPr>
          <w:b w:val="0"/>
        </w:rPr>
        <w:lastRenderedPageBreak/>
        <w:t xml:space="preserve">Figure </w:t>
      </w:r>
      <w:r w:rsidR="009F41E6" w:rsidRPr="001C0485">
        <w:rPr>
          <w:b w:val="0"/>
        </w:rPr>
        <w:t>15.4</w:t>
      </w:r>
      <w:r w:rsidRPr="001C0485">
        <w:tab/>
        <w:t>Proportion of children in out-of-home care placed with relatives/kin, by Indigenous status, 30 June 2012</w:t>
      </w:r>
      <w:r w:rsidRPr="001C0485">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250C90" w:rsidRPr="001C0485" w:rsidTr="00351D66">
        <w:trPr>
          <w:trHeight w:val="4211"/>
        </w:trPr>
        <w:tc>
          <w:tcPr>
            <w:tcW w:w="8777" w:type="dxa"/>
          </w:tcPr>
          <w:p w:rsidR="00250C90" w:rsidRPr="001C0485" w:rsidRDefault="00250C90" w:rsidP="00351D66">
            <w:pPr>
              <w:jc w:val="center"/>
            </w:pPr>
            <w:r w:rsidRPr="001C0485">
              <w:rPr>
                <w:noProof/>
              </w:rPr>
              <w:drawing>
                <wp:inline distT="0" distB="0" distL="0" distR="0" wp14:anchorId="0B8EBA3F" wp14:editId="7D8BB263">
                  <wp:extent cx="5400000" cy="2520000"/>
                  <wp:effectExtent l="0" t="0" r="0" b="0"/>
                  <wp:docPr id="11" name="Chart 11" descr="Figure 15.4 Proportion of children in out-of-home care placed with relatives/kin, by Indigenous status, 30 June 20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50C90" w:rsidRPr="001C0485" w:rsidRDefault="00250C90" w:rsidP="00351D66">
            <w:pPr>
              <w:jc w:val="center"/>
            </w:pPr>
          </w:p>
        </w:tc>
      </w:tr>
    </w:tbl>
    <w:p w:rsidR="00250C90" w:rsidRPr="001C0485" w:rsidRDefault="00250C90" w:rsidP="00250C90">
      <w:pPr>
        <w:pStyle w:val="Note"/>
      </w:pPr>
      <w:r w:rsidRPr="001C0485">
        <w:rPr>
          <w:rStyle w:val="NoteLabel"/>
        </w:rPr>
        <w:t>a</w:t>
      </w:r>
      <w:r w:rsidRPr="001C0485">
        <w:t xml:space="preserve"> See table 15A.22 for detailed footnotes. </w:t>
      </w:r>
    </w:p>
    <w:p w:rsidR="00250C90" w:rsidRPr="001C0485" w:rsidRDefault="00250C90" w:rsidP="00250C90">
      <w:pPr>
        <w:pStyle w:val="Source"/>
      </w:pPr>
      <w:r w:rsidRPr="001C0485">
        <w:rPr>
          <w:i/>
        </w:rPr>
        <w:t>Source</w:t>
      </w:r>
      <w:r w:rsidRPr="001C0485">
        <w:t>: AIHW data collection (unpublished); table 15A.22; 2013 Report, figure 15.10, p. 15.36.</w:t>
      </w:r>
    </w:p>
    <w:p w:rsidR="00AB1DAE" w:rsidRPr="001C0485" w:rsidRDefault="00AB1DAE" w:rsidP="00AB1DAE">
      <w:pPr>
        <w:keepNext/>
        <w:spacing w:before="480" w:line="320" w:lineRule="exact"/>
        <w:outlineLvl w:val="3"/>
        <w:rPr>
          <w:rFonts w:ascii="Arial" w:hAnsi="Arial"/>
          <w:i/>
          <w:sz w:val="24"/>
          <w:szCs w:val="20"/>
        </w:rPr>
      </w:pPr>
      <w:bookmarkStart w:id="85" w:name="_Toc320770822"/>
      <w:bookmarkStart w:id="86" w:name="_Toc348449365"/>
      <w:bookmarkStart w:id="87" w:name="_Toc348952917"/>
      <w:bookmarkStart w:id="88" w:name="_Toc351361358"/>
      <w:r w:rsidRPr="001C0485">
        <w:rPr>
          <w:rFonts w:ascii="Arial" w:hAnsi="Arial"/>
          <w:i/>
          <w:sz w:val="24"/>
          <w:szCs w:val="20"/>
        </w:rPr>
        <w:t>Out-of-home care — placement in accordance with the Aboriginal Child Placement Principle</w:t>
      </w:r>
      <w:bookmarkEnd w:id="85"/>
      <w:bookmarkEnd w:id="86"/>
      <w:bookmarkEnd w:id="87"/>
      <w:bookmarkEnd w:id="88"/>
    </w:p>
    <w:p w:rsidR="00EE6319" w:rsidRPr="001C0485" w:rsidRDefault="00EE6319" w:rsidP="00EE6319">
      <w:pPr>
        <w:pStyle w:val="BodyText"/>
      </w:pPr>
      <w:r w:rsidRPr="001C0485">
        <w:t>‘Placement in accordance with the Aboriginal Child Placement Principle’ is an indicator of governments’ objective to protect the safety and welfare of Indigenous children while maintaining their cultural ties and identity (box 15.4).</w:t>
      </w:r>
    </w:p>
    <w:p w:rsidR="00D103EE" w:rsidRPr="001C0485" w:rsidRDefault="00D103EE" w:rsidP="00D103E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B1DAE" w:rsidRPr="001C0485" w:rsidTr="006877C0">
        <w:tc>
          <w:tcPr>
            <w:tcW w:w="8771" w:type="dxa"/>
            <w:tcBorders>
              <w:top w:val="single" w:sz="6" w:space="0" w:color="auto"/>
              <w:bottom w:val="nil"/>
            </w:tcBorders>
          </w:tcPr>
          <w:p w:rsidR="00AB1DAE" w:rsidRPr="001C0485" w:rsidRDefault="00EE6319" w:rsidP="009552F0">
            <w:pPr>
              <w:pStyle w:val="BoxTitle"/>
              <w:rPr>
                <w:b w:val="0"/>
              </w:rPr>
            </w:pPr>
            <w:r w:rsidRPr="001C0485">
              <w:rPr>
                <w:b w:val="0"/>
              </w:rPr>
              <w:t xml:space="preserve">Box </w:t>
            </w:r>
            <w:r w:rsidR="009F41E6" w:rsidRPr="001C0485">
              <w:rPr>
                <w:b w:val="0"/>
              </w:rPr>
              <w:t>15.4</w:t>
            </w:r>
            <w:r w:rsidR="00AB1DAE" w:rsidRPr="001C0485">
              <w:rPr>
                <w:b w:val="0"/>
              </w:rPr>
              <w:tab/>
            </w:r>
            <w:r w:rsidR="00AB1DAE" w:rsidRPr="001C0485">
              <w:t>Placement in accordance with the Aboriginal Child Placement Principle</w:t>
            </w:r>
          </w:p>
        </w:tc>
      </w:tr>
      <w:tr w:rsidR="00AB1DAE" w:rsidRPr="001C0485" w:rsidTr="006877C0">
        <w:trPr>
          <w:cantSplit/>
        </w:trPr>
        <w:tc>
          <w:tcPr>
            <w:tcW w:w="8771" w:type="dxa"/>
            <w:tcBorders>
              <w:top w:val="nil"/>
              <w:left w:val="single" w:sz="6" w:space="0" w:color="auto"/>
              <w:bottom w:val="nil"/>
              <w:right w:val="single" w:sz="6" w:space="0" w:color="auto"/>
            </w:tcBorders>
          </w:tcPr>
          <w:p w:rsidR="00EE6319" w:rsidRPr="001C0485" w:rsidRDefault="00EE6319" w:rsidP="00EE6319">
            <w:pPr>
              <w:pStyle w:val="Box"/>
              <w:keepNext w:val="0"/>
              <w:widowControl w:val="0"/>
            </w:pPr>
            <w:r w:rsidRPr="001C0485">
              <w:t>‘Placement in accordance with the Aboriginal Child Placement Principle’ is defined as the number of Indigenous children placed with the child’s extended family, Indigenous community or other Indigenous people, divided by the total number of Indigenous children in out-of-home care. Data are reported separately for children placed (i) with relative/kin, (ii) with a non-relative Indigenous carer or in Indigenous residential care, and (iii) not placed with relative/kin, a non-relative Indigenous carer or in Indigenous residential care.</w:t>
            </w:r>
          </w:p>
          <w:p w:rsidR="00EE6319" w:rsidRPr="001C0485" w:rsidRDefault="00EE6319" w:rsidP="00EE6319">
            <w:pPr>
              <w:pStyle w:val="Box"/>
              <w:keepNext w:val="0"/>
              <w:widowControl w:val="0"/>
            </w:pPr>
            <w:r w:rsidRPr="001C0485">
              <w:t>A high or increasing proportion of children placed in accordance with the principle is desirable. This indicator needs to be interpreted with care as it is a proxy for compliance with the principle. This indicator reports the placement outcomes of Indigenous children rather than compliance with the principle. The indicator does not reflect whether the hierarchy was followed in the consideration of the best placement for the child, nor whether consultation was had with appropriate Indigenou</w:t>
            </w:r>
            <w:r w:rsidR="00D103EE" w:rsidRPr="001C0485">
              <w:t>s individuals or organisations.</w:t>
            </w:r>
          </w:p>
          <w:p w:rsidR="00EE6319" w:rsidRPr="001C0485" w:rsidRDefault="00EE6319" w:rsidP="00EE6319">
            <w:pPr>
              <w:pStyle w:val="Box"/>
              <w:keepNext w:val="0"/>
              <w:widowControl w:val="0"/>
            </w:pPr>
            <w:r w:rsidRPr="001C0485">
              <w:t>Placing Indigenous children in circumstances consistent with the Aboriginal Child Placement Principle is considered to be in their best interests. However, it is one factor among many considerations for the child’s safety and wellbeing that must be carefully considered in the placement decision. In the application of this principle, departments consult with and involve appropriate Indigenous individuals and/or organisations. If the preferred options are not available, the child may be placed (after appropriate consultation) with a non-Indigenous family or in a residential setting. The principle does not preclude the possibility that in some instances, placement in a non-Indigenous setting, where arrangements are in place for the child’s cultural identity to be preserved, might be the most appropriate placement for the child.</w:t>
            </w:r>
          </w:p>
          <w:p w:rsidR="00EE6319" w:rsidRPr="001C0485" w:rsidRDefault="00EE6319" w:rsidP="00EE6319">
            <w:pPr>
              <w:pStyle w:val="Box"/>
              <w:keepNext w:val="0"/>
              <w:widowControl w:val="0"/>
            </w:pPr>
            <w:r w:rsidRPr="001C0485">
              <w:t>Data reported for this indicator are comparable.</w:t>
            </w:r>
          </w:p>
          <w:p w:rsidR="00AB1DAE" w:rsidRPr="001C0485" w:rsidRDefault="00EE6319" w:rsidP="00EE6319">
            <w:pPr>
              <w:pStyle w:val="Box"/>
              <w:keepNext w:val="0"/>
              <w:widowControl w:val="0"/>
            </w:pPr>
            <w:r w:rsidRPr="001C0485">
              <w:t>Data quality information for this indicator is at www.pc.gov.au/gsp/reports/rogs/2013.</w:t>
            </w:r>
          </w:p>
        </w:tc>
      </w:tr>
      <w:tr w:rsidR="00AB1DAE" w:rsidRPr="001C0485" w:rsidTr="006877C0">
        <w:trPr>
          <w:cantSplit/>
        </w:trPr>
        <w:tc>
          <w:tcPr>
            <w:tcW w:w="8771" w:type="dxa"/>
            <w:tcBorders>
              <w:top w:val="nil"/>
              <w:left w:val="single" w:sz="6" w:space="0" w:color="auto"/>
              <w:bottom w:val="single" w:sz="6" w:space="0" w:color="auto"/>
              <w:right w:val="single" w:sz="6" w:space="0" w:color="auto"/>
            </w:tcBorders>
          </w:tcPr>
          <w:p w:rsidR="00AB1DAE" w:rsidRPr="001C0485" w:rsidRDefault="00AB1DAE" w:rsidP="00AB1DAE">
            <w:pPr>
              <w:widowControl w:val="0"/>
              <w:spacing w:line="120" w:lineRule="exact"/>
              <w:jc w:val="both"/>
              <w:rPr>
                <w:rFonts w:ascii="Arial" w:hAnsi="Arial"/>
                <w:sz w:val="22"/>
                <w:szCs w:val="20"/>
              </w:rPr>
            </w:pPr>
          </w:p>
        </w:tc>
      </w:tr>
      <w:tr w:rsidR="00AB1DAE" w:rsidRPr="001C0485" w:rsidTr="006877C0">
        <w:tc>
          <w:tcPr>
            <w:tcW w:w="8771" w:type="dxa"/>
            <w:tcBorders>
              <w:top w:val="nil"/>
              <w:left w:val="nil"/>
              <w:bottom w:val="nil"/>
              <w:right w:val="nil"/>
            </w:tcBorders>
          </w:tcPr>
          <w:p w:rsidR="00AB1DAE" w:rsidRPr="001C0485" w:rsidRDefault="00AB1DAE" w:rsidP="00AB1DAE">
            <w:pPr>
              <w:spacing w:before="60" w:after="60" w:line="80" w:lineRule="exact"/>
              <w:jc w:val="both"/>
              <w:rPr>
                <w:rFonts w:ascii="Arial" w:hAnsi="Arial"/>
                <w:b/>
                <w:color w:val="FF00FF"/>
                <w:sz w:val="14"/>
                <w:szCs w:val="20"/>
              </w:rPr>
            </w:pPr>
          </w:p>
        </w:tc>
      </w:tr>
    </w:tbl>
    <w:p w:rsidR="00381267" w:rsidRPr="001C0485" w:rsidRDefault="00381267" w:rsidP="00381267">
      <w:pPr>
        <w:spacing w:before="240" w:line="320" w:lineRule="atLeast"/>
        <w:jc w:val="both"/>
        <w:rPr>
          <w:szCs w:val="20"/>
        </w:rPr>
      </w:pPr>
      <w:r w:rsidRPr="001C0485">
        <w:rPr>
          <w:szCs w:val="20"/>
        </w:rPr>
        <w:t xml:space="preserve">According to the Aboriginal Child Placement Principle (NSW Law Reform Commission 1997) the following hierarchy of placement options should be pursued in protecting the safety and </w:t>
      </w:r>
      <w:r w:rsidR="001C0485" w:rsidRPr="001C0485">
        <w:rPr>
          <w:szCs w:val="20"/>
        </w:rPr>
        <w:t>welfare of Indigenous children:</w:t>
      </w:r>
    </w:p>
    <w:p w:rsidR="00381267" w:rsidRPr="001C0485" w:rsidRDefault="00381267" w:rsidP="00381267">
      <w:pPr>
        <w:pStyle w:val="ListBullet"/>
        <w:shd w:val="clear" w:color="auto" w:fill="FFFFFF" w:themeFill="background1"/>
      </w:pPr>
      <w:r w:rsidRPr="001C0485">
        <w:t>placement with the child’s extended family (which includes Indigenous and non</w:t>
      </w:r>
      <w:r w:rsidRPr="001C0485">
        <w:noBreakHyphen/>
        <w:t>Indigenous relatives/kin)</w:t>
      </w:r>
    </w:p>
    <w:p w:rsidR="00381267" w:rsidRPr="001C0485" w:rsidRDefault="00381267" w:rsidP="00381267">
      <w:pPr>
        <w:tabs>
          <w:tab w:val="num" w:pos="340"/>
        </w:tabs>
        <w:spacing w:before="120" w:line="320" w:lineRule="atLeast"/>
        <w:ind w:left="340" w:hanging="340"/>
        <w:jc w:val="both"/>
        <w:rPr>
          <w:szCs w:val="20"/>
        </w:rPr>
      </w:pPr>
      <w:r w:rsidRPr="001C0485">
        <w:rPr>
          <w:shd w:val="clear" w:color="auto" w:fill="FFFFFF" w:themeFill="background1"/>
        </w:rPr>
        <w:t>•</w:t>
      </w:r>
      <w:r w:rsidRPr="001C0485">
        <w:rPr>
          <w:shd w:val="clear" w:color="auto" w:fill="FFFFFF" w:themeFill="background1"/>
        </w:rPr>
        <w:tab/>
      </w:r>
      <w:r w:rsidRPr="001C0485">
        <w:rPr>
          <w:szCs w:val="20"/>
        </w:rPr>
        <w:t>placement within the child’s Indigenous community</w:t>
      </w:r>
    </w:p>
    <w:p w:rsidR="00381267" w:rsidRPr="001C0485" w:rsidRDefault="00381267" w:rsidP="00381267">
      <w:pPr>
        <w:tabs>
          <w:tab w:val="num" w:pos="340"/>
        </w:tabs>
        <w:spacing w:before="120" w:line="320" w:lineRule="atLeast"/>
        <w:ind w:left="340" w:hanging="340"/>
        <w:jc w:val="both"/>
        <w:rPr>
          <w:szCs w:val="20"/>
        </w:rPr>
      </w:pPr>
      <w:r w:rsidRPr="001C0485">
        <w:rPr>
          <w:shd w:val="clear" w:color="auto" w:fill="FFFFFF" w:themeFill="background1"/>
        </w:rPr>
        <w:t>•</w:t>
      </w:r>
      <w:r w:rsidRPr="001C0485">
        <w:rPr>
          <w:shd w:val="clear" w:color="auto" w:fill="FFFFFF" w:themeFill="background1"/>
        </w:rPr>
        <w:tab/>
      </w:r>
      <w:r w:rsidRPr="001C0485">
        <w:rPr>
          <w:szCs w:val="20"/>
        </w:rPr>
        <w:t xml:space="preserve">placement </w:t>
      </w:r>
      <w:r w:rsidRPr="001C0485">
        <w:t>with other Indigenous people.</w:t>
      </w:r>
    </w:p>
    <w:p w:rsidR="00381267" w:rsidRPr="001C0485" w:rsidRDefault="00381267" w:rsidP="00AB1DAE">
      <w:pPr>
        <w:spacing w:before="240" w:line="320" w:lineRule="atLeast"/>
        <w:jc w:val="both"/>
        <w:rPr>
          <w:szCs w:val="20"/>
        </w:rPr>
      </w:pPr>
      <w:r w:rsidRPr="001C0485">
        <w:rPr>
          <w:szCs w:val="20"/>
        </w:rPr>
        <w:t xml:space="preserve">All jurisdictions have adopted this principle </w:t>
      </w:r>
      <w:r w:rsidR="0082454B" w:rsidRPr="001C0485">
        <w:rPr>
          <w:szCs w:val="20"/>
        </w:rPr>
        <w:t>in both legislation and policy.</w:t>
      </w:r>
    </w:p>
    <w:p w:rsidR="00351D66" w:rsidRPr="001C0485" w:rsidRDefault="00351D66" w:rsidP="00351D66">
      <w:pPr>
        <w:pStyle w:val="BodyText"/>
        <w:widowControl w:val="0"/>
      </w:pPr>
      <w:r w:rsidRPr="001C0485">
        <w:t xml:space="preserve">Nationally, at 30 June 2012, 52.4 per cent of Indigenous children in out-of-home care were placed with relatives/kin (38.2 per cent with Indigenous relatives/kin and </w:t>
      </w:r>
      <w:r w:rsidRPr="001C0485">
        <w:lastRenderedPageBreak/>
        <w:t>14.1 per cent with non</w:t>
      </w:r>
      <w:r w:rsidRPr="001C0485">
        <w:noBreakHyphen/>
        <w:t>Indigenous relatives/kin). A further 16.4 per cent of Indigenous children in out-of-home care were placed with other Indigenous carers or in Indigenous residential care (figure 15.5).</w:t>
      </w:r>
    </w:p>
    <w:p w:rsidR="00351D66" w:rsidRPr="001C0485" w:rsidRDefault="00351D66" w:rsidP="00351D66">
      <w:pPr>
        <w:pStyle w:val="BodyText"/>
        <w:widowControl w:val="0"/>
      </w:pPr>
      <w:r w:rsidRPr="001C0485">
        <w:t>The proportion of Indigenous children in out-of-home care at 30 June 2012 who were placed with Indigenous or non-Indigenous relatives or kin or with another Indigenous carer or in Indigenous residential care varied across jurisdictions (figure 15.5).</w:t>
      </w:r>
    </w:p>
    <w:p w:rsidR="00351D66" w:rsidRPr="001C0485" w:rsidRDefault="00351D66" w:rsidP="00351D66">
      <w:pPr>
        <w:pStyle w:val="BodyText"/>
        <w:widowControl w:val="0"/>
      </w:pPr>
      <w:r w:rsidRPr="001C0485">
        <w:t xml:space="preserve">As noted above, the placement of Indigenous children in out-of-home care is a proxy measure for compliance with the Aboriginal Child Placement Principle. The proxy measure reports the placement outcomes of Indigenous children rather than compliance with the hierarchy of placement options to be considered when finding suitable out-of-home care environments for Indigenous children. Work is underway to develop a more robust measure of compliance with the Aboriginal Child Placement Principle as part of the </w:t>
      </w:r>
      <w:r w:rsidRPr="001C0485">
        <w:rPr>
          <w:i/>
        </w:rPr>
        <w:t>National framework for protecting Australia’s children: Second three year action plan, 2012-15</w:t>
      </w:r>
      <w:r w:rsidRPr="001C0485">
        <w:t xml:space="preserve"> (Commonwealth of </w:t>
      </w:r>
      <w:r w:rsidRPr="001C0485">
        <w:br/>
        <w:t>Australia, 2012).</w:t>
      </w:r>
    </w:p>
    <w:p w:rsidR="00351D66" w:rsidRPr="001C0485" w:rsidRDefault="00351D66" w:rsidP="00351D66">
      <w:pPr>
        <w:pStyle w:val="FigureTitle"/>
      </w:pPr>
      <w:r w:rsidRPr="001C0485">
        <w:rPr>
          <w:b w:val="0"/>
        </w:rPr>
        <w:t xml:space="preserve">Figure </w:t>
      </w:r>
      <w:r w:rsidR="009F41E6" w:rsidRPr="001C0485">
        <w:rPr>
          <w:b w:val="0"/>
        </w:rPr>
        <w:t>15.5</w:t>
      </w:r>
      <w:r w:rsidRPr="001C0485">
        <w:rPr>
          <w:b w:val="0"/>
        </w:rPr>
        <w:tab/>
      </w:r>
      <w:r w:rsidRPr="001C0485">
        <w:t>Placement of Indigenous children in out-of-home care, 30 June 2012</w:t>
      </w:r>
      <w:r w:rsidRPr="001C0485">
        <w:rPr>
          <w:rStyle w:val="NoteLabel"/>
          <w:b/>
        </w:rPr>
        <w:t>a, b, c,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51D66" w:rsidRPr="001C0485" w:rsidTr="00351D66">
        <w:tc>
          <w:tcPr>
            <w:tcW w:w="8777" w:type="dxa"/>
          </w:tcPr>
          <w:p w:rsidR="00351D66" w:rsidRPr="001C0485" w:rsidRDefault="00351D66" w:rsidP="00351D66">
            <w:pPr>
              <w:pStyle w:val="Figure"/>
            </w:pPr>
            <w:r w:rsidRPr="001C0485">
              <w:rPr>
                <w:noProof/>
              </w:rPr>
              <w:drawing>
                <wp:inline distT="0" distB="0" distL="0" distR="0" wp14:anchorId="7347864F" wp14:editId="19F878C4">
                  <wp:extent cx="5400000" cy="2520000"/>
                  <wp:effectExtent l="0" t="0" r="0" b="0"/>
                  <wp:docPr id="14" name="Chart 14" descr="Figure 15.5 Placement of Indigenous children in out-of-home care, 30 June 20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351D66" w:rsidRPr="001C0485" w:rsidRDefault="00351D66" w:rsidP="00351D66">
      <w:pPr>
        <w:pStyle w:val="Note"/>
      </w:pPr>
      <w:r w:rsidRPr="001C0485">
        <w:t>Relative/Kin = Placed with relative/kin. Other Indigenous = Placed with other Indigenous carer or Indigenous residential care. Other = Not placed with relative/kin, other Indigenous carer or Indigenous residential care.</w:t>
      </w:r>
      <w:r w:rsidRPr="001C0485">
        <w:sym w:font="Symbol" w:char="F020"/>
      </w:r>
      <w:r w:rsidRPr="001C0485">
        <w:rPr>
          <w:rStyle w:val="NoteLabel"/>
        </w:rPr>
        <w:t>a </w:t>
      </w:r>
      <w:r w:rsidRPr="001C0485">
        <w:t xml:space="preserve">Excludes Indigenous children living independently and those whose living arrangements were unknown. </w:t>
      </w:r>
      <w:r w:rsidRPr="001C0485">
        <w:rPr>
          <w:rStyle w:val="NoteLabel"/>
        </w:rPr>
        <w:t xml:space="preserve">b </w:t>
      </w:r>
      <w:r w:rsidRPr="001C0485">
        <w:t xml:space="preserve">Data for Tasmania and the ACT relate to a small number of Indigenous children. </w:t>
      </w:r>
      <w:r w:rsidRPr="001C0485">
        <w:rPr>
          <w:rStyle w:val="NoteLabel"/>
        </w:rPr>
        <w:t xml:space="preserve">c </w:t>
      </w:r>
      <w:r w:rsidRPr="001C0485">
        <w:t>In Tasmania, it was not possible to confirm the Indigenous status of all carers, as such it is likely that the ‘Other Indigenous’ category was under-counted and the ‘Other’ category correspondingly over-counted.</w:t>
      </w:r>
      <w:r w:rsidRPr="001C0485">
        <w:rPr>
          <w:rStyle w:val="NoteLabel"/>
        </w:rPr>
        <w:t xml:space="preserve"> d</w:t>
      </w:r>
      <w:r w:rsidRPr="001C0485">
        <w:sym w:font="Symbol" w:char="F020"/>
      </w:r>
      <w:r w:rsidRPr="001C0485">
        <w:t xml:space="preserve"> See source table for detailed footnotes.</w:t>
      </w:r>
    </w:p>
    <w:p w:rsidR="00351D66" w:rsidRPr="001C0485" w:rsidRDefault="00351D66" w:rsidP="00351D66">
      <w:pPr>
        <w:pStyle w:val="Source"/>
      </w:pPr>
      <w:r w:rsidRPr="001C0485">
        <w:rPr>
          <w:i/>
        </w:rPr>
        <w:t>Source</w:t>
      </w:r>
      <w:r w:rsidRPr="001C0485">
        <w:t>: AIHW data collection (unpublished); table 15A.23; 2013 Report, figure 15.11, p. 15.39.</w:t>
      </w:r>
    </w:p>
    <w:p w:rsidR="00AB1DAE" w:rsidRPr="001C0485" w:rsidRDefault="00D6577A" w:rsidP="00AB1DAE">
      <w:pPr>
        <w:keepNext/>
        <w:spacing w:before="560" w:line="320" w:lineRule="exact"/>
        <w:outlineLvl w:val="2"/>
        <w:rPr>
          <w:rFonts w:ascii="Arial" w:hAnsi="Arial"/>
          <w:b/>
          <w:szCs w:val="20"/>
        </w:rPr>
      </w:pPr>
      <w:bookmarkStart w:id="89" w:name="_Toc290291986"/>
      <w:bookmarkStart w:id="90" w:name="_Toc320770825"/>
      <w:bookmarkStart w:id="91" w:name="_Toc348449368"/>
      <w:bookmarkStart w:id="92" w:name="_Toc348952918"/>
      <w:bookmarkStart w:id="93" w:name="_Toc351361359"/>
      <w:r w:rsidRPr="001C0485">
        <w:rPr>
          <w:rFonts w:ascii="Arial" w:hAnsi="Arial"/>
          <w:b/>
          <w:szCs w:val="20"/>
        </w:rPr>
        <w:lastRenderedPageBreak/>
        <w:t xml:space="preserve">Youth </w:t>
      </w:r>
      <w:r w:rsidR="00AB1DAE" w:rsidRPr="001C0485">
        <w:rPr>
          <w:rFonts w:ascii="Arial" w:hAnsi="Arial"/>
          <w:b/>
          <w:szCs w:val="20"/>
        </w:rPr>
        <w:t>justice services</w:t>
      </w:r>
      <w:bookmarkStart w:id="94" w:name="_Toc320770826"/>
      <w:bookmarkStart w:id="95" w:name="_Toc348449369"/>
      <w:bookmarkStart w:id="96" w:name="_Toc348952919"/>
      <w:bookmarkStart w:id="97" w:name="_Toc351361360"/>
      <w:bookmarkEnd w:id="89"/>
      <w:bookmarkEnd w:id="90"/>
      <w:bookmarkEnd w:id="91"/>
      <w:bookmarkEnd w:id="92"/>
      <w:bookmarkEnd w:id="93"/>
      <w:r w:rsidR="008C5379">
        <w:rPr>
          <w:rFonts w:ascii="Arial" w:hAnsi="Arial"/>
          <w:b/>
          <w:szCs w:val="20"/>
        </w:rPr>
        <w:t xml:space="preserve"> — s</w:t>
      </w:r>
      <w:r w:rsidR="00AB1DAE" w:rsidRPr="001C0485">
        <w:rPr>
          <w:rFonts w:ascii="Arial" w:hAnsi="Arial"/>
          <w:b/>
          <w:szCs w:val="20"/>
        </w:rPr>
        <w:t>ervice overview</w:t>
      </w:r>
      <w:bookmarkEnd w:id="94"/>
      <w:bookmarkEnd w:id="95"/>
      <w:bookmarkEnd w:id="96"/>
      <w:bookmarkEnd w:id="97"/>
    </w:p>
    <w:p w:rsidR="001F677F" w:rsidRPr="001C0485" w:rsidRDefault="001F677F" w:rsidP="001F677F">
      <w:pPr>
        <w:pStyle w:val="BodyText"/>
      </w:pPr>
      <w:r w:rsidRPr="001C0485">
        <w:t>Youth justice systems are responsible for attending to young people (predominantly aged 10–17 years) who have committed or allegedly committed an offence while considered by law to be a juvenile. In so doing, youth justice systems aim to promote community safety and reduce youth offending, by assisting young people to address their offending behaviour and take responsibility for the effect their behaviour has on victims and the wider community.</w:t>
      </w:r>
    </w:p>
    <w:p w:rsidR="008E0ABE" w:rsidRPr="001C0485" w:rsidRDefault="008E0ABE" w:rsidP="008E0ABE">
      <w:pPr>
        <w:pStyle w:val="BodyText"/>
      </w:pPr>
      <w:r w:rsidRPr="001C0485">
        <w:t>Responsibility for the provision of youth justice services in Australia resides with State and Territory governments. The relevant department in each State and Territory responsible for funding and/or providing youth justice services in 2011</w:t>
      </w:r>
      <w:r w:rsidRPr="001C0485">
        <w:noBreakHyphen/>
        <w:t>12 is listed in box 15.5. Each jurisdiction has its own legislation that determines the policies and practices of its youth justice system. While this legislation varies in detail, its intent is similar across jurisdictions.</w:t>
      </w:r>
    </w:p>
    <w:p w:rsidR="008E0ABE" w:rsidRPr="001C0485" w:rsidRDefault="008E0ABE" w:rsidP="008E0ABE">
      <w:pPr>
        <w:pStyle w:val="BodyText"/>
        <w:widowControl w:val="0"/>
      </w:pPr>
      <w:r w:rsidRPr="001C0485">
        <w:t>The Australasian Juvenile Justice Administrators (AJJA) is responsible for national coordination of youth justice services and is a committee of the Standing Council on Community, Housing and Disability Services (SCCHDS), which in turn provides support to the Community, Housing and Disability Services Ministers’ Conference (CHDSMC).</w:t>
      </w:r>
    </w:p>
    <w:p w:rsidR="00D103EE" w:rsidRPr="001C0485" w:rsidRDefault="00D103EE" w:rsidP="00D103EE">
      <w:pPr>
        <w:pStyle w:val="BoxSpac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29"/>
        <w:gridCol w:w="7942"/>
      </w:tblGrid>
      <w:tr w:rsidR="008E0ABE" w:rsidRPr="001C0485" w:rsidTr="00372932">
        <w:tc>
          <w:tcPr>
            <w:tcW w:w="8771" w:type="dxa"/>
            <w:gridSpan w:val="2"/>
            <w:tcBorders>
              <w:top w:val="single" w:sz="6" w:space="0" w:color="auto"/>
              <w:bottom w:val="nil"/>
            </w:tcBorders>
          </w:tcPr>
          <w:p w:rsidR="008E0ABE" w:rsidRPr="001C0485" w:rsidRDefault="009F41E6" w:rsidP="00372932">
            <w:pPr>
              <w:pStyle w:val="BoxTitle"/>
            </w:pPr>
            <w:r w:rsidRPr="001C0485">
              <w:rPr>
                <w:b w:val="0"/>
              </w:rPr>
              <w:t>Box 15.5</w:t>
            </w:r>
            <w:r w:rsidR="008E0ABE" w:rsidRPr="001C0485">
              <w:tab/>
              <w:t>Government departments responsible for the delivery of youth justice services</w:t>
            </w:r>
          </w:p>
        </w:tc>
      </w:tr>
      <w:tr w:rsidR="008E0ABE" w:rsidRPr="001C0485"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1C0485" w:rsidRDefault="008E0ABE" w:rsidP="00372932">
            <w:pPr>
              <w:pStyle w:val="Box"/>
              <w:rPr>
                <w:i/>
              </w:rPr>
            </w:pPr>
            <w:r w:rsidRPr="001C0485">
              <w:rPr>
                <w:i/>
              </w:rPr>
              <w:t>NSW</w:t>
            </w:r>
          </w:p>
        </w:tc>
        <w:tc>
          <w:tcPr>
            <w:tcW w:w="7942" w:type="dxa"/>
          </w:tcPr>
          <w:p w:rsidR="008E0ABE" w:rsidRPr="001C0485" w:rsidRDefault="008E0ABE" w:rsidP="00372932">
            <w:pPr>
              <w:pStyle w:val="Box"/>
            </w:pPr>
            <w:r w:rsidRPr="001C0485">
              <w:t xml:space="preserve">Department of Attorney General and Justice </w:t>
            </w:r>
          </w:p>
        </w:tc>
      </w:tr>
      <w:tr w:rsidR="008E0ABE" w:rsidRPr="001C0485"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1C0485" w:rsidRDefault="008E0ABE" w:rsidP="00372932">
            <w:pPr>
              <w:pStyle w:val="Box"/>
              <w:rPr>
                <w:i/>
              </w:rPr>
            </w:pPr>
            <w:r w:rsidRPr="001C0485">
              <w:rPr>
                <w:i/>
              </w:rPr>
              <w:t>Vic</w:t>
            </w:r>
          </w:p>
        </w:tc>
        <w:tc>
          <w:tcPr>
            <w:tcW w:w="7942" w:type="dxa"/>
          </w:tcPr>
          <w:p w:rsidR="008E0ABE" w:rsidRPr="001C0485" w:rsidRDefault="008E0ABE" w:rsidP="00372932">
            <w:pPr>
              <w:pStyle w:val="Box"/>
            </w:pPr>
            <w:r w:rsidRPr="001C0485">
              <w:t>Department of Human Services</w:t>
            </w:r>
          </w:p>
        </w:tc>
      </w:tr>
      <w:tr w:rsidR="008E0ABE" w:rsidRPr="001C0485"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1C0485" w:rsidRDefault="008E0ABE" w:rsidP="00372932">
            <w:pPr>
              <w:pStyle w:val="Box"/>
              <w:rPr>
                <w:i/>
              </w:rPr>
            </w:pPr>
            <w:r w:rsidRPr="001C0485">
              <w:rPr>
                <w:i/>
              </w:rPr>
              <w:t>Qld</w:t>
            </w:r>
          </w:p>
        </w:tc>
        <w:tc>
          <w:tcPr>
            <w:tcW w:w="7942" w:type="dxa"/>
          </w:tcPr>
          <w:p w:rsidR="008E0ABE" w:rsidRPr="001C0485" w:rsidRDefault="008E0ABE" w:rsidP="00372932">
            <w:pPr>
              <w:pStyle w:val="Box"/>
            </w:pPr>
            <w:r w:rsidRPr="001C0485">
              <w:t>Department of Justice and Attorney-General</w:t>
            </w:r>
          </w:p>
        </w:tc>
      </w:tr>
      <w:tr w:rsidR="008E0ABE" w:rsidRPr="001C0485"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1C0485" w:rsidRDefault="008E0ABE" w:rsidP="00372932">
            <w:pPr>
              <w:pStyle w:val="Box"/>
              <w:rPr>
                <w:i/>
              </w:rPr>
            </w:pPr>
            <w:r w:rsidRPr="001C0485">
              <w:rPr>
                <w:i/>
              </w:rPr>
              <w:t>WA</w:t>
            </w:r>
          </w:p>
        </w:tc>
        <w:tc>
          <w:tcPr>
            <w:tcW w:w="7942" w:type="dxa"/>
          </w:tcPr>
          <w:p w:rsidR="008E0ABE" w:rsidRPr="001C0485" w:rsidRDefault="008E0ABE" w:rsidP="00372932">
            <w:pPr>
              <w:pStyle w:val="Box"/>
            </w:pPr>
            <w:r w:rsidRPr="001C0485">
              <w:t>Department of Corrective Services</w:t>
            </w:r>
          </w:p>
        </w:tc>
      </w:tr>
      <w:tr w:rsidR="008E0ABE" w:rsidRPr="001C0485"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1C0485" w:rsidRDefault="008E0ABE" w:rsidP="00372932">
            <w:pPr>
              <w:pStyle w:val="Box"/>
              <w:rPr>
                <w:i/>
              </w:rPr>
            </w:pPr>
            <w:r w:rsidRPr="001C0485">
              <w:rPr>
                <w:i/>
              </w:rPr>
              <w:t>SA</w:t>
            </w:r>
          </w:p>
        </w:tc>
        <w:tc>
          <w:tcPr>
            <w:tcW w:w="7942" w:type="dxa"/>
          </w:tcPr>
          <w:p w:rsidR="008E0ABE" w:rsidRPr="001C0485" w:rsidRDefault="008E0ABE" w:rsidP="00372932">
            <w:pPr>
              <w:pStyle w:val="Box"/>
            </w:pPr>
            <w:r w:rsidRPr="001C0485">
              <w:t>Department for Communities and Social Inclusion</w:t>
            </w:r>
          </w:p>
        </w:tc>
      </w:tr>
      <w:tr w:rsidR="008E0ABE" w:rsidRPr="001C0485"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1C0485" w:rsidRDefault="008E0ABE" w:rsidP="00372932">
            <w:pPr>
              <w:pStyle w:val="Box"/>
              <w:rPr>
                <w:i/>
              </w:rPr>
            </w:pPr>
            <w:r w:rsidRPr="001C0485">
              <w:rPr>
                <w:i/>
              </w:rPr>
              <w:t>Tas</w:t>
            </w:r>
          </w:p>
        </w:tc>
        <w:tc>
          <w:tcPr>
            <w:tcW w:w="7942" w:type="dxa"/>
          </w:tcPr>
          <w:p w:rsidR="008E0ABE" w:rsidRPr="001C0485" w:rsidRDefault="008E0ABE" w:rsidP="00372932">
            <w:pPr>
              <w:pStyle w:val="Box"/>
            </w:pPr>
            <w:r w:rsidRPr="001C0485">
              <w:t>Department of Health and Human Services</w:t>
            </w:r>
          </w:p>
        </w:tc>
      </w:tr>
      <w:tr w:rsidR="008E0ABE" w:rsidRPr="001C0485"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1C0485" w:rsidRDefault="008E0ABE" w:rsidP="00372932">
            <w:pPr>
              <w:pStyle w:val="Box"/>
              <w:rPr>
                <w:i/>
              </w:rPr>
            </w:pPr>
            <w:r w:rsidRPr="001C0485">
              <w:rPr>
                <w:i/>
              </w:rPr>
              <w:t>ACT</w:t>
            </w:r>
          </w:p>
        </w:tc>
        <w:tc>
          <w:tcPr>
            <w:tcW w:w="7942" w:type="dxa"/>
          </w:tcPr>
          <w:p w:rsidR="008E0ABE" w:rsidRPr="001C0485" w:rsidRDefault="008E0ABE" w:rsidP="00372932">
            <w:pPr>
              <w:pStyle w:val="Box"/>
            </w:pPr>
            <w:r w:rsidRPr="001C0485">
              <w:t>Community Services Directorate</w:t>
            </w:r>
          </w:p>
        </w:tc>
      </w:tr>
      <w:tr w:rsidR="008E0ABE" w:rsidRPr="001C0485" w:rsidTr="00372932">
        <w:tblPrEx>
          <w:tblBorders>
            <w:top w:val="single" w:sz="4" w:space="0" w:color="auto"/>
            <w:left w:val="single" w:sz="4" w:space="0" w:color="auto"/>
            <w:bottom w:val="single" w:sz="4" w:space="0" w:color="auto"/>
            <w:right w:val="single" w:sz="4" w:space="0" w:color="auto"/>
          </w:tblBorders>
        </w:tblPrEx>
        <w:trPr>
          <w:cantSplit/>
        </w:trPr>
        <w:tc>
          <w:tcPr>
            <w:tcW w:w="829" w:type="dxa"/>
          </w:tcPr>
          <w:p w:rsidR="008E0ABE" w:rsidRPr="001C0485" w:rsidRDefault="008E0ABE" w:rsidP="00372932">
            <w:pPr>
              <w:pStyle w:val="Box"/>
              <w:rPr>
                <w:i/>
              </w:rPr>
            </w:pPr>
            <w:r w:rsidRPr="001C0485">
              <w:rPr>
                <w:i/>
              </w:rPr>
              <w:t>NT</w:t>
            </w:r>
          </w:p>
        </w:tc>
        <w:tc>
          <w:tcPr>
            <w:tcW w:w="7942" w:type="dxa"/>
          </w:tcPr>
          <w:p w:rsidR="008E0ABE" w:rsidRPr="001C0485" w:rsidRDefault="008E0ABE" w:rsidP="00372932">
            <w:pPr>
              <w:pStyle w:val="Box"/>
            </w:pPr>
            <w:r w:rsidRPr="001C0485">
              <w:t>Department of Justice and Office of Children and Families</w:t>
            </w:r>
          </w:p>
        </w:tc>
      </w:tr>
      <w:tr w:rsidR="008E0ABE" w:rsidRPr="001C0485" w:rsidTr="00372932">
        <w:trPr>
          <w:cantSplit/>
        </w:trPr>
        <w:tc>
          <w:tcPr>
            <w:tcW w:w="8771" w:type="dxa"/>
            <w:gridSpan w:val="2"/>
            <w:tcBorders>
              <w:top w:val="nil"/>
              <w:left w:val="single" w:sz="6" w:space="0" w:color="auto"/>
              <w:bottom w:val="single" w:sz="6" w:space="0" w:color="auto"/>
              <w:right w:val="single" w:sz="6" w:space="0" w:color="auto"/>
            </w:tcBorders>
          </w:tcPr>
          <w:p w:rsidR="008E0ABE" w:rsidRPr="001C0485" w:rsidRDefault="008E0ABE" w:rsidP="00372932">
            <w:pPr>
              <w:pStyle w:val="Box"/>
              <w:spacing w:before="0" w:line="120" w:lineRule="exact"/>
            </w:pPr>
          </w:p>
        </w:tc>
      </w:tr>
      <w:tr w:rsidR="008E0ABE" w:rsidRPr="001C0485" w:rsidTr="00372932">
        <w:tc>
          <w:tcPr>
            <w:tcW w:w="8771" w:type="dxa"/>
            <w:gridSpan w:val="2"/>
            <w:tcBorders>
              <w:top w:val="nil"/>
              <w:left w:val="nil"/>
              <w:bottom w:val="nil"/>
              <w:right w:val="nil"/>
            </w:tcBorders>
          </w:tcPr>
          <w:p w:rsidR="008E0ABE" w:rsidRPr="001C0485" w:rsidRDefault="008E0ABE" w:rsidP="00372932">
            <w:pPr>
              <w:pStyle w:val="Box"/>
              <w:keepNext w:val="0"/>
              <w:spacing w:before="60" w:after="60" w:line="80" w:lineRule="exact"/>
              <w:rPr>
                <w:b/>
                <w:color w:val="FF00FF"/>
                <w:sz w:val="14"/>
              </w:rPr>
            </w:pPr>
          </w:p>
        </w:tc>
      </w:tr>
    </w:tbl>
    <w:p w:rsidR="00AB1DAE" w:rsidRPr="001C0485" w:rsidRDefault="008E0ABE" w:rsidP="008E0ABE">
      <w:pPr>
        <w:pStyle w:val="BodyText"/>
      </w:pPr>
      <w:bookmarkStart w:id="98" w:name="_Toc320770827"/>
      <w:bookmarkStart w:id="99" w:name="_Toc348449370"/>
      <w:r w:rsidRPr="001C0485">
        <w:br w:type="page"/>
      </w:r>
      <w:bookmarkEnd w:id="98"/>
      <w:bookmarkEnd w:id="99"/>
      <w:r w:rsidRPr="001C0485">
        <w:rPr>
          <w:rFonts w:ascii="Arial" w:hAnsi="Arial"/>
          <w:i/>
          <w:sz w:val="24"/>
        </w:rPr>
        <w:lastRenderedPageBreak/>
        <w:t>Clients of youth justice agencies</w:t>
      </w:r>
    </w:p>
    <w:p w:rsidR="008E0ABE" w:rsidRPr="001C0485" w:rsidRDefault="008E0ABE" w:rsidP="008E0ABE">
      <w:pPr>
        <w:keepNext/>
        <w:spacing w:before="480" w:line="320" w:lineRule="exact"/>
        <w:outlineLvl w:val="4"/>
        <w:rPr>
          <w:i/>
          <w:szCs w:val="20"/>
        </w:rPr>
      </w:pPr>
      <w:r w:rsidRPr="001C0485">
        <w:rPr>
          <w:i/>
          <w:szCs w:val="20"/>
        </w:rPr>
        <w:t>Numbers and rates of young Indigenous Australians subject to youth justice supervision</w:t>
      </w:r>
    </w:p>
    <w:p w:rsidR="008E0ABE" w:rsidRPr="001C0485" w:rsidRDefault="008E0ABE" w:rsidP="008E0ABE">
      <w:pPr>
        <w:pStyle w:val="BodyText"/>
      </w:pPr>
      <w:r w:rsidRPr="001C0485">
        <w:t>The daily average number of Indigenous Australians aged 10–17 years detained in youth justice detention centres was 454 in 2010</w:t>
      </w:r>
      <w:r w:rsidRPr="001C0485">
        <w:noBreakHyphen/>
        <w:t>11, compared with 396 non</w:t>
      </w:r>
      <w:r w:rsidRPr="001C0485">
        <w:noBreakHyphen/>
        <w:t>Indigenous Australians aged 10–17 years (table 15A.186). Nationally, the daily average detention rate for Indigenous Australians aged 10–17 years in 2010-11 was 437.5 per 100 000 Indigenous Australians aged 10–17 years, compared with 18.2 per 100 000 non-Indigenous young people (table 15A.186). The over</w:t>
      </w:r>
      <w:r w:rsidRPr="001C0485">
        <w:noBreakHyphen/>
        <w:t>representation of Indigenous Australians aged 10–17 years in detention across jurisdictions in 2010-11 is shown in figure 15.6.</w:t>
      </w:r>
    </w:p>
    <w:p w:rsidR="008E0ABE" w:rsidRPr="001C0485" w:rsidRDefault="008E0ABE" w:rsidP="008E0ABE">
      <w:pPr>
        <w:pStyle w:val="BodyText"/>
      </w:pPr>
      <w:r w:rsidRPr="001C0485">
        <w:t xml:space="preserve">In 2011, the House of Representatives Standing Committee on Aboriginal and Torres Strait Islander Affairs released the report </w:t>
      </w:r>
      <w:r w:rsidRPr="001C0485">
        <w:rPr>
          <w:i/>
        </w:rPr>
        <w:t>Doing Time — Time for Doing: Indigenous youth in the criminal justice system</w:t>
      </w:r>
      <w:r w:rsidRPr="001C0485">
        <w:t xml:space="preserve">, which highlighted that, although 20 years have passed since the </w:t>
      </w:r>
      <w:r w:rsidRPr="001C0485">
        <w:rPr>
          <w:i/>
        </w:rPr>
        <w:t xml:space="preserve">Royal Commission into Aboriginal Deaths in Custody Report </w:t>
      </w:r>
      <w:r w:rsidRPr="001C0485">
        <w:t>(Commonwealth of Australia 1991), the incarceration rate of Indigenous Australians, including Indigenous youth, has worsened (Commonwealth of Australia 2011). Indigenous young people are far more likely to come into contact with the criminal justice system and to be incarcerated than non</w:t>
      </w:r>
      <w:r w:rsidRPr="001C0485">
        <w:noBreakHyphen/>
        <w:t>Indigenous young people, despite Indigenous people representing approximately 2.5 per cent of the Australian population.</w:t>
      </w:r>
    </w:p>
    <w:p w:rsidR="008E0ABE" w:rsidRPr="001C0485" w:rsidRDefault="008E0ABE" w:rsidP="008E0ABE">
      <w:pPr>
        <w:pStyle w:val="FigureTitle"/>
      </w:pPr>
      <w:r w:rsidRPr="001C0485">
        <w:rPr>
          <w:b w:val="0"/>
        </w:rPr>
        <w:lastRenderedPageBreak/>
        <w:t xml:space="preserve">Figure </w:t>
      </w:r>
      <w:r w:rsidR="009F41E6" w:rsidRPr="001C0485">
        <w:rPr>
          <w:b w:val="0"/>
        </w:rPr>
        <w:t>15.6</w:t>
      </w:r>
      <w:r w:rsidRPr="001C0485">
        <w:rPr>
          <w:b w:val="0"/>
        </w:rPr>
        <w:tab/>
      </w:r>
      <w:r w:rsidRPr="001C0485">
        <w:t>Average daily rate of detention of Indigenous and non</w:t>
      </w:r>
      <w:r w:rsidRPr="001C0485">
        <w:noBreakHyphen/>
        <w:t>Indigenous young people aged 10–17 years, per 100 000 young people aged 10–17 years, 2010</w:t>
      </w:r>
      <w:r w:rsidRPr="001C0485">
        <w:noBreakHyphen/>
        <w:t>11</w:t>
      </w:r>
      <w:r w:rsidRPr="001C0485">
        <w:rPr>
          <w:rStyle w:val="NoteLabel"/>
          <w:b/>
        </w:rPr>
        <w:t>a,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8E0ABE" w:rsidRPr="001C0485" w:rsidTr="00372932">
        <w:tc>
          <w:tcPr>
            <w:tcW w:w="8777" w:type="dxa"/>
          </w:tcPr>
          <w:p w:rsidR="008E0ABE" w:rsidRPr="001C0485" w:rsidRDefault="008E0ABE" w:rsidP="00372932">
            <w:pPr>
              <w:pStyle w:val="Figure"/>
            </w:pPr>
            <w:r w:rsidRPr="001C0485">
              <w:rPr>
                <w:noProof/>
              </w:rPr>
              <w:drawing>
                <wp:inline distT="0" distB="0" distL="0" distR="0" wp14:anchorId="6C3DB89D" wp14:editId="16E04ED5">
                  <wp:extent cx="5400000" cy="2520000"/>
                  <wp:effectExtent l="0" t="0" r="0" b="0"/>
                  <wp:docPr id="15" name="Chart 15" descr="Figure 15.6 Average daily rate of detention of Indigenous and non Indigenous young people aged 10–17 years, per 100 000 young people aged 10–17 years, 2010-11&#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8E0ABE" w:rsidRPr="001C0485" w:rsidRDefault="008E0ABE" w:rsidP="008E0ABE">
      <w:pPr>
        <w:pStyle w:val="Note"/>
      </w:pPr>
      <w:r w:rsidRPr="001C0485">
        <w:rPr>
          <w:rStyle w:val="NoteLabel"/>
        </w:rPr>
        <w:t xml:space="preserve">a </w:t>
      </w:r>
      <w:r w:rsidRPr="001C0485">
        <w:t>The ACT rate for Indigenous young people should be treated with caution due to the small Indigenous population in the ACT.</w:t>
      </w:r>
      <w:r w:rsidRPr="001C0485">
        <w:rPr>
          <w:rStyle w:val="NoteLabel"/>
        </w:rPr>
        <w:t xml:space="preserve"> b </w:t>
      </w:r>
      <w:r w:rsidRPr="001C0485">
        <w:t xml:space="preserve">These data should be interpreted with caution, particularly for jurisdictions with small Indigenous populations. The Indigenous and non-Indigenous rate ratio in table 15A.188 should also be taken into account. </w:t>
      </w:r>
      <w:r w:rsidRPr="001C0485">
        <w:rPr>
          <w:rStyle w:val="NoteLabel"/>
        </w:rPr>
        <w:t>c</w:t>
      </w:r>
      <w:r w:rsidRPr="001C0485">
        <w:t xml:space="preserve"> Refer to table 15A.186 for detailed footnotes.</w:t>
      </w:r>
    </w:p>
    <w:p w:rsidR="008E0ABE" w:rsidRPr="001C0485" w:rsidRDefault="008E0ABE" w:rsidP="008E0ABE">
      <w:pPr>
        <w:pStyle w:val="Source"/>
      </w:pPr>
      <w:r w:rsidRPr="001C0485">
        <w:rPr>
          <w:i/>
        </w:rPr>
        <w:t>Source</w:t>
      </w:r>
      <w:r w:rsidRPr="001C0485">
        <w:t xml:space="preserve">: AIHW 2012, </w:t>
      </w:r>
      <w:r w:rsidRPr="001C0485">
        <w:rPr>
          <w:i/>
        </w:rPr>
        <w:t>Juvenile justice in Australia 2010–11,</w:t>
      </w:r>
      <w:r w:rsidRPr="001C0485">
        <w:t xml:space="preserve"> Juvenile justice series no. 10, JUV 10, Canberra: AIHW; WA and NT governments (unpublished); table 15A.186</w:t>
      </w:r>
      <w:r w:rsidR="00C40DBF" w:rsidRPr="001C0485">
        <w:t>; 2013 Report, figure 15.19, p. 15.66.</w:t>
      </w:r>
    </w:p>
    <w:p w:rsidR="00C40DBF" w:rsidRPr="001C0485" w:rsidRDefault="00C40DBF" w:rsidP="00C40DBF">
      <w:pPr>
        <w:pStyle w:val="BodyText"/>
      </w:pPr>
      <w:r w:rsidRPr="001C0485">
        <w:t xml:space="preserve">Indigenous young people are also over-represented in community-based supervision (figure 15.7). The daily average number of Indigenous young people aged </w:t>
      </w:r>
      <w:r w:rsidRPr="001C0485">
        <w:br/>
        <w:t>10–17 years supervised in the community was 2125 in 2010-11, compared with 3043 non-Indigenous young people aged 10–17 years (table 15A.187). Nationally, the daily average rate of Indigenous young people aged 10–17 years subject to community-based supervision in 2010</w:t>
      </w:r>
      <w:r w:rsidRPr="001C0485">
        <w:noBreakHyphen/>
        <w:t>11 was 2045.8 per 100 000 Indigenous young people aged 10–17 years, compared with 139.5 per 100 000 non-Indigenous young people ag</w:t>
      </w:r>
      <w:r w:rsidR="001C0485" w:rsidRPr="001C0485">
        <w:t>ed 10–17 years (table 15A.187).</w:t>
      </w:r>
    </w:p>
    <w:p w:rsidR="00C40DBF" w:rsidRPr="001C0485" w:rsidRDefault="00C40DBF" w:rsidP="00C40DBF">
      <w:pPr>
        <w:pStyle w:val="FigureTitle"/>
      </w:pPr>
      <w:r w:rsidRPr="001C0485">
        <w:rPr>
          <w:b w:val="0"/>
        </w:rPr>
        <w:lastRenderedPageBreak/>
        <w:t xml:space="preserve">Figure </w:t>
      </w:r>
      <w:r w:rsidR="009F41E6" w:rsidRPr="001C0485">
        <w:rPr>
          <w:b w:val="0"/>
        </w:rPr>
        <w:t>15.7</w:t>
      </w:r>
      <w:r w:rsidRPr="001C0485">
        <w:rPr>
          <w:b w:val="0"/>
        </w:rPr>
        <w:tab/>
      </w:r>
      <w:r w:rsidRPr="001C0485">
        <w:t>Average daily rate of Indigenous and non</w:t>
      </w:r>
      <w:r w:rsidRPr="001C0485">
        <w:noBreakHyphen/>
        <w:t>Indigenous young people aged 10–17 years subject to community supervision, per 100 000 young people aged 10-17 years, 2010</w:t>
      </w:r>
      <w:r w:rsidRPr="001C0485">
        <w:noBreakHyphen/>
        <w:t>11</w:t>
      </w:r>
      <w:r w:rsidRPr="001C0485">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40DBF" w:rsidRPr="001C0485" w:rsidTr="00372932">
        <w:tc>
          <w:tcPr>
            <w:tcW w:w="8777" w:type="dxa"/>
          </w:tcPr>
          <w:p w:rsidR="00C40DBF" w:rsidRPr="001C0485" w:rsidRDefault="00C40DBF" w:rsidP="00372932">
            <w:pPr>
              <w:pStyle w:val="Figure"/>
            </w:pPr>
            <w:r w:rsidRPr="001C0485">
              <w:rPr>
                <w:noProof/>
              </w:rPr>
              <w:drawing>
                <wp:inline distT="0" distB="0" distL="0" distR="0" wp14:anchorId="363CF528" wp14:editId="5B95C6B6">
                  <wp:extent cx="5400000" cy="2520000"/>
                  <wp:effectExtent l="0" t="0" r="0" b="0"/>
                  <wp:docPr id="17" name="Chart 17" descr="Figure 15.7 Average daily rate of Indigenous and non Indigenous young people aged 10–17 years subject to community supervision, per 100 000 young people aged 10-17 years, 2010-11&#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C40DBF" w:rsidRPr="001C0485" w:rsidRDefault="00C40DBF" w:rsidP="00C40DBF">
      <w:pPr>
        <w:pStyle w:val="Note"/>
      </w:pPr>
      <w:r w:rsidRPr="001C0485">
        <w:rPr>
          <w:rStyle w:val="NoteLabel"/>
        </w:rPr>
        <w:t xml:space="preserve">a </w:t>
      </w:r>
      <w:r w:rsidRPr="001C0485">
        <w:t>Refer to table 15A.187 for detailed footnotes.</w:t>
      </w:r>
    </w:p>
    <w:p w:rsidR="00C40DBF" w:rsidRPr="001C0485" w:rsidRDefault="00C40DBF" w:rsidP="00C40DBF">
      <w:pPr>
        <w:pStyle w:val="Source"/>
      </w:pPr>
      <w:r w:rsidRPr="001C0485">
        <w:rPr>
          <w:i/>
        </w:rPr>
        <w:t>Source</w:t>
      </w:r>
      <w:r w:rsidRPr="001C0485">
        <w:t xml:space="preserve">: AIHW 2012, </w:t>
      </w:r>
      <w:r w:rsidRPr="001C0485">
        <w:rPr>
          <w:i/>
        </w:rPr>
        <w:t>Juvenile justice in Australia 2010–11,</w:t>
      </w:r>
      <w:r w:rsidRPr="001C0485">
        <w:t xml:space="preserve"> Juvenile justice series no. 10, JUV 10, Canberra: AIHW; WA and NT governments (unpublished); table 15A.187; 2013 Report, figure 15.20, p. 15.67.</w:t>
      </w:r>
    </w:p>
    <w:p w:rsidR="00AB1DAE" w:rsidRPr="001C0485" w:rsidRDefault="00AB1DAE" w:rsidP="00AB1DAE">
      <w:pPr>
        <w:keepNext/>
        <w:spacing w:before="560" w:line="320" w:lineRule="exact"/>
        <w:outlineLvl w:val="2"/>
        <w:rPr>
          <w:rFonts w:ascii="Arial" w:hAnsi="Arial"/>
          <w:b/>
          <w:szCs w:val="20"/>
        </w:rPr>
      </w:pPr>
      <w:bookmarkStart w:id="100" w:name="_Toc290291988"/>
      <w:bookmarkStart w:id="101" w:name="_Toc320770828"/>
      <w:bookmarkStart w:id="102" w:name="_Toc348449371"/>
      <w:bookmarkStart w:id="103" w:name="_Toc348952920"/>
      <w:bookmarkStart w:id="104" w:name="_Toc351361361"/>
      <w:r w:rsidRPr="001C0485">
        <w:rPr>
          <w:rFonts w:ascii="Arial" w:hAnsi="Arial"/>
          <w:b/>
          <w:szCs w:val="20"/>
        </w:rPr>
        <w:t xml:space="preserve">Framework of performance indicators for </w:t>
      </w:r>
      <w:r w:rsidR="0080142C" w:rsidRPr="001C0485">
        <w:rPr>
          <w:rFonts w:ascii="Arial" w:hAnsi="Arial"/>
          <w:b/>
          <w:szCs w:val="20"/>
        </w:rPr>
        <w:t>youth</w:t>
      </w:r>
      <w:r w:rsidRPr="001C0485">
        <w:rPr>
          <w:rFonts w:ascii="Arial" w:hAnsi="Arial"/>
          <w:b/>
          <w:szCs w:val="20"/>
        </w:rPr>
        <w:t xml:space="preserve"> justice services</w:t>
      </w:r>
      <w:bookmarkEnd w:id="100"/>
      <w:bookmarkEnd w:id="101"/>
      <w:bookmarkEnd w:id="102"/>
      <w:bookmarkEnd w:id="103"/>
      <w:bookmarkEnd w:id="104"/>
    </w:p>
    <w:p w:rsidR="00AB1DAE" w:rsidRPr="001C0485" w:rsidRDefault="00AB1DAE" w:rsidP="00AB1DAE">
      <w:pPr>
        <w:spacing w:before="240" w:line="320" w:lineRule="atLeast"/>
        <w:jc w:val="both"/>
        <w:rPr>
          <w:szCs w:val="20"/>
        </w:rPr>
      </w:pPr>
      <w:r w:rsidRPr="001C0485">
        <w:rPr>
          <w:szCs w:val="20"/>
        </w:rPr>
        <w:t xml:space="preserve">The </w:t>
      </w:r>
      <w:r w:rsidR="0080142C" w:rsidRPr="001C0485">
        <w:rPr>
          <w:szCs w:val="20"/>
        </w:rPr>
        <w:t>Youth</w:t>
      </w:r>
      <w:r w:rsidRPr="001C0485">
        <w:rPr>
          <w:szCs w:val="20"/>
        </w:rPr>
        <w:t xml:space="preserve"> justice services performance indicator framework in figure 15.8 identifies the principal </w:t>
      </w:r>
      <w:r w:rsidR="0080142C" w:rsidRPr="001C0485">
        <w:rPr>
          <w:szCs w:val="20"/>
        </w:rPr>
        <w:t>youth</w:t>
      </w:r>
      <w:r w:rsidRPr="001C0485">
        <w:rPr>
          <w:szCs w:val="20"/>
        </w:rPr>
        <w:t xml:space="preserve"> justice activit</w:t>
      </w:r>
      <w:r w:rsidR="00E421A3" w:rsidRPr="001C0485">
        <w:rPr>
          <w:szCs w:val="20"/>
        </w:rPr>
        <w:t>ies</w:t>
      </w:r>
      <w:r w:rsidRPr="001C0485">
        <w:rPr>
          <w:szCs w:val="20"/>
        </w:rPr>
        <w:t xml:space="preserve"> </w:t>
      </w:r>
      <w:r w:rsidR="00E421A3" w:rsidRPr="001C0485">
        <w:rPr>
          <w:szCs w:val="20"/>
        </w:rPr>
        <w:t>included</w:t>
      </w:r>
      <w:r w:rsidRPr="001C0485">
        <w:rPr>
          <w:szCs w:val="20"/>
        </w:rPr>
        <w:t xml:space="preserve"> in the 201</w:t>
      </w:r>
      <w:r w:rsidR="0080142C" w:rsidRPr="001C0485">
        <w:rPr>
          <w:szCs w:val="20"/>
        </w:rPr>
        <w:t>3</w:t>
      </w:r>
      <w:r w:rsidRPr="001C0485">
        <w:rPr>
          <w:szCs w:val="20"/>
        </w:rPr>
        <w:t xml:space="preserve"> Report. Data for Indigenous </w:t>
      </w:r>
      <w:r w:rsidR="009A675C" w:rsidRPr="001C0485">
        <w:rPr>
          <w:szCs w:val="20"/>
        </w:rPr>
        <w:t xml:space="preserve">Australians </w:t>
      </w:r>
      <w:r w:rsidRPr="001C0485">
        <w:rPr>
          <w:szCs w:val="20"/>
        </w:rPr>
        <w:t>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AB1DAE" w:rsidRPr="001C0485" w:rsidRDefault="00AB1DAE" w:rsidP="00AB1DAE">
      <w:pPr>
        <w:spacing w:before="240" w:line="320" w:lineRule="atLeast"/>
        <w:jc w:val="both"/>
        <w:rPr>
          <w:szCs w:val="20"/>
        </w:rPr>
      </w:pPr>
      <w:r w:rsidRPr="001C0485">
        <w:rPr>
          <w:szCs w:val="20"/>
        </w:rPr>
        <w:t>Indicator boxes presented throughout the chapter provide information about the reported indicators. As these are sourced directly from the 201</w:t>
      </w:r>
      <w:r w:rsidR="0080142C" w:rsidRPr="001C0485">
        <w:rPr>
          <w:szCs w:val="20"/>
        </w:rPr>
        <w:t>3</w:t>
      </w:r>
      <w:r w:rsidRPr="001C0485">
        <w:rPr>
          <w:szCs w:val="20"/>
        </w:rPr>
        <w:t xml:space="preserve"> Report, they may include references to data not reported for Indigenous people and therefore not included in this Compendium.</w:t>
      </w:r>
    </w:p>
    <w:p w:rsidR="0080142C" w:rsidRPr="001C0485" w:rsidRDefault="0080142C" w:rsidP="0080142C">
      <w:pPr>
        <w:pStyle w:val="BodyText"/>
        <w:rPr>
          <w:szCs w:val="26"/>
        </w:rPr>
      </w:pPr>
      <w:r w:rsidRPr="001C0485">
        <w:rPr>
          <w:szCs w:val="26"/>
        </w:rPr>
        <w:t>The Report’s statistical appendix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(appendix A).</w:t>
      </w:r>
    </w:p>
    <w:p w:rsidR="006F0613" w:rsidRPr="001C0485" w:rsidRDefault="00AB1DAE" w:rsidP="006F0613">
      <w:pPr>
        <w:keepNext/>
        <w:keepLines/>
        <w:spacing w:before="360" w:after="80" w:line="280" w:lineRule="exact"/>
        <w:ind w:left="1474" w:hanging="1474"/>
        <w:rPr>
          <w:rFonts w:ascii="Arial" w:hAnsi="Arial"/>
          <w:b/>
        </w:rPr>
      </w:pPr>
      <w:r w:rsidRPr="001C0485">
        <w:rPr>
          <w:rFonts w:ascii="Arial" w:hAnsi="Arial"/>
        </w:rPr>
        <w:lastRenderedPageBreak/>
        <w:t xml:space="preserve">Figure </w:t>
      </w:r>
      <w:r w:rsidR="009F41E6" w:rsidRPr="001C0485">
        <w:rPr>
          <w:rFonts w:ascii="Arial" w:hAnsi="Arial"/>
        </w:rPr>
        <w:t>15.8</w:t>
      </w:r>
      <w:r w:rsidRPr="001C0485">
        <w:rPr>
          <w:rFonts w:ascii="Arial" w:hAnsi="Arial"/>
        </w:rPr>
        <w:tab/>
      </w:r>
      <w:r w:rsidR="006F0613" w:rsidRPr="001C0485">
        <w:rPr>
          <w:rFonts w:ascii="Arial" w:hAnsi="Arial"/>
          <w:b/>
        </w:rPr>
        <w:t>Youth justice services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F0613" w:rsidRPr="001C0485" w:rsidTr="00372932">
        <w:tc>
          <w:tcPr>
            <w:tcW w:w="8777" w:type="dxa"/>
          </w:tcPr>
          <w:p w:rsidR="006F0613" w:rsidRPr="001C0485" w:rsidRDefault="006F0613" w:rsidP="00372932">
            <w:pPr>
              <w:pStyle w:val="Figure"/>
            </w:pPr>
            <w:r w:rsidRPr="001C0485">
              <w:rPr>
                <w:noProof/>
              </w:rPr>
              <w:drawing>
                <wp:inline distT="0" distB="0" distL="0" distR="0" wp14:anchorId="1BF52363" wp14:editId="265B5CB1">
                  <wp:extent cx="5311588" cy="5117587"/>
                  <wp:effectExtent l="0" t="0" r="3810" b="6985"/>
                  <wp:docPr id="18" name="Picture 18" descr="Figure 15.8 Youth justic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11588" cy="5117587"/>
                          </a:xfrm>
                          <a:prstGeom prst="rect">
                            <a:avLst/>
                          </a:prstGeom>
                          <a:noFill/>
                          <a:ln>
                            <a:noFill/>
                          </a:ln>
                        </pic:spPr>
                      </pic:pic>
                    </a:graphicData>
                  </a:graphic>
                </wp:inline>
              </w:drawing>
            </w:r>
          </w:p>
        </w:tc>
      </w:tr>
    </w:tbl>
    <w:p w:rsidR="00AB1DAE" w:rsidRPr="001C0485" w:rsidRDefault="00AB1DAE" w:rsidP="00AB1DAE">
      <w:pPr>
        <w:keepLines/>
        <w:spacing w:before="80" w:after="120" w:line="220" w:lineRule="exact"/>
        <w:jc w:val="both"/>
        <w:rPr>
          <w:rFonts w:ascii="Arial" w:hAnsi="Arial"/>
          <w:sz w:val="18"/>
          <w:szCs w:val="20"/>
        </w:rPr>
      </w:pPr>
      <w:r w:rsidRPr="001C0485">
        <w:rPr>
          <w:rFonts w:ascii="Arial" w:hAnsi="Arial"/>
          <w:i/>
          <w:sz w:val="18"/>
          <w:szCs w:val="20"/>
        </w:rPr>
        <w:t>Source</w:t>
      </w:r>
      <w:r w:rsidRPr="001C0485">
        <w:rPr>
          <w:rFonts w:ascii="Arial" w:hAnsi="Arial"/>
          <w:sz w:val="18"/>
          <w:szCs w:val="20"/>
        </w:rPr>
        <w:t>: 201</w:t>
      </w:r>
      <w:r w:rsidR="006F0613" w:rsidRPr="001C0485">
        <w:rPr>
          <w:rFonts w:ascii="Arial" w:hAnsi="Arial"/>
          <w:sz w:val="18"/>
          <w:szCs w:val="20"/>
        </w:rPr>
        <w:t>3 Report, figure 15.22, p. 15.70</w:t>
      </w:r>
      <w:r w:rsidRPr="001C0485">
        <w:rPr>
          <w:rFonts w:ascii="Arial" w:hAnsi="Arial"/>
          <w:sz w:val="18"/>
          <w:szCs w:val="20"/>
        </w:rPr>
        <w:t>.</w:t>
      </w:r>
    </w:p>
    <w:p w:rsidR="00AB1DAE" w:rsidRPr="001C0485" w:rsidRDefault="00D6577A" w:rsidP="00AB1DAE">
      <w:pPr>
        <w:keepNext/>
        <w:spacing w:before="560" w:line="320" w:lineRule="exact"/>
        <w:outlineLvl w:val="2"/>
        <w:rPr>
          <w:rFonts w:ascii="Arial" w:hAnsi="Arial"/>
          <w:b/>
          <w:szCs w:val="20"/>
        </w:rPr>
      </w:pPr>
      <w:bookmarkStart w:id="105" w:name="_Toc290291989"/>
      <w:bookmarkStart w:id="106" w:name="_Toc257373849"/>
      <w:bookmarkStart w:id="107" w:name="_Toc320770829"/>
      <w:bookmarkStart w:id="108" w:name="_Toc348449372"/>
      <w:bookmarkStart w:id="109" w:name="_Toc348952921"/>
      <w:bookmarkStart w:id="110" w:name="_Toc351361362"/>
      <w:r w:rsidRPr="001C0485">
        <w:rPr>
          <w:rFonts w:ascii="Arial" w:hAnsi="Arial"/>
          <w:b/>
          <w:szCs w:val="20"/>
        </w:rPr>
        <w:t xml:space="preserve">Youth </w:t>
      </w:r>
      <w:r w:rsidR="00AB1DAE" w:rsidRPr="001C0485">
        <w:rPr>
          <w:rFonts w:ascii="Arial" w:hAnsi="Arial"/>
          <w:b/>
          <w:szCs w:val="20"/>
        </w:rPr>
        <w:t xml:space="preserve">justice services reporting for Indigenous </w:t>
      </w:r>
      <w:bookmarkEnd w:id="105"/>
      <w:bookmarkEnd w:id="106"/>
      <w:bookmarkEnd w:id="107"/>
      <w:bookmarkEnd w:id="108"/>
      <w:bookmarkEnd w:id="109"/>
      <w:r w:rsidRPr="001C0485">
        <w:rPr>
          <w:rFonts w:ascii="Arial" w:hAnsi="Arial"/>
          <w:b/>
          <w:szCs w:val="20"/>
        </w:rPr>
        <w:t>Australians</w:t>
      </w:r>
      <w:bookmarkEnd w:id="110"/>
    </w:p>
    <w:p w:rsidR="00292D1E" w:rsidRPr="001C0485" w:rsidRDefault="00292D1E" w:rsidP="00292D1E">
      <w:pPr>
        <w:keepNext/>
        <w:spacing w:before="480" w:line="320" w:lineRule="exact"/>
        <w:outlineLvl w:val="3"/>
        <w:rPr>
          <w:rFonts w:ascii="Arial" w:hAnsi="Arial"/>
          <w:i/>
          <w:sz w:val="24"/>
          <w:szCs w:val="20"/>
        </w:rPr>
      </w:pPr>
      <w:bookmarkStart w:id="111" w:name="_Toc348952922"/>
      <w:bookmarkStart w:id="112" w:name="_Toc351361363"/>
      <w:r w:rsidRPr="001C0485">
        <w:rPr>
          <w:rFonts w:ascii="Arial" w:hAnsi="Arial"/>
          <w:i/>
          <w:sz w:val="24"/>
          <w:szCs w:val="20"/>
        </w:rPr>
        <w:t>Diversion — group conferencing outcomes</w:t>
      </w:r>
      <w:bookmarkEnd w:id="111"/>
      <w:bookmarkEnd w:id="112"/>
    </w:p>
    <w:p w:rsidR="00292D1E" w:rsidRPr="001C0485" w:rsidRDefault="00292D1E" w:rsidP="00292D1E">
      <w:pPr>
        <w:pStyle w:val="BodyText"/>
      </w:pPr>
      <w:r w:rsidRPr="001C0485">
        <w:t>‘Group conferencing outcomes’ is an indicator of governments’ objective to divert young people from the youth justice system and address their offending needs (box 15.</w:t>
      </w:r>
      <w:r w:rsidR="009F41E6" w:rsidRPr="001C0485">
        <w:t>6</w:t>
      </w:r>
      <w:r w:rsidRPr="001C0485">
        <w:t>).</w:t>
      </w:r>
    </w:p>
    <w:p w:rsidR="00D103EE" w:rsidRPr="001C0485" w:rsidRDefault="00D103EE" w:rsidP="00D103E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92D1E" w:rsidRPr="001C0485" w:rsidTr="00372932">
        <w:tc>
          <w:tcPr>
            <w:tcW w:w="8771" w:type="dxa"/>
            <w:tcBorders>
              <w:top w:val="single" w:sz="6" w:space="0" w:color="auto"/>
              <w:bottom w:val="nil"/>
            </w:tcBorders>
          </w:tcPr>
          <w:p w:rsidR="00292D1E" w:rsidRPr="001C0485" w:rsidRDefault="00292D1E" w:rsidP="009552F0">
            <w:pPr>
              <w:pStyle w:val="BoxTitle"/>
            </w:pPr>
            <w:r w:rsidRPr="001C0485">
              <w:rPr>
                <w:b w:val="0"/>
              </w:rPr>
              <w:t xml:space="preserve">Box </w:t>
            </w:r>
            <w:r w:rsidR="009F41E6" w:rsidRPr="001C0485">
              <w:rPr>
                <w:b w:val="0"/>
              </w:rPr>
              <w:t>15.6</w:t>
            </w:r>
            <w:r w:rsidRPr="001C0485">
              <w:tab/>
              <w:t>Group conferencing outcomes</w:t>
            </w:r>
          </w:p>
        </w:tc>
      </w:tr>
      <w:tr w:rsidR="00292D1E" w:rsidRPr="001C0485" w:rsidTr="00372932">
        <w:trPr>
          <w:cantSplit/>
        </w:trPr>
        <w:tc>
          <w:tcPr>
            <w:tcW w:w="8771" w:type="dxa"/>
            <w:tcBorders>
              <w:top w:val="nil"/>
              <w:left w:val="single" w:sz="6" w:space="0" w:color="auto"/>
              <w:bottom w:val="nil"/>
              <w:right w:val="single" w:sz="6" w:space="0" w:color="auto"/>
            </w:tcBorders>
          </w:tcPr>
          <w:p w:rsidR="00292D1E" w:rsidRPr="001C0485" w:rsidRDefault="00292D1E" w:rsidP="00372932">
            <w:pPr>
              <w:pStyle w:val="Box"/>
            </w:pPr>
            <w:r w:rsidRPr="001C0485">
              <w:t xml:space="preserve">‘Group conferencing outcomes’ is defined as the number of young people who receive group conferencing and who as a result reach an agreement, as a proportion of all young people who receive group </w:t>
            </w:r>
            <w:r w:rsidR="00C662FF" w:rsidRPr="001C0485">
              <w:t>conferencing.</w:t>
            </w:r>
          </w:p>
          <w:p w:rsidR="00292D1E" w:rsidRPr="001C0485" w:rsidRDefault="00292D1E" w:rsidP="00372932">
            <w:pPr>
              <w:pStyle w:val="Box"/>
            </w:pPr>
            <w:r w:rsidRPr="001C0485">
              <w:t>Typically, a group conference involves the young offender and victim (or victims) and their families, police, and a youth justice agency officer, all of whom attempt to agree on a course of action required of the young offender to make amends for his or her offence. Group conferences are decision-making forums that aim to minimise the progression of young people into the youth justice system, and provide restorative justice.</w:t>
            </w:r>
          </w:p>
          <w:p w:rsidR="00292D1E" w:rsidRPr="001C0485" w:rsidRDefault="00292D1E" w:rsidP="00372932">
            <w:pPr>
              <w:pStyle w:val="Box"/>
            </w:pPr>
            <w:r w:rsidRPr="001C0485">
              <w:t>Data for this indicator should be interpreted with caution as the provision of group conferencing differs across jurisdictions in relation to: (a) its place in the court process (for example, whether young people are referred by police before court processes begin, or by the court as an alternative to sentencing), (b) the consequences for young people if they do not comply with the outcome plans of a conference, and (c) eligibility.</w:t>
            </w:r>
          </w:p>
          <w:p w:rsidR="00292D1E" w:rsidRPr="001C0485" w:rsidRDefault="00292D1E" w:rsidP="00372932">
            <w:pPr>
              <w:pStyle w:val="Box"/>
            </w:pPr>
            <w:r w:rsidRPr="001C0485">
              <w:t>A high or increasing rate for this indicator is desirable.</w:t>
            </w:r>
          </w:p>
          <w:p w:rsidR="00292D1E" w:rsidRPr="001C0485" w:rsidRDefault="00292D1E" w:rsidP="00372932">
            <w:pPr>
              <w:pStyle w:val="Box"/>
            </w:pPr>
            <w:r w:rsidRPr="001C0485">
              <w:t>Data reported for this indicator are not complete.</w:t>
            </w:r>
          </w:p>
          <w:p w:rsidR="00292D1E" w:rsidRPr="001C0485" w:rsidRDefault="00292D1E" w:rsidP="00372932">
            <w:pPr>
              <w:pStyle w:val="Box"/>
            </w:pPr>
            <w:r w:rsidRPr="001C0485">
              <w:rPr>
                <w:szCs w:val="22"/>
              </w:rPr>
              <w:t xml:space="preserve">Data quality information for this indicator is </w:t>
            </w:r>
            <w:r w:rsidRPr="001C0485">
              <w:t>at www.pc.gov.au/gsp/reports/rogs/2013.</w:t>
            </w:r>
          </w:p>
        </w:tc>
      </w:tr>
      <w:tr w:rsidR="00292D1E" w:rsidRPr="001C0485" w:rsidTr="00372932">
        <w:trPr>
          <w:cantSplit/>
        </w:trPr>
        <w:tc>
          <w:tcPr>
            <w:tcW w:w="8771" w:type="dxa"/>
            <w:tcBorders>
              <w:top w:val="nil"/>
              <w:left w:val="single" w:sz="6" w:space="0" w:color="auto"/>
              <w:bottom w:val="single" w:sz="4" w:space="0" w:color="auto"/>
              <w:right w:val="single" w:sz="6" w:space="0" w:color="auto"/>
            </w:tcBorders>
          </w:tcPr>
          <w:p w:rsidR="00292D1E" w:rsidRPr="001C0485" w:rsidRDefault="00292D1E" w:rsidP="00372932">
            <w:pPr>
              <w:pStyle w:val="Box"/>
              <w:spacing w:before="0" w:line="120" w:lineRule="exact"/>
            </w:pPr>
          </w:p>
        </w:tc>
      </w:tr>
      <w:tr w:rsidR="00292D1E" w:rsidRPr="001C0485" w:rsidTr="00372932">
        <w:trPr>
          <w:cantSplit/>
        </w:trPr>
        <w:tc>
          <w:tcPr>
            <w:tcW w:w="8771" w:type="dxa"/>
            <w:tcBorders>
              <w:top w:val="single" w:sz="4" w:space="0" w:color="auto"/>
              <w:left w:val="nil"/>
              <w:bottom w:val="nil"/>
              <w:right w:val="nil"/>
            </w:tcBorders>
          </w:tcPr>
          <w:p w:rsidR="00292D1E" w:rsidRPr="001C0485" w:rsidRDefault="00292D1E" w:rsidP="00372932">
            <w:pPr>
              <w:pStyle w:val="Box"/>
              <w:keepNext w:val="0"/>
              <w:spacing w:before="60" w:after="60" w:line="80" w:lineRule="exact"/>
              <w:rPr>
                <w:b/>
                <w:color w:val="FF00FF"/>
                <w:sz w:val="14"/>
              </w:rPr>
            </w:pPr>
          </w:p>
        </w:tc>
      </w:tr>
    </w:tbl>
    <w:p w:rsidR="00C662FF" w:rsidRPr="001C0485" w:rsidRDefault="00C662FF" w:rsidP="00C662FF">
      <w:pPr>
        <w:pStyle w:val="BodyText"/>
        <w:spacing w:before="200"/>
      </w:pPr>
      <w:r w:rsidRPr="001C0485">
        <w:t>Nationally, 96.8 per cent of all concluded group conferences resulted in an agreement, with proportions varying across jurisdictions (figure 15.9).</w:t>
      </w:r>
    </w:p>
    <w:p w:rsidR="00C662FF" w:rsidRPr="001C0485" w:rsidRDefault="00C662FF" w:rsidP="00C662FF">
      <w:pPr>
        <w:pStyle w:val="FigureTitle"/>
        <w:rPr>
          <w:rStyle w:val="NoteLabel"/>
        </w:rPr>
      </w:pPr>
      <w:r w:rsidRPr="001C0485">
        <w:rPr>
          <w:b w:val="0"/>
        </w:rPr>
        <w:lastRenderedPageBreak/>
        <w:t xml:space="preserve">Figure </w:t>
      </w:r>
      <w:r w:rsidR="009F41E6" w:rsidRPr="001C0485">
        <w:rPr>
          <w:b w:val="0"/>
        </w:rPr>
        <w:t>15.9</w:t>
      </w:r>
      <w:r w:rsidRPr="001C0485">
        <w:rPr>
          <w:b w:val="0"/>
        </w:rPr>
        <w:tab/>
      </w:r>
      <w:r w:rsidRPr="001C0485">
        <w:t>Proportion of young people who receive group conferencing and reach an agreement, by Indigenous status, 2011-12</w:t>
      </w:r>
      <w:r w:rsidRPr="001C0485">
        <w:rPr>
          <w:rStyle w:val="NoteLabel"/>
          <w:b/>
        </w:rPr>
        <w:t>a, b, c,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662FF" w:rsidRPr="001C0485" w:rsidTr="00372932">
        <w:tc>
          <w:tcPr>
            <w:tcW w:w="8777" w:type="dxa"/>
          </w:tcPr>
          <w:p w:rsidR="00C662FF" w:rsidRPr="001C0485" w:rsidRDefault="00C662FF" w:rsidP="00372932">
            <w:pPr>
              <w:pStyle w:val="Figure"/>
            </w:pPr>
            <w:r w:rsidRPr="001C0485">
              <w:rPr>
                <w:noProof/>
              </w:rPr>
              <w:drawing>
                <wp:inline distT="0" distB="0" distL="0" distR="0" wp14:anchorId="19FFAFF8" wp14:editId="010E8361">
                  <wp:extent cx="5416979" cy="2340000"/>
                  <wp:effectExtent l="0" t="0" r="0" b="3175"/>
                  <wp:docPr id="19" name="Chart 19" descr="Figure 15.9 Proportion of young people who receive group conferencing and reach an agreement, by Indigenous status, 2011-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C662FF" w:rsidRPr="001C0485" w:rsidRDefault="00C662FF" w:rsidP="00C662FF">
      <w:pPr>
        <w:pStyle w:val="Note"/>
      </w:pPr>
      <w:r w:rsidRPr="001C0485">
        <w:rPr>
          <w:rStyle w:val="NoteLabel"/>
        </w:rPr>
        <w:t>a</w:t>
      </w:r>
      <w:r w:rsidRPr="001C0485">
        <w:sym w:font="Symbol" w:char="F020"/>
      </w:r>
      <w:r w:rsidRPr="001C0485">
        <w:t xml:space="preserve">Queensland data could not be disaggregated by Indigenous status for the number of group conferences resulting in an agreement. Therefore, proportions are calculated only for the total number of group conferences resulting in agreement, and with the exception of the total Queensland proportion, Queensland data are excluded from national totals. </w:t>
      </w:r>
      <w:r w:rsidRPr="001C0485">
        <w:rPr>
          <w:rStyle w:val="NoteLabel"/>
        </w:rPr>
        <w:t>b </w:t>
      </w:r>
      <w:r w:rsidRPr="001C0485">
        <w:t xml:space="preserve">Data were not available for WA or SA. </w:t>
      </w:r>
      <w:r w:rsidRPr="001C0485">
        <w:rPr>
          <w:rStyle w:val="NoteLabel"/>
        </w:rPr>
        <w:t xml:space="preserve">c </w:t>
      </w:r>
      <w:r w:rsidRPr="001C0485">
        <w:t>Queensland and Victoria count the number of group conferences resulting in an agreement, as a proportion of all concluded group conferences, as distinct from young people who receive group conferencing and reach an agreement.</w:t>
      </w:r>
      <w:r w:rsidRPr="001C0485">
        <w:rPr>
          <w:rStyle w:val="NoteLabel"/>
        </w:rPr>
        <w:t xml:space="preserve"> d </w:t>
      </w:r>
      <w:r w:rsidRPr="001C0485">
        <w:t>Refer to table 15A.191 for detailed footnotes.</w:t>
      </w:r>
    </w:p>
    <w:p w:rsidR="00C662FF" w:rsidRPr="001C0485" w:rsidRDefault="00C662FF" w:rsidP="00C662FF">
      <w:pPr>
        <w:pStyle w:val="Source"/>
        <w:spacing w:after="0"/>
      </w:pPr>
      <w:r w:rsidRPr="001C0485">
        <w:rPr>
          <w:i/>
        </w:rPr>
        <w:t>Source</w:t>
      </w:r>
      <w:r w:rsidRPr="001C0485">
        <w:t>: State and Territory governments (unpublished); table 15A.191; 2013 Report, figure 15.23, p. 15.72.</w:t>
      </w:r>
    </w:p>
    <w:p w:rsidR="00AB1DAE" w:rsidRPr="001C0485" w:rsidRDefault="00AB1DAE" w:rsidP="00AB1DAE">
      <w:pPr>
        <w:keepNext/>
        <w:spacing w:before="480" w:line="320" w:lineRule="exact"/>
        <w:outlineLvl w:val="3"/>
        <w:rPr>
          <w:rFonts w:ascii="Arial" w:hAnsi="Arial"/>
          <w:i/>
          <w:sz w:val="24"/>
          <w:szCs w:val="20"/>
        </w:rPr>
      </w:pPr>
      <w:bookmarkStart w:id="113" w:name="_Toc320770832"/>
      <w:bookmarkStart w:id="114" w:name="_Toc348449375"/>
      <w:bookmarkStart w:id="115" w:name="_Toc348952923"/>
      <w:bookmarkStart w:id="116" w:name="_Toc351361364"/>
      <w:r w:rsidRPr="001C0485">
        <w:rPr>
          <w:rFonts w:ascii="Arial" w:hAnsi="Arial"/>
          <w:i/>
          <w:sz w:val="24"/>
          <w:szCs w:val="20"/>
        </w:rPr>
        <w:t>Rehabilitation — education and training attendance</w:t>
      </w:r>
      <w:bookmarkEnd w:id="113"/>
      <w:bookmarkEnd w:id="114"/>
      <w:bookmarkEnd w:id="115"/>
      <w:bookmarkEnd w:id="116"/>
    </w:p>
    <w:p w:rsidR="00C662FF" w:rsidRPr="001C0485" w:rsidRDefault="00C662FF" w:rsidP="00C662FF">
      <w:pPr>
        <w:pStyle w:val="BodyText"/>
        <w:widowControl w:val="0"/>
      </w:pPr>
      <w:r w:rsidRPr="001C0485">
        <w:t>‘Education and training attendance’ is an indicator of governments’ objective to provide program interventions in education and training to rehabilitate young offenders and increase their chances of successfully re-integrating into the community (box 15.</w:t>
      </w:r>
      <w:r w:rsidR="009F41E6" w:rsidRPr="001C0485">
        <w:t>7</w:t>
      </w:r>
      <w:r w:rsidRPr="001C0485">
        <w:t>).</w:t>
      </w:r>
    </w:p>
    <w:p w:rsidR="00D103EE" w:rsidRPr="001C0485" w:rsidRDefault="00D103EE" w:rsidP="00D103E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662FF" w:rsidRPr="001C0485" w:rsidTr="00372932">
        <w:tc>
          <w:tcPr>
            <w:tcW w:w="8771" w:type="dxa"/>
            <w:tcBorders>
              <w:top w:val="single" w:sz="6" w:space="0" w:color="auto"/>
              <w:bottom w:val="nil"/>
            </w:tcBorders>
          </w:tcPr>
          <w:p w:rsidR="00C662FF" w:rsidRPr="001C0485" w:rsidRDefault="00C662FF" w:rsidP="009552F0">
            <w:pPr>
              <w:keepNext/>
              <w:keepLines/>
              <w:spacing w:before="120" w:line="280" w:lineRule="exact"/>
              <w:ind w:left="1304" w:hanging="1304"/>
              <w:rPr>
                <w:rFonts w:ascii="Arial" w:hAnsi="Arial"/>
                <w:b/>
                <w:sz w:val="24"/>
              </w:rPr>
            </w:pPr>
            <w:r w:rsidRPr="001C0485">
              <w:rPr>
                <w:rFonts w:ascii="Arial" w:hAnsi="Arial"/>
                <w:sz w:val="24"/>
              </w:rPr>
              <w:t xml:space="preserve">Box </w:t>
            </w:r>
            <w:r w:rsidR="009F41E6" w:rsidRPr="001C0485">
              <w:rPr>
                <w:rFonts w:ascii="Arial" w:hAnsi="Arial"/>
                <w:sz w:val="24"/>
              </w:rPr>
              <w:t>15.7</w:t>
            </w:r>
            <w:r w:rsidRPr="001C0485">
              <w:rPr>
                <w:rFonts w:ascii="Arial" w:hAnsi="Arial"/>
                <w:b/>
                <w:sz w:val="24"/>
              </w:rPr>
              <w:tab/>
              <w:t>Education and training attendance</w:t>
            </w:r>
          </w:p>
        </w:tc>
      </w:tr>
      <w:tr w:rsidR="00C662FF" w:rsidRPr="001C0485" w:rsidTr="00372932">
        <w:trPr>
          <w:cantSplit/>
        </w:trPr>
        <w:tc>
          <w:tcPr>
            <w:tcW w:w="8771" w:type="dxa"/>
            <w:tcBorders>
              <w:top w:val="nil"/>
              <w:left w:val="single" w:sz="6" w:space="0" w:color="auto"/>
              <w:bottom w:val="nil"/>
              <w:right w:val="single" w:sz="6" w:space="0" w:color="auto"/>
            </w:tcBorders>
          </w:tcPr>
          <w:p w:rsidR="00C662FF" w:rsidRPr="001C0485" w:rsidRDefault="00C662FF" w:rsidP="00C662FF">
            <w:pPr>
              <w:keepNext/>
              <w:spacing w:before="120" w:line="280" w:lineRule="atLeast"/>
              <w:jc w:val="both"/>
              <w:rPr>
                <w:rFonts w:ascii="Arial" w:hAnsi="Arial"/>
                <w:sz w:val="22"/>
                <w:szCs w:val="20"/>
              </w:rPr>
            </w:pPr>
            <w:r w:rsidRPr="001C0485">
              <w:rPr>
                <w:rFonts w:ascii="Arial" w:hAnsi="Arial"/>
                <w:sz w:val="22"/>
                <w:szCs w:val="20"/>
              </w:rPr>
              <w:t>‘Education and training attendance’ is defined by two measures:</w:t>
            </w:r>
          </w:p>
          <w:p w:rsidR="00C662FF" w:rsidRPr="001C0485" w:rsidRDefault="00C662FF" w:rsidP="00C662FF">
            <w:pPr>
              <w:pStyle w:val="BoxListBullet"/>
              <w:numPr>
                <w:ilvl w:val="0"/>
                <w:numId w:val="17"/>
              </w:numPr>
              <w:spacing w:before="120"/>
            </w:pPr>
            <w:r w:rsidRPr="001C0485">
              <w:t>the number of young people of compulsory school age in detention attending an education course, as a percentage of all young people of compulsory school age in detention</w:t>
            </w:r>
          </w:p>
          <w:p w:rsidR="00C662FF" w:rsidRPr="001C0485" w:rsidRDefault="00C662FF" w:rsidP="00C662FF">
            <w:pPr>
              <w:pStyle w:val="BoxListBullet"/>
              <w:numPr>
                <w:ilvl w:val="0"/>
                <w:numId w:val="17"/>
              </w:numPr>
              <w:spacing w:before="120"/>
            </w:pPr>
            <w:r w:rsidRPr="001C0485">
              <w:t xml:space="preserve">the number of young people </w:t>
            </w:r>
            <w:r w:rsidRPr="001C0485">
              <w:rPr>
                <w:u w:val="single"/>
              </w:rPr>
              <w:t>not</w:t>
            </w:r>
            <w:r w:rsidRPr="001C0485">
              <w:t xml:space="preserve"> of compulsory school age in detention attending an education or training course, as a percentage of all young people not of compulsory school age in detention.</w:t>
            </w:r>
          </w:p>
          <w:p w:rsidR="00C662FF" w:rsidRPr="001C0485" w:rsidRDefault="00C662FF" w:rsidP="00C662FF">
            <w:pPr>
              <w:keepNext/>
              <w:spacing w:before="120" w:line="280" w:lineRule="atLeast"/>
              <w:jc w:val="both"/>
              <w:rPr>
                <w:rFonts w:ascii="Arial" w:hAnsi="Arial"/>
                <w:sz w:val="22"/>
                <w:szCs w:val="20"/>
              </w:rPr>
            </w:pPr>
            <w:r w:rsidRPr="001C0485">
              <w:rPr>
                <w:rFonts w:ascii="Arial" w:hAnsi="Arial"/>
                <w:sz w:val="22"/>
                <w:szCs w:val="20"/>
              </w:rPr>
              <w:t>Compulsory school age refers to specific State and Territory governments’ requirements for a young person to participate in school, which are based primarily on age (see chapter 4 School education for further information). Education or training course refers to school education or an accredited education or training course under the Australian Qualifications Framework.</w:t>
            </w:r>
          </w:p>
          <w:p w:rsidR="00C662FF" w:rsidRPr="001C0485" w:rsidRDefault="00C662FF" w:rsidP="00C662FF">
            <w:pPr>
              <w:keepNext/>
              <w:spacing w:before="120" w:line="280" w:lineRule="atLeast"/>
              <w:jc w:val="both"/>
              <w:rPr>
                <w:rFonts w:ascii="Arial" w:hAnsi="Arial"/>
                <w:sz w:val="22"/>
                <w:szCs w:val="20"/>
              </w:rPr>
            </w:pPr>
            <w:r w:rsidRPr="001C0485">
              <w:rPr>
                <w:rFonts w:ascii="Arial" w:hAnsi="Arial"/>
                <w:sz w:val="22"/>
                <w:szCs w:val="20"/>
              </w:rPr>
              <w:t>A high or increasing percentage of young people attending education and training is desirable.</w:t>
            </w:r>
          </w:p>
          <w:p w:rsidR="00C662FF" w:rsidRPr="001C0485" w:rsidRDefault="00C662FF" w:rsidP="00C662FF">
            <w:pPr>
              <w:keepNext/>
              <w:spacing w:before="120" w:line="280" w:lineRule="atLeast"/>
              <w:jc w:val="both"/>
              <w:rPr>
                <w:rFonts w:ascii="Arial" w:hAnsi="Arial"/>
                <w:sz w:val="22"/>
                <w:szCs w:val="20"/>
              </w:rPr>
            </w:pPr>
            <w:r w:rsidRPr="001C0485">
              <w:rPr>
                <w:rFonts w:ascii="Arial" w:hAnsi="Arial"/>
                <w:sz w:val="22"/>
                <w:szCs w:val="20"/>
              </w:rPr>
              <w:t>Exclusions include young people not under youth justice supervision (for example, in police custody) and young people whose situation might exclude their participation in education programs (including young people who are: on temporary leave such as work release, medically unable to participate, in isolation, and on remand or sentenced for fewer than 7 days).</w:t>
            </w:r>
          </w:p>
          <w:p w:rsidR="00C662FF" w:rsidRPr="001C0485" w:rsidRDefault="00C662FF" w:rsidP="00C662FF">
            <w:pPr>
              <w:keepNext/>
              <w:spacing w:before="120" w:line="280" w:lineRule="atLeast"/>
              <w:jc w:val="both"/>
              <w:rPr>
                <w:rFonts w:ascii="Arial" w:hAnsi="Arial"/>
                <w:sz w:val="22"/>
                <w:szCs w:val="20"/>
              </w:rPr>
            </w:pPr>
            <w:r w:rsidRPr="001C0485">
              <w:rPr>
                <w:rFonts w:ascii="Arial" w:hAnsi="Arial"/>
                <w:sz w:val="22"/>
                <w:szCs w:val="20"/>
              </w:rPr>
              <w:t>Data reported for this indicator are comparable.</w:t>
            </w:r>
          </w:p>
          <w:p w:rsidR="00C662FF" w:rsidRPr="001C0485" w:rsidRDefault="00C662FF" w:rsidP="00C662FF">
            <w:pPr>
              <w:keepNext/>
              <w:spacing w:before="120" w:line="280" w:lineRule="atLeast"/>
              <w:jc w:val="both"/>
              <w:rPr>
                <w:rFonts w:ascii="Arial" w:hAnsi="Arial"/>
                <w:sz w:val="22"/>
                <w:szCs w:val="20"/>
              </w:rPr>
            </w:pPr>
            <w:r w:rsidRPr="001C0485">
              <w:rPr>
                <w:rFonts w:ascii="Arial" w:hAnsi="Arial"/>
                <w:sz w:val="22"/>
                <w:szCs w:val="22"/>
              </w:rPr>
              <w:t xml:space="preserve">Data quality information for this indicator is </w:t>
            </w:r>
            <w:r w:rsidRPr="001C0485">
              <w:rPr>
                <w:rFonts w:ascii="Arial" w:hAnsi="Arial"/>
                <w:sz w:val="22"/>
                <w:szCs w:val="20"/>
              </w:rPr>
              <w:t>at www.pc.gov.au/gsp/reports/rogs/2013.</w:t>
            </w:r>
          </w:p>
        </w:tc>
      </w:tr>
      <w:tr w:rsidR="00C662FF" w:rsidRPr="001C0485" w:rsidTr="00372932">
        <w:trPr>
          <w:cantSplit/>
        </w:trPr>
        <w:tc>
          <w:tcPr>
            <w:tcW w:w="8771" w:type="dxa"/>
            <w:tcBorders>
              <w:top w:val="nil"/>
              <w:left w:val="single" w:sz="6" w:space="0" w:color="auto"/>
              <w:bottom w:val="single" w:sz="6" w:space="0" w:color="auto"/>
              <w:right w:val="single" w:sz="6" w:space="0" w:color="auto"/>
            </w:tcBorders>
          </w:tcPr>
          <w:p w:rsidR="00C662FF" w:rsidRPr="001C0485" w:rsidRDefault="00C662FF" w:rsidP="00C662FF">
            <w:pPr>
              <w:keepNext/>
              <w:spacing w:line="120" w:lineRule="exact"/>
              <w:jc w:val="both"/>
              <w:rPr>
                <w:rFonts w:ascii="Arial" w:hAnsi="Arial"/>
                <w:sz w:val="22"/>
                <w:szCs w:val="20"/>
              </w:rPr>
            </w:pPr>
          </w:p>
        </w:tc>
      </w:tr>
      <w:tr w:rsidR="00C662FF" w:rsidRPr="001C0485" w:rsidTr="00372932">
        <w:tc>
          <w:tcPr>
            <w:tcW w:w="8771" w:type="dxa"/>
            <w:tcBorders>
              <w:top w:val="nil"/>
              <w:left w:val="nil"/>
              <w:bottom w:val="nil"/>
              <w:right w:val="nil"/>
            </w:tcBorders>
          </w:tcPr>
          <w:p w:rsidR="00C662FF" w:rsidRPr="001C0485" w:rsidRDefault="00C662FF" w:rsidP="00C662FF">
            <w:pPr>
              <w:spacing w:before="60" w:after="60" w:line="80" w:lineRule="exact"/>
              <w:jc w:val="both"/>
              <w:rPr>
                <w:rFonts w:ascii="Arial" w:hAnsi="Arial"/>
                <w:b/>
                <w:color w:val="FF00FF"/>
                <w:sz w:val="14"/>
                <w:szCs w:val="20"/>
              </w:rPr>
            </w:pPr>
          </w:p>
        </w:tc>
      </w:tr>
    </w:tbl>
    <w:p w:rsidR="000D5988" w:rsidRPr="001C0485" w:rsidRDefault="000D5988" w:rsidP="000D5988">
      <w:pPr>
        <w:pStyle w:val="BodyText"/>
      </w:pPr>
      <w:r w:rsidRPr="001C0485">
        <w:t xml:space="preserve">Nationally, 97.8 per cent of young people of compulsory school age in detention were attending an education course in 2011-12, while 96.5 per cent of young people in detention </w:t>
      </w:r>
      <w:r w:rsidRPr="001C0485">
        <w:rPr>
          <w:u w:val="single"/>
        </w:rPr>
        <w:t>not</w:t>
      </w:r>
      <w:r w:rsidRPr="001C0485">
        <w:rPr>
          <w:i/>
        </w:rPr>
        <w:t xml:space="preserve"> </w:t>
      </w:r>
      <w:r w:rsidRPr="001C0485">
        <w:t>of compulsory school age were attending an accredited education or training course (figure 15.10). Proportions varied across jurisdictions.</w:t>
      </w:r>
    </w:p>
    <w:p w:rsidR="000D5988" w:rsidRPr="001C0485" w:rsidRDefault="000D5988" w:rsidP="000D5988">
      <w:pPr>
        <w:pStyle w:val="FigureTitle"/>
        <w:rPr>
          <w:bCs/>
        </w:rPr>
      </w:pPr>
      <w:r w:rsidRPr="001C0485">
        <w:rPr>
          <w:b w:val="0"/>
        </w:rPr>
        <w:lastRenderedPageBreak/>
        <w:t xml:space="preserve">Figure </w:t>
      </w:r>
      <w:r w:rsidR="009F41E6" w:rsidRPr="001C0485">
        <w:rPr>
          <w:b w:val="0"/>
        </w:rPr>
        <w:t>15.10</w:t>
      </w:r>
      <w:r w:rsidRPr="001C0485">
        <w:rPr>
          <w:b w:val="0"/>
        </w:rPr>
        <w:tab/>
      </w:r>
      <w:r w:rsidRPr="001C0485">
        <w:t>Proportion of young people in detention attending an accredited education or training course, by Indigenous status 2011-12</w:t>
      </w:r>
      <w:r w:rsidRPr="001C0485">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D5988" w:rsidRPr="001C0485" w:rsidTr="00372932">
        <w:tc>
          <w:tcPr>
            <w:tcW w:w="8777" w:type="dxa"/>
          </w:tcPr>
          <w:p w:rsidR="000D5988" w:rsidRPr="001C0485" w:rsidRDefault="000D5988" w:rsidP="00372932">
            <w:pPr>
              <w:pStyle w:val="Figure"/>
              <w:rPr>
                <w:rFonts w:ascii="Arial" w:hAnsi="Arial"/>
                <w:b/>
                <w:sz w:val="19"/>
                <w:szCs w:val="19"/>
              </w:rPr>
            </w:pPr>
            <w:r w:rsidRPr="001C0485">
              <w:rPr>
                <w:rFonts w:ascii="Arial" w:hAnsi="Arial"/>
                <w:b/>
                <w:sz w:val="19"/>
                <w:szCs w:val="19"/>
              </w:rPr>
              <w:t>(a) Proportion of young people of compulsory school age in detention attending an accredited education or training course</w:t>
            </w:r>
          </w:p>
          <w:p w:rsidR="000D5988" w:rsidRPr="001C0485" w:rsidRDefault="000D5988" w:rsidP="00372932">
            <w:pPr>
              <w:pStyle w:val="Figure"/>
            </w:pPr>
            <w:r w:rsidRPr="001C0485">
              <w:rPr>
                <w:noProof/>
              </w:rPr>
              <w:drawing>
                <wp:inline distT="0" distB="0" distL="0" distR="0" wp14:anchorId="24D2E241" wp14:editId="493E8C10">
                  <wp:extent cx="5400000" cy="2520000"/>
                  <wp:effectExtent l="0" t="0" r="0" b="0"/>
                  <wp:docPr id="20" name="Chart 20" descr="Figure 15.10 Proportion of young people in detention attending an accredited education or training course, by Indigenous status 2011-12&#10;&#10;Proportion of young people of compulsory school age in detention attending an accredited education or training cours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D5988" w:rsidRPr="001C0485" w:rsidRDefault="000D5988" w:rsidP="00372932">
            <w:pPr>
              <w:pStyle w:val="Figure"/>
              <w:rPr>
                <w:rFonts w:ascii="Arial" w:hAnsi="Arial"/>
                <w:b/>
                <w:sz w:val="19"/>
                <w:szCs w:val="19"/>
              </w:rPr>
            </w:pPr>
            <w:r w:rsidRPr="001C0485">
              <w:rPr>
                <w:rFonts w:ascii="Arial" w:hAnsi="Arial"/>
                <w:b/>
                <w:sz w:val="19"/>
                <w:szCs w:val="19"/>
              </w:rPr>
              <w:t xml:space="preserve">(b) Proportion of young people </w:t>
            </w:r>
            <w:r w:rsidRPr="001C0485">
              <w:rPr>
                <w:rFonts w:ascii="Arial" w:hAnsi="Arial"/>
                <w:b/>
                <w:sz w:val="19"/>
                <w:szCs w:val="19"/>
                <w:u w:val="single"/>
              </w:rPr>
              <w:t>not</w:t>
            </w:r>
            <w:r w:rsidRPr="001C0485">
              <w:rPr>
                <w:rFonts w:ascii="Arial" w:hAnsi="Arial"/>
                <w:b/>
                <w:sz w:val="19"/>
                <w:szCs w:val="19"/>
              </w:rPr>
              <w:t xml:space="preserve"> of compulsory school age in detention attending an accredited education or training course</w:t>
            </w:r>
          </w:p>
          <w:p w:rsidR="000D5988" w:rsidRPr="001C0485" w:rsidRDefault="000D5988" w:rsidP="00372932">
            <w:pPr>
              <w:pStyle w:val="Figure"/>
            </w:pPr>
            <w:r w:rsidRPr="001C0485">
              <w:rPr>
                <w:noProof/>
              </w:rPr>
              <w:drawing>
                <wp:inline distT="0" distB="0" distL="0" distR="0" wp14:anchorId="7F902CD8" wp14:editId="591559B2">
                  <wp:extent cx="5400000" cy="2520000"/>
                  <wp:effectExtent l="0" t="0" r="0" b="0"/>
                  <wp:docPr id="21" name="Chart 21" descr="Figure 15.10 Proportion of young people in detention attending an accredited education or training course, by Indigenous status 2011-12&#10;&#10;Proportion of young people not of compulsory school age in detention attending an accredited education or training cours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0D5988" w:rsidRPr="001C0485" w:rsidRDefault="000D5988" w:rsidP="000D5988">
      <w:pPr>
        <w:pStyle w:val="Note"/>
      </w:pPr>
      <w:r w:rsidRPr="001C0485">
        <w:rPr>
          <w:rStyle w:val="NoteLabel"/>
        </w:rPr>
        <w:t>a</w:t>
      </w:r>
      <w:r w:rsidRPr="001C0485">
        <w:sym w:font="Symbol" w:char="F020"/>
      </w:r>
      <w:r w:rsidRPr="001C0485">
        <w:t>Refer to table 15A.193 for detailed footnotes.</w:t>
      </w:r>
    </w:p>
    <w:p w:rsidR="000D5988" w:rsidRPr="001C0485" w:rsidRDefault="000D5988" w:rsidP="000D5988">
      <w:pPr>
        <w:pStyle w:val="Source"/>
      </w:pPr>
      <w:r w:rsidRPr="001C0485">
        <w:rPr>
          <w:i/>
        </w:rPr>
        <w:t>Source</w:t>
      </w:r>
      <w:r w:rsidRPr="001C0485">
        <w:t>: State and Territory governments (unpublished); table 15A.193; 2013 Report, figure 15.24, p. 15.78.</w:t>
      </w:r>
    </w:p>
    <w:p w:rsidR="00AB1DAE" w:rsidRPr="001C0485" w:rsidRDefault="00AB1DAE" w:rsidP="00AB1DAE">
      <w:pPr>
        <w:keepNext/>
        <w:spacing w:before="480" w:line="320" w:lineRule="exact"/>
        <w:outlineLvl w:val="3"/>
        <w:rPr>
          <w:rFonts w:ascii="Arial" w:hAnsi="Arial"/>
          <w:i/>
          <w:sz w:val="24"/>
          <w:szCs w:val="20"/>
        </w:rPr>
      </w:pPr>
      <w:bookmarkStart w:id="117" w:name="_Toc320770834"/>
      <w:bookmarkStart w:id="118" w:name="_Toc348449377"/>
      <w:bookmarkStart w:id="119" w:name="_Toc348952924"/>
      <w:bookmarkStart w:id="120" w:name="_Toc351361365"/>
      <w:r w:rsidRPr="001C0485">
        <w:rPr>
          <w:rFonts w:ascii="Arial" w:hAnsi="Arial"/>
          <w:i/>
          <w:sz w:val="24"/>
          <w:szCs w:val="20"/>
        </w:rPr>
        <w:t>Safe and secure environment — escapes</w:t>
      </w:r>
      <w:bookmarkEnd w:id="117"/>
      <w:bookmarkEnd w:id="118"/>
      <w:bookmarkEnd w:id="119"/>
      <w:bookmarkEnd w:id="120"/>
    </w:p>
    <w:p w:rsidR="00AC2983" w:rsidRPr="001C0485" w:rsidRDefault="00AC2983" w:rsidP="00AC2983">
      <w:pPr>
        <w:pStyle w:val="BodyText"/>
      </w:pPr>
      <w:r w:rsidRPr="001C0485">
        <w:t>‘Escapes’ is an indicator of governments’ objective to ensure that youth justice agencies provide a safe and secure environment for young people in custody, and the community (box 15.</w:t>
      </w:r>
      <w:r w:rsidR="009F41E6" w:rsidRPr="001C0485">
        <w:t>8</w:t>
      </w:r>
      <w:r w:rsidRPr="001C0485">
        <w:t>).</w:t>
      </w:r>
    </w:p>
    <w:p w:rsidR="00D103EE" w:rsidRPr="001C0485" w:rsidRDefault="00D103EE" w:rsidP="00D103E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B1DAE" w:rsidRPr="001C0485" w:rsidTr="006877C0">
        <w:tc>
          <w:tcPr>
            <w:tcW w:w="8771" w:type="dxa"/>
            <w:tcBorders>
              <w:top w:val="single" w:sz="6" w:space="0" w:color="auto"/>
              <w:bottom w:val="nil"/>
            </w:tcBorders>
          </w:tcPr>
          <w:p w:rsidR="00AB1DAE" w:rsidRPr="001C0485" w:rsidRDefault="00AC2983" w:rsidP="009552F0">
            <w:pPr>
              <w:keepNext/>
              <w:keepLines/>
              <w:spacing w:before="120" w:line="280" w:lineRule="exact"/>
              <w:ind w:left="1304" w:hanging="1304"/>
              <w:rPr>
                <w:rFonts w:ascii="Arial" w:hAnsi="Arial"/>
                <w:b/>
              </w:rPr>
            </w:pPr>
            <w:r w:rsidRPr="001C0485">
              <w:rPr>
                <w:rFonts w:ascii="Arial" w:hAnsi="Arial"/>
                <w:sz w:val="24"/>
              </w:rPr>
              <w:t xml:space="preserve">Box </w:t>
            </w:r>
            <w:r w:rsidR="009F41E6" w:rsidRPr="001C0485">
              <w:rPr>
                <w:rFonts w:ascii="Arial" w:hAnsi="Arial"/>
                <w:sz w:val="24"/>
              </w:rPr>
              <w:t>15.8</w:t>
            </w:r>
            <w:r w:rsidR="00AB1DAE" w:rsidRPr="001C0485">
              <w:rPr>
                <w:rFonts w:ascii="Arial" w:hAnsi="Arial"/>
                <w:sz w:val="24"/>
              </w:rPr>
              <w:tab/>
            </w:r>
            <w:r w:rsidR="00AB1DAE" w:rsidRPr="001C0485">
              <w:rPr>
                <w:rFonts w:ascii="Arial" w:hAnsi="Arial"/>
                <w:b/>
                <w:sz w:val="24"/>
              </w:rPr>
              <w:t>Escapes</w:t>
            </w:r>
          </w:p>
        </w:tc>
      </w:tr>
      <w:tr w:rsidR="00AB1DAE" w:rsidRPr="001C0485" w:rsidTr="006877C0">
        <w:trPr>
          <w:cantSplit/>
        </w:trPr>
        <w:tc>
          <w:tcPr>
            <w:tcW w:w="8771" w:type="dxa"/>
            <w:tcBorders>
              <w:top w:val="nil"/>
              <w:left w:val="single" w:sz="6" w:space="0" w:color="auto"/>
              <w:bottom w:val="nil"/>
              <w:right w:val="single" w:sz="6" w:space="0" w:color="auto"/>
            </w:tcBorders>
          </w:tcPr>
          <w:p w:rsidR="00AC2983" w:rsidRPr="001C0485" w:rsidRDefault="00AC2983" w:rsidP="00AC2983">
            <w:pPr>
              <w:keepNext/>
              <w:spacing w:before="120" w:line="280" w:lineRule="atLeast"/>
              <w:jc w:val="both"/>
              <w:rPr>
                <w:rFonts w:ascii="Arial" w:hAnsi="Arial"/>
                <w:sz w:val="22"/>
                <w:szCs w:val="20"/>
              </w:rPr>
            </w:pPr>
            <w:r w:rsidRPr="001C0485">
              <w:rPr>
                <w:rFonts w:ascii="Arial" w:hAnsi="Arial"/>
                <w:sz w:val="22"/>
                <w:szCs w:val="20"/>
              </w:rPr>
              <w:t>‘Escapes’ is defined by two measures:</w:t>
            </w:r>
          </w:p>
          <w:p w:rsidR="00AC2983" w:rsidRPr="001C0485" w:rsidRDefault="00AC2983" w:rsidP="00AC2983">
            <w:pPr>
              <w:pStyle w:val="BoxListBullet"/>
              <w:numPr>
                <w:ilvl w:val="0"/>
                <w:numId w:val="17"/>
              </w:numPr>
              <w:spacing w:before="120"/>
            </w:pPr>
            <w:r w:rsidRPr="001C0485">
              <w:t>the number of escapes from a youth justice detention centre, as a proportion of all young people in custody</w:t>
            </w:r>
          </w:p>
          <w:p w:rsidR="00AC2983" w:rsidRPr="001C0485" w:rsidRDefault="00AC2983" w:rsidP="00AC2983">
            <w:pPr>
              <w:pStyle w:val="BoxListBullet"/>
              <w:numPr>
                <w:ilvl w:val="0"/>
                <w:numId w:val="17"/>
              </w:numPr>
              <w:spacing w:before="120"/>
            </w:pPr>
            <w:r w:rsidRPr="001C0485">
              <w:t>the number of escapes during periods of escorted movement, as a proportion of all periods of escorted movement.</w:t>
            </w:r>
          </w:p>
          <w:p w:rsidR="00AC2983" w:rsidRPr="001C0485" w:rsidRDefault="00AC2983" w:rsidP="0023568D">
            <w:pPr>
              <w:pStyle w:val="Box"/>
            </w:pPr>
            <w:r w:rsidRPr="001C0485">
              <w:t>An escape from a youth justice detention centre is defined as a breach of a secure perimeter or defined boundary of a youth justice detention centre by a young person under the supervision of the centre.</w:t>
            </w:r>
          </w:p>
          <w:p w:rsidR="00AC2983" w:rsidRPr="001C0485" w:rsidRDefault="00AC2983" w:rsidP="00AC2983">
            <w:pPr>
              <w:pStyle w:val="Box"/>
            </w:pPr>
            <w:r w:rsidRPr="001C0485">
              <w:t>A period of escorted movement is defined as a period of time during which a young person is in the custody of the youth justice agency while outside a detention centre. The period of escorted movement ends when the young person is returned to the detention centre, or is no longer in the legal or physical custody of the youth justice agency. An escape from an escorted movement is defined as the failure of a young person to remain in the custody of a supervising youth justice worker or approved service provider during a period of escorted movement. An escape is counted each time a young person escapes. For example, if a young person escapes three times in a counting period, three escapes are recorded. If three young people escape at the same time, three escapes are recorded.</w:t>
            </w:r>
          </w:p>
          <w:p w:rsidR="00AC2983" w:rsidRPr="001C0485" w:rsidRDefault="00AC2983" w:rsidP="00AC2983">
            <w:pPr>
              <w:pStyle w:val="Box"/>
            </w:pPr>
            <w:r w:rsidRPr="001C0485">
              <w:t>A zero or decreasing escape rate is desirable.</w:t>
            </w:r>
          </w:p>
          <w:p w:rsidR="00AC2983" w:rsidRPr="001C0485" w:rsidRDefault="00AC2983" w:rsidP="00AC2983">
            <w:pPr>
              <w:pStyle w:val="Box"/>
            </w:pPr>
            <w:r w:rsidRPr="001C0485">
              <w:t>Data reported for this indicator are comparable but not complete.</w:t>
            </w:r>
          </w:p>
          <w:p w:rsidR="00AB1DAE" w:rsidRPr="001C0485" w:rsidRDefault="00AC2983" w:rsidP="00AC2983">
            <w:pPr>
              <w:pStyle w:val="Box"/>
            </w:pPr>
            <w:r w:rsidRPr="001C0485">
              <w:t>Data quality information for this indicator is at www.pc.gov.au/gsp/reports/rogs/2013.</w:t>
            </w:r>
          </w:p>
        </w:tc>
      </w:tr>
      <w:tr w:rsidR="00AB1DAE" w:rsidRPr="001C0485" w:rsidTr="006877C0">
        <w:trPr>
          <w:cantSplit/>
        </w:trPr>
        <w:tc>
          <w:tcPr>
            <w:tcW w:w="8771" w:type="dxa"/>
            <w:tcBorders>
              <w:top w:val="nil"/>
              <w:left w:val="single" w:sz="6" w:space="0" w:color="auto"/>
              <w:bottom w:val="single" w:sz="6" w:space="0" w:color="auto"/>
              <w:right w:val="single" w:sz="6" w:space="0" w:color="auto"/>
            </w:tcBorders>
          </w:tcPr>
          <w:p w:rsidR="00AB1DAE" w:rsidRPr="001C0485" w:rsidRDefault="00AB1DAE" w:rsidP="00AB1DAE">
            <w:pPr>
              <w:keepNext/>
              <w:spacing w:line="120" w:lineRule="exact"/>
              <w:jc w:val="both"/>
              <w:rPr>
                <w:rFonts w:ascii="Arial" w:hAnsi="Arial"/>
                <w:sz w:val="22"/>
                <w:szCs w:val="20"/>
              </w:rPr>
            </w:pPr>
          </w:p>
        </w:tc>
      </w:tr>
      <w:tr w:rsidR="00AB1DAE" w:rsidRPr="001C0485" w:rsidTr="006877C0">
        <w:tc>
          <w:tcPr>
            <w:tcW w:w="8771" w:type="dxa"/>
            <w:tcBorders>
              <w:top w:val="nil"/>
              <w:left w:val="nil"/>
              <w:bottom w:val="nil"/>
              <w:right w:val="nil"/>
            </w:tcBorders>
          </w:tcPr>
          <w:p w:rsidR="00AB1DAE" w:rsidRPr="001C0485" w:rsidRDefault="00AB1DAE" w:rsidP="00AB1DAE">
            <w:pPr>
              <w:spacing w:before="60" w:after="60" w:line="80" w:lineRule="exact"/>
              <w:jc w:val="both"/>
              <w:rPr>
                <w:rFonts w:ascii="Arial" w:hAnsi="Arial"/>
                <w:b/>
                <w:color w:val="FF00FF"/>
                <w:sz w:val="14"/>
                <w:szCs w:val="20"/>
              </w:rPr>
            </w:pPr>
          </w:p>
        </w:tc>
      </w:tr>
    </w:tbl>
    <w:p w:rsidR="00FA5355" w:rsidRPr="001C0485" w:rsidRDefault="00FA5355" w:rsidP="00AB1DAE">
      <w:pPr>
        <w:spacing w:before="240" w:line="320" w:lineRule="atLeast"/>
        <w:jc w:val="both"/>
        <w:rPr>
          <w:szCs w:val="20"/>
        </w:rPr>
      </w:pPr>
      <w:bookmarkStart w:id="121" w:name="OLE_LINK94"/>
      <w:r w:rsidRPr="001C0485">
        <w:rPr>
          <w:szCs w:val="20"/>
        </w:rPr>
        <w:t>Nationally, there were 20 escapes from youth justice detention in 2011-12, which was equivalent to 0.6 escapes per 10 000 custody nights in 2011-12 (table 15.1). The number of escapes from detention varied across jurisdictions.</w:t>
      </w:r>
    </w:p>
    <w:p w:rsidR="00FA5355" w:rsidRPr="00B0351E" w:rsidRDefault="00FA5355" w:rsidP="00FA5355">
      <w:pPr>
        <w:pStyle w:val="TableTitle"/>
        <w:rPr>
          <w:bCs/>
        </w:rPr>
      </w:pPr>
      <w:r w:rsidRPr="00B0351E">
        <w:rPr>
          <w:b w:val="0"/>
        </w:rPr>
        <w:lastRenderedPageBreak/>
        <w:t xml:space="preserve">Table </w:t>
      </w:r>
      <w:r w:rsidR="009F41E6" w:rsidRPr="00B0351E">
        <w:rPr>
          <w:b w:val="0"/>
        </w:rPr>
        <w:t>15.1</w:t>
      </w:r>
      <w:r w:rsidRPr="00B0351E">
        <w:tab/>
        <w:t>N</w:t>
      </w:r>
      <w:r w:rsidRPr="00B0351E">
        <w:rPr>
          <w:bCs/>
        </w:rPr>
        <w:t>umber and rate of escapes from youth justice detention centres, by Indigenous status, 2011-12</w:t>
      </w:r>
      <w:r w:rsidRPr="00B0351E">
        <w:rPr>
          <w:rStyle w:val="NoteLabel"/>
          <w:b/>
        </w:rPr>
        <w:t>a, b</w:t>
      </w:r>
    </w:p>
    <w:tbl>
      <w:tblPr>
        <w:tblW w:w="5000" w:type="pct"/>
        <w:tblCellMar>
          <w:left w:w="0" w:type="dxa"/>
          <w:right w:w="0" w:type="dxa"/>
        </w:tblCellMar>
        <w:tblLook w:val="0000" w:firstRow="0" w:lastRow="0" w:firstColumn="0" w:lastColumn="0" w:noHBand="0" w:noVBand="0"/>
      </w:tblPr>
      <w:tblGrid>
        <w:gridCol w:w="2725"/>
        <w:gridCol w:w="758"/>
        <w:gridCol w:w="758"/>
        <w:gridCol w:w="758"/>
        <w:gridCol w:w="758"/>
        <w:gridCol w:w="758"/>
        <w:gridCol w:w="758"/>
        <w:gridCol w:w="758"/>
        <w:gridCol w:w="758"/>
      </w:tblGrid>
      <w:tr w:rsidR="00FA5355" w:rsidRPr="00B0351E" w:rsidTr="00372932">
        <w:tc>
          <w:tcPr>
            <w:tcW w:w="1550" w:type="pct"/>
            <w:tcBorders>
              <w:top w:val="single" w:sz="6" w:space="0" w:color="auto"/>
              <w:bottom w:val="single" w:sz="6" w:space="0" w:color="auto"/>
            </w:tcBorders>
          </w:tcPr>
          <w:p w:rsidR="00FA5355" w:rsidRPr="00B0351E" w:rsidRDefault="00FA5355" w:rsidP="00372932">
            <w:pPr>
              <w:pStyle w:val="TableColumnHeading"/>
              <w:jc w:val="left"/>
            </w:pPr>
          </w:p>
        </w:tc>
        <w:tc>
          <w:tcPr>
            <w:tcW w:w="431" w:type="pct"/>
            <w:tcBorders>
              <w:top w:val="single" w:sz="6" w:space="0" w:color="auto"/>
              <w:bottom w:val="single" w:sz="6" w:space="0" w:color="auto"/>
            </w:tcBorders>
          </w:tcPr>
          <w:p w:rsidR="00FA5355" w:rsidRPr="00B0351E" w:rsidRDefault="00FA5355" w:rsidP="00372932">
            <w:pPr>
              <w:pStyle w:val="TableColumnHeading"/>
              <w:rPr>
                <w:rStyle w:val="NoteLabel"/>
              </w:rPr>
            </w:pPr>
            <w:r w:rsidRPr="00B0351E">
              <w:t>NSW</w:t>
            </w:r>
          </w:p>
        </w:tc>
        <w:tc>
          <w:tcPr>
            <w:tcW w:w="431" w:type="pct"/>
            <w:tcBorders>
              <w:top w:val="single" w:sz="6" w:space="0" w:color="auto"/>
              <w:bottom w:val="single" w:sz="6" w:space="0" w:color="auto"/>
            </w:tcBorders>
          </w:tcPr>
          <w:p w:rsidR="00FA5355" w:rsidRPr="00B0351E" w:rsidRDefault="00FA5355" w:rsidP="00372932">
            <w:pPr>
              <w:pStyle w:val="TableColumnHeading"/>
              <w:rPr>
                <w:rStyle w:val="NoteLabel"/>
              </w:rPr>
            </w:pPr>
            <w:r w:rsidRPr="00B0351E">
              <w:t>Vic</w:t>
            </w:r>
          </w:p>
        </w:tc>
        <w:tc>
          <w:tcPr>
            <w:tcW w:w="431" w:type="pct"/>
            <w:tcBorders>
              <w:top w:val="single" w:sz="6" w:space="0" w:color="auto"/>
              <w:bottom w:val="single" w:sz="6" w:space="0" w:color="auto"/>
            </w:tcBorders>
          </w:tcPr>
          <w:p w:rsidR="00FA5355" w:rsidRPr="00B0351E" w:rsidRDefault="00FA5355" w:rsidP="00372932">
            <w:pPr>
              <w:pStyle w:val="TableColumnHeading"/>
              <w:rPr>
                <w:rStyle w:val="NoteLabel"/>
              </w:rPr>
            </w:pPr>
            <w:r w:rsidRPr="00B0351E">
              <w:t>Qld</w:t>
            </w:r>
          </w:p>
        </w:tc>
        <w:tc>
          <w:tcPr>
            <w:tcW w:w="431" w:type="pct"/>
            <w:tcBorders>
              <w:top w:val="single" w:sz="6" w:space="0" w:color="auto"/>
              <w:bottom w:val="single" w:sz="6" w:space="0" w:color="auto"/>
            </w:tcBorders>
          </w:tcPr>
          <w:p w:rsidR="00FA5355" w:rsidRPr="00B0351E" w:rsidRDefault="00FA5355" w:rsidP="00372932">
            <w:pPr>
              <w:pStyle w:val="TableColumnHeading"/>
              <w:rPr>
                <w:rStyle w:val="NoteLabel"/>
              </w:rPr>
            </w:pPr>
            <w:r w:rsidRPr="00B0351E">
              <w:t>WA</w:t>
            </w:r>
          </w:p>
        </w:tc>
        <w:tc>
          <w:tcPr>
            <w:tcW w:w="431" w:type="pct"/>
            <w:tcBorders>
              <w:top w:val="single" w:sz="6" w:space="0" w:color="auto"/>
              <w:bottom w:val="single" w:sz="6" w:space="0" w:color="auto"/>
            </w:tcBorders>
          </w:tcPr>
          <w:p w:rsidR="00FA5355" w:rsidRPr="00B0351E" w:rsidRDefault="00FA5355" w:rsidP="00372932">
            <w:pPr>
              <w:pStyle w:val="TableColumnHeading"/>
              <w:rPr>
                <w:rStyle w:val="NoteLabel"/>
              </w:rPr>
            </w:pPr>
            <w:r w:rsidRPr="00B0351E">
              <w:t>SA</w:t>
            </w:r>
          </w:p>
        </w:tc>
        <w:tc>
          <w:tcPr>
            <w:tcW w:w="431" w:type="pct"/>
            <w:tcBorders>
              <w:top w:val="single" w:sz="6" w:space="0" w:color="auto"/>
              <w:bottom w:val="single" w:sz="6" w:space="0" w:color="auto"/>
            </w:tcBorders>
          </w:tcPr>
          <w:p w:rsidR="00FA5355" w:rsidRPr="00B0351E" w:rsidRDefault="00FA5355" w:rsidP="00372932">
            <w:pPr>
              <w:pStyle w:val="TableColumnHeading"/>
              <w:rPr>
                <w:rStyle w:val="NoteLabel"/>
              </w:rPr>
            </w:pPr>
            <w:r w:rsidRPr="00B0351E">
              <w:t>Tas</w:t>
            </w:r>
          </w:p>
        </w:tc>
        <w:tc>
          <w:tcPr>
            <w:tcW w:w="431" w:type="pct"/>
            <w:tcBorders>
              <w:top w:val="single" w:sz="6" w:space="0" w:color="auto"/>
              <w:bottom w:val="single" w:sz="6" w:space="0" w:color="auto"/>
            </w:tcBorders>
          </w:tcPr>
          <w:p w:rsidR="00FA5355" w:rsidRPr="00B0351E" w:rsidRDefault="00FA5355" w:rsidP="00372932">
            <w:pPr>
              <w:pStyle w:val="TableColumnHeading"/>
              <w:rPr>
                <w:rStyle w:val="NoteLabel"/>
              </w:rPr>
            </w:pPr>
            <w:r w:rsidRPr="00B0351E">
              <w:t>ACT</w:t>
            </w:r>
          </w:p>
        </w:tc>
        <w:tc>
          <w:tcPr>
            <w:tcW w:w="431" w:type="pct"/>
            <w:tcBorders>
              <w:top w:val="single" w:sz="6" w:space="0" w:color="auto"/>
              <w:bottom w:val="single" w:sz="6" w:space="0" w:color="auto"/>
            </w:tcBorders>
          </w:tcPr>
          <w:p w:rsidR="00FA5355" w:rsidRPr="00B0351E" w:rsidRDefault="00FA5355" w:rsidP="00372932">
            <w:pPr>
              <w:pStyle w:val="TableColumnHeading"/>
              <w:rPr>
                <w:rStyle w:val="NoteLabel"/>
              </w:rPr>
            </w:pPr>
            <w:r w:rsidRPr="00B0351E">
              <w:t>NT</w:t>
            </w:r>
          </w:p>
        </w:tc>
      </w:tr>
      <w:tr w:rsidR="00FA5355" w:rsidRPr="00B0351E" w:rsidTr="00372932">
        <w:tc>
          <w:tcPr>
            <w:tcW w:w="1550" w:type="pct"/>
          </w:tcPr>
          <w:p w:rsidR="00FA5355" w:rsidRPr="00B0351E" w:rsidRDefault="00FA5355" w:rsidP="00372932">
            <w:pPr>
              <w:pStyle w:val="TableBodyText"/>
              <w:jc w:val="left"/>
              <w:rPr>
                <w:b/>
              </w:rPr>
            </w:pPr>
            <w:r w:rsidRPr="00B0351E">
              <w:rPr>
                <w:b/>
              </w:rPr>
              <w:t>Number of escapes</w:t>
            </w:r>
          </w:p>
        </w:tc>
        <w:tc>
          <w:tcPr>
            <w:tcW w:w="431" w:type="pct"/>
            <w:vAlign w:val="center"/>
          </w:tcPr>
          <w:p w:rsidR="00FA5355" w:rsidRPr="00B0351E" w:rsidRDefault="00FA5355" w:rsidP="00372932">
            <w:pPr>
              <w:pStyle w:val="TableBodyText"/>
            </w:pPr>
          </w:p>
        </w:tc>
        <w:tc>
          <w:tcPr>
            <w:tcW w:w="431" w:type="pct"/>
            <w:vAlign w:val="center"/>
          </w:tcPr>
          <w:p w:rsidR="00FA5355" w:rsidRPr="00B0351E" w:rsidRDefault="00FA5355" w:rsidP="00372932">
            <w:pPr>
              <w:pStyle w:val="TableBodyText"/>
            </w:pPr>
          </w:p>
        </w:tc>
        <w:tc>
          <w:tcPr>
            <w:tcW w:w="431" w:type="pct"/>
            <w:vAlign w:val="center"/>
          </w:tcPr>
          <w:p w:rsidR="00FA5355" w:rsidRPr="00B0351E" w:rsidRDefault="00FA5355" w:rsidP="00372932">
            <w:pPr>
              <w:pStyle w:val="TableBodyText"/>
            </w:pPr>
          </w:p>
        </w:tc>
        <w:tc>
          <w:tcPr>
            <w:tcW w:w="431" w:type="pct"/>
            <w:vAlign w:val="center"/>
          </w:tcPr>
          <w:p w:rsidR="00FA5355" w:rsidRPr="00B0351E" w:rsidRDefault="00FA5355" w:rsidP="00372932">
            <w:pPr>
              <w:pStyle w:val="TableBodyText"/>
            </w:pPr>
          </w:p>
        </w:tc>
        <w:tc>
          <w:tcPr>
            <w:tcW w:w="431" w:type="pct"/>
            <w:vAlign w:val="center"/>
          </w:tcPr>
          <w:p w:rsidR="00FA5355" w:rsidRPr="00B0351E" w:rsidRDefault="00FA5355" w:rsidP="00372932">
            <w:pPr>
              <w:pStyle w:val="TableBodyText"/>
            </w:pPr>
          </w:p>
        </w:tc>
        <w:tc>
          <w:tcPr>
            <w:tcW w:w="431" w:type="pct"/>
            <w:vAlign w:val="center"/>
          </w:tcPr>
          <w:p w:rsidR="00FA5355" w:rsidRPr="00B0351E" w:rsidRDefault="00FA5355" w:rsidP="00372932">
            <w:pPr>
              <w:pStyle w:val="TableBodyText"/>
            </w:pPr>
          </w:p>
        </w:tc>
        <w:tc>
          <w:tcPr>
            <w:tcW w:w="431" w:type="pct"/>
            <w:vAlign w:val="center"/>
          </w:tcPr>
          <w:p w:rsidR="00FA5355" w:rsidRPr="00B0351E" w:rsidRDefault="00FA5355" w:rsidP="00372932">
            <w:pPr>
              <w:pStyle w:val="TableBodyText"/>
            </w:pPr>
          </w:p>
        </w:tc>
        <w:tc>
          <w:tcPr>
            <w:tcW w:w="431" w:type="pct"/>
            <w:vAlign w:val="center"/>
          </w:tcPr>
          <w:p w:rsidR="00FA5355" w:rsidRPr="00B0351E" w:rsidRDefault="00FA5355" w:rsidP="00372932">
            <w:pPr>
              <w:pStyle w:val="TableBodyText"/>
            </w:pPr>
          </w:p>
        </w:tc>
      </w:tr>
      <w:tr w:rsidR="00FA5355" w:rsidRPr="00B0351E" w:rsidTr="00372932">
        <w:tc>
          <w:tcPr>
            <w:tcW w:w="1550" w:type="pct"/>
          </w:tcPr>
          <w:p w:rsidR="00FA5355" w:rsidRPr="00B0351E" w:rsidRDefault="00FA5355" w:rsidP="00372932">
            <w:pPr>
              <w:pStyle w:val="TableBodyText"/>
              <w:ind w:left="284"/>
              <w:jc w:val="left"/>
            </w:pPr>
            <w:r w:rsidRPr="00B0351E">
              <w:t>Indigenous</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 xml:space="preserve">  4.0</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 xml:space="preserve">  9.0</w:t>
            </w:r>
          </w:p>
        </w:tc>
      </w:tr>
      <w:tr w:rsidR="00FA5355" w:rsidRPr="00B0351E" w:rsidTr="00372932">
        <w:tc>
          <w:tcPr>
            <w:tcW w:w="1550" w:type="pct"/>
          </w:tcPr>
          <w:p w:rsidR="00FA5355" w:rsidRPr="00B0351E" w:rsidRDefault="00FA5355" w:rsidP="00372932">
            <w:pPr>
              <w:pStyle w:val="TableBodyText"/>
              <w:ind w:left="284"/>
              <w:jc w:val="left"/>
            </w:pPr>
            <w:r w:rsidRPr="00B0351E">
              <w:t>Non-Indigenous</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 xml:space="preserve">  4.0</w:t>
            </w:r>
          </w:p>
        </w:tc>
        <w:tc>
          <w:tcPr>
            <w:tcW w:w="431" w:type="pct"/>
            <w:vAlign w:val="center"/>
          </w:tcPr>
          <w:p w:rsidR="00FA5355" w:rsidRPr="00B0351E" w:rsidRDefault="00FA5355" w:rsidP="00372932">
            <w:pPr>
              <w:pStyle w:val="TableBodyText"/>
            </w:pPr>
            <w:r w:rsidRPr="00B0351E">
              <w:t xml:space="preserve">  2.0</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r>
      <w:tr w:rsidR="00FA5355" w:rsidRPr="00B0351E" w:rsidTr="00372932">
        <w:tc>
          <w:tcPr>
            <w:tcW w:w="1550" w:type="pct"/>
          </w:tcPr>
          <w:p w:rsidR="00FA5355" w:rsidRPr="00B0351E" w:rsidRDefault="00FA5355" w:rsidP="00372932">
            <w:pPr>
              <w:pStyle w:val="TableBodyText"/>
              <w:ind w:left="284"/>
              <w:jc w:val="left"/>
            </w:pPr>
            <w:r w:rsidRPr="00B0351E">
              <w:t>Unknown</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1.0</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r>
      <w:tr w:rsidR="00FA5355" w:rsidRPr="00B0351E" w:rsidTr="00372932">
        <w:tc>
          <w:tcPr>
            <w:tcW w:w="1550" w:type="pct"/>
          </w:tcPr>
          <w:p w:rsidR="00FA5355" w:rsidRPr="00B0351E" w:rsidRDefault="00FA5355" w:rsidP="00372932">
            <w:pPr>
              <w:pStyle w:val="TableBodyText"/>
              <w:ind w:left="284"/>
              <w:jc w:val="left"/>
            </w:pPr>
            <w:r w:rsidRPr="00B0351E">
              <w:t>Total</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 xml:space="preserve">  1.0</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 xml:space="preserve">  8.0</w:t>
            </w:r>
          </w:p>
        </w:tc>
        <w:tc>
          <w:tcPr>
            <w:tcW w:w="431" w:type="pct"/>
            <w:vAlign w:val="center"/>
          </w:tcPr>
          <w:p w:rsidR="00FA5355" w:rsidRPr="00B0351E" w:rsidRDefault="00FA5355" w:rsidP="00372932">
            <w:pPr>
              <w:pStyle w:val="TableBodyText"/>
            </w:pPr>
            <w:r w:rsidRPr="00B0351E">
              <w:t xml:space="preserve">  2.0</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 xml:space="preserve">  9.0</w:t>
            </w:r>
          </w:p>
        </w:tc>
      </w:tr>
      <w:tr w:rsidR="00FA5355" w:rsidRPr="00B0351E" w:rsidTr="00372932">
        <w:tc>
          <w:tcPr>
            <w:tcW w:w="1550" w:type="pct"/>
          </w:tcPr>
          <w:p w:rsidR="00FA5355" w:rsidRPr="00B0351E" w:rsidRDefault="00FA5355" w:rsidP="00372932">
            <w:pPr>
              <w:pStyle w:val="TableBodyText"/>
              <w:ind w:right="0"/>
              <w:jc w:val="left"/>
              <w:rPr>
                <w:b/>
              </w:rPr>
            </w:pPr>
            <w:r w:rsidRPr="00B0351E">
              <w:rPr>
                <w:b/>
              </w:rPr>
              <w:t>Rate per 10 000 custody nights</w:t>
            </w:r>
          </w:p>
        </w:tc>
        <w:tc>
          <w:tcPr>
            <w:tcW w:w="431" w:type="pct"/>
            <w:vAlign w:val="center"/>
          </w:tcPr>
          <w:p w:rsidR="00FA5355" w:rsidRPr="00B0351E" w:rsidRDefault="00FA5355" w:rsidP="00372932">
            <w:pPr>
              <w:pStyle w:val="TableBodyText"/>
            </w:pPr>
          </w:p>
        </w:tc>
        <w:tc>
          <w:tcPr>
            <w:tcW w:w="431" w:type="pct"/>
            <w:vAlign w:val="center"/>
          </w:tcPr>
          <w:p w:rsidR="00FA5355" w:rsidRPr="00B0351E" w:rsidRDefault="00FA5355" w:rsidP="00372932">
            <w:pPr>
              <w:pStyle w:val="TableBodyText"/>
            </w:pPr>
          </w:p>
        </w:tc>
        <w:tc>
          <w:tcPr>
            <w:tcW w:w="431" w:type="pct"/>
            <w:vAlign w:val="center"/>
          </w:tcPr>
          <w:p w:rsidR="00FA5355" w:rsidRPr="00B0351E" w:rsidRDefault="00FA5355" w:rsidP="00372932">
            <w:pPr>
              <w:pStyle w:val="TableBodyText"/>
            </w:pPr>
          </w:p>
        </w:tc>
        <w:tc>
          <w:tcPr>
            <w:tcW w:w="431" w:type="pct"/>
            <w:vAlign w:val="center"/>
          </w:tcPr>
          <w:p w:rsidR="00FA5355" w:rsidRPr="00B0351E" w:rsidRDefault="00FA5355" w:rsidP="00372932">
            <w:pPr>
              <w:pStyle w:val="TableBodyText"/>
            </w:pPr>
          </w:p>
        </w:tc>
        <w:tc>
          <w:tcPr>
            <w:tcW w:w="431" w:type="pct"/>
            <w:vAlign w:val="center"/>
          </w:tcPr>
          <w:p w:rsidR="00FA5355" w:rsidRPr="00B0351E" w:rsidRDefault="00FA5355" w:rsidP="00372932">
            <w:pPr>
              <w:pStyle w:val="TableBodyText"/>
            </w:pPr>
          </w:p>
        </w:tc>
        <w:tc>
          <w:tcPr>
            <w:tcW w:w="431" w:type="pct"/>
            <w:vAlign w:val="center"/>
          </w:tcPr>
          <w:p w:rsidR="00FA5355" w:rsidRPr="00B0351E" w:rsidRDefault="00FA5355" w:rsidP="00372932">
            <w:pPr>
              <w:pStyle w:val="TableBodyText"/>
            </w:pPr>
          </w:p>
        </w:tc>
        <w:tc>
          <w:tcPr>
            <w:tcW w:w="431" w:type="pct"/>
            <w:vAlign w:val="center"/>
          </w:tcPr>
          <w:p w:rsidR="00FA5355" w:rsidRPr="00B0351E" w:rsidRDefault="00FA5355" w:rsidP="00372932">
            <w:pPr>
              <w:pStyle w:val="TableBodyText"/>
            </w:pPr>
          </w:p>
        </w:tc>
        <w:tc>
          <w:tcPr>
            <w:tcW w:w="431" w:type="pct"/>
            <w:vAlign w:val="center"/>
          </w:tcPr>
          <w:p w:rsidR="00FA5355" w:rsidRPr="00B0351E" w:rsidRDefault="00FA5355" w:rsidP="00372932">
            <w:pPr>
              <w:pStyle w:val="TableBodyText"/>
            </w:pPr>
          </w:p>
        </w:tc>
      </w:tr>
      <w:tr w:rsidR="00FA5355" w:rsidRPr="00B0351E" w:rsidTr="00372932">
        <w:tc>
          <w:tcPr>
            <w:tcW w:w="1550" w:type="pct"/>
          </w:tcPr>
          <w:p w:rsidR="00FA5355" w:rsidRPr="00B0351E" w:rsidRDefault="00FA5355" w:rsidP="00372932">
            <w:pPr>
              <w:pStyle w:val="TableBodyText"/>
              <w:ind w:left="284"/>
              <w:jc w:val="left"/>
            </w:pPr>
            <w:r w:rsidRPr="00B0351E">
              <w:t>Indigenous</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 xml:space="preserve">  3.9</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 xml:space="preserve">  6.7</w:t>
            </w:r>
          </w:p>
        </w:tc>
      </w:tr>
      <w:tr w:rsidR="00FA5355" w:rsidRPr="00B0351E" w:rsidTr="00372932">
        <w:tc>
          <w:tcPr>
            <w:tcW w:w="1550" w:type="pct"/>
          </w:tcPr>
          <w:p w:rsidR="00FA5355" w:rsidRPr="00B0351E" w:rsidRDefault="00FA5355" w:rsidP="00372932">
            <w:pPr>
              <w:pStyle w:val="TableBodyText"/>
              <w:ind w:left="284"/>
              <w:jc w:val="left"/>
            </w:pPr>
            <w:r w:rsidRPr="00B0351E">
              <w:t>Non-Indigenous</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 xml:space="preserve">  3.5</w:t>
            </w:r>
          </w:p>
        </w:tc>
        <w:tc>
          <w:tcPr>
            <w:tcW w:w="431" w:type="pct"/>
            <w:vAlign w:val="center"/>
          </w:tcPr>
          <w:p w:rsidR="00FA5355" w:rsidRPr="00B0351E" w:rsidRDefault="00FA5355" w:rsidP="00372932">
            <w:pPr>
              <w:pStyle w:val="TableBodyText"/>
            </w:pPr>
            <w:r w:rsidRPr="00B0351E">
              <w:t xml:space="preserve">  3.0</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r>
      <w:tr w:rsidR="00FA5355" w:rsidRPr="00B0351E" w:rsidTr="00372932">
        <w:tc>
          <w:tcPr>
            <w:tcW w:w="1550" w:type="pct"/>
          </w:tcPr>
          <w:p w:rsidR="00FA5355" w:rsidRPr="00B0351E" w:rsidRDefault="00FA5355" w:rsidP="00372932">
            <w:pPr>
              <w:pStyle w:val="TableBodyText"/>
              <w:ind w:left="284"/>
              <w:jc w:val="left"/>
            </w:pPr>
            <w:r w:rsidRPr="00B0351E">
              <w:t>Unknown</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3333.3</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c>
          <w:tcPr>
            <w:tcW w:w="431" w:type="pct"/>
            <w:vAlign w:val="center"/>
          </w:tcPr>
          <w:p w:rsidR="00FA5355" w:rsidRPr="00B0351E" w:rsidRDefault="00FA5355" w:rsidP="00372932">
            <w:pPr>
              <w:pStyle w:val="TableBodyText"/>
            </w:pPr>
            <w:r w:rsidRPr="00B0351E">
              <w:t>–</w:t>
            </w:r>
          </w:p>
        </w:tc>
      </w:tr>
      <w:tr w:rsidR="00FA5355" w:rsidRPr="00B0351E" w:rsidTr="00372932">
        <w:tc>
          <w:tcPr>
            <w:tcW w:w="1550" w:type="pct"/>
            <w:tcBorders>
              <w:bottom w:val="single" w:sz="4" w:space="0" w:color="auto"/>
            </w:tcBorders>
          </w:tcPr>
          <w:p w:rsidR="00FA5355" w:rsidRPr="00B0351E" w:rsidRDefault="00FA5355" w:rsidP="00372932">
            <w:pPr>
              <w:pStyle w:val="TableBodyText"/>
              <w:ind w:left="284"/>
              <w:jc w:val="left"/>
            </w:pPr>
            <w:r w:rsidRPr="00B0351E">
              <w:t>Total</w:t>
            </w:r>
          </w:p>
        </w:tc>
        <w:tc>
          <w:tcPr>
            <w:tcW w:w="431" w:type="pct"/>
            <w:tcBorders>
              <w:bottom w:val="single" w:sz="4" w:space="0" w:color="auto"/>
            </w:tcBorders>
            <w:vAlign w:val="center"/>
          </w:tcPr>
          <w:p w:rsidR="00FA5355" w:rsidRPr="00B0351E" w:rsidRDefault="00FA5355" w:rsidP="00372932">
            <w:pPr>
              <w:pStyle w:val="TableBodyText"/>
            </w:pPr>
            <w:r w:rsidRPr="00B0351E">
              <w:t>–</w:t>
            </w:r>
          </w:p>
        </w:tc>
        <w:tc>
          <w:tcPr>
            <w:tcW w:w="431" w:type="pct"/>
            <w:tcBorders>
              <w:bottom w:val="single" w:sz="4" w:space="0" w:color="auto"/>
            </w:tcBorders>
            <w:vAlign w:val="center"/>
          </w:tcPr>
          <w:p w:rsidR="00FA5355" w:rsidRPr="00B0351E" w:rsidRDefault="00FA5355" w:rsidP="00372932">
            <w:pPr>
              <w:pStyle w:val="TableBodyText"/>
            </w:pPr>
            <w:r w:rsidRPr="00B0351E">
              <w:t xml:space="preserve">  0.2</w:t>
            </w:r>
          </w:p>
        </w:tc>
        <w:tc>
          <w:tcPr>
            <w:tcW w:w="431" w:type="pct"/>
            <w:tcBorders>
              <w:bottom w:val="single" w:sz="4" w:space="0" w:color="auto"/>
            </w:tcBorders>
            <w:vAlign w:val="center"/>
          </w:tcPr>
          <w:p w:rsidR="00FA5355" w:rsidRPr="00B0351E" w:rsidRDefault="00FA5355" w:rsidP="00372932">
            <w:pPr>
              <w:pStyle w:val="TableBodyText"/>
            </w:pPr>
            <w:r w:rsidRPr="00B0351E">
              <w:t>–</w:t>
            </w:r>
          </w:p>
        </w:tc>
        <w:tc>
          <w:tcPr>
            <w:tcW w:w="431" w:type="pct"/>
            <w:tcBorders>
              <w:bottom w:val="single" w:sz="4" w:space="0" w:color="auto"/>
            </w:tcBorders>
            <w:vAlign w:val="center"/>
          </w:tcPr>
          <w:p w:rsidR="00FA5355" w:rsidRPr="00B0351E" w:rsidRDefault="00FA5355" w:rsidP="00372932">
            <w:pPr>
              <w:pStyle w:val="TableBodyText"/>
            </w:pPr>
            <w:r w:rsidRPr="00B0351E">
              <w:t>–</w:t>
            </w:r>
          </w:p>
        </w:tc>
        <w:tc>
          <w:tcPr>
            <w:tcW w:w="431" w:type="pct"/>
            <w:tcBorders>
              <w:bottom w:val="single" w:sz="4" w:space="0" w:color="auto"/>
            </w:tcBorders>
            <w:vAlign w:val="center"/>
          </w:tcPr>
          <w:p w:rsidR="00FA5355" w:rsidRPr="00B0351E" w:rsidRDefault="00FA5355" w:rsidP="00372932">
            <w:pPr>
              <w:pStyle w:val="TableBodyText"/>
            </w:pPr>
            <w:r w:rsidRPr="00B0351E">
              <w:t xml:space="preserve">  3.6</w:t>
            </w:r>
          </w:p>
        </w:tc>
        <w:tc>
          <w:tcPr>
            <w:tcW w:w="431" w:type="pct"/>
            <w:tcBorders>
              <w:bottom w:val="single" w:sz="4" w:space="0" w:color="auto"/>
            </w:tcBorders>
            <w:vAlign w:val="center"/>
          </w:tcPr>
          <w:p w:rsidR="00FA5355" w:rsidRPr="00B0351E" w:rsidRDefault="00FA5355" w:rsidP="00372932">
            <w:pPr>
              <w:pStyle w:val="TableBodyText"/>
            </w:pPr>
            <w:r w:rsidRPr="00B0351E">
              <w:t xml:space="preserve">  2.6</w:t>
            </w:r>
          </w:p>
        </w:tc>
        <w:tc>
          <w:tcPr>
            <w:tcW w:w="431" w:type="pct"/>
            <w:tcBorders>
              <w:bottom w:val="single" w:sz="4" w:space="0" w:color="auto"/>
            </w:tcBorders>
            <w:vAlign w:val="center"/>
          </w:tcPr>
          <w:p w:rsidR="00FA5355" w:rsidRPr="00B0351E" w:rsidRDefault="00FA5355" w:rsidP="00372932">
            <w:pPr>
              <w:pStyle w:val="TableBodyText"/>
            </w:pPr>
            <w:r w:rsidRPr="00B0351E">
              <w:t>–</w:t>
            </w:r>
          </w:p>
        </w:tc>
        <w:tc>
          <w:tcPr>
            <w:tcW w:w="431" w:type="pct"/>
            <w:tcBorders>
              <w:bottom w:val="single" w:sz="4" w:space="0" w:color="auto"/>
            </w:tcBorders>
            <w:vAlign w:val="center"/>
          </w:tcPr>
          <w:p w:rsidR="00FA5355" w:rsidRPr="00B0351E" w:rsidRDefault="00FA5355" w:rsidP="00372932">
            <w:pPr>
              <w:pStyle w:val="TableBodyText"/>
            </w:pPr>
            <w:r w:rsidRPr="00B0351E">
              <w:t xml:space="preserve">  6.5</w:t>
            </w:r>
          </w:p>
        </w:tc>
      </w:tr>
    </w:tbl>
    <w:p w:rsidR="00EC0432" w:rsidRPr="00336731" w:rsidRDefault="00EC0432" w:rsidP="00EC0432">
      <w:pPr>
        <w:pStyle w:val="Note"/>
      </w:pPr>
      <w:r>
        <w:rPr>
          <w:rStyle w:val="NoteLabel"/>
        </w:rPr>
        <w:t>a</w:t>
      </w:r>
      <w:r w:rsidRPr="002F6577">
        <w:rPr>
          <w:rStyle w:val="NoteLabel"/>
        </w:rPr>
        <w:t xml:space="preserve"> </w:t>
      </w:r>
      <w:r>
        <w:t xml:space="preserve">Victoria’s high rate of escapes from youth justice detention for young people of unknown Indigenous status is the result of having very few young people in detention of unknown Indigenous status. </w:t>
      </w:r>
      <w:r w:rsidRPr="00541E4E">
        <w:rPr>
          <w:rStyle w:val="NoteLabel"/>
        </w:rPr>
        <w:t>b</w:t>
      </w:r>
      <w:r>
        <w:t xml:space="preserve"> Refer to table </w:t>
      </w:r>
      <w:r w:rsidRPr="00541E4E">
        <w:t>15A.194 for detailed footnotes. – Nil or rounded to zero.</w:t>
      </w:r>
    </w:p>
    <w:p w:rsidR="00FA5355" w:rsidRPr="00B0351E" w:rsidRDefault="00FA5355" w:rsidP="00FA5355">
      <w:pPr>
        <w:pStyle w:val="Source"/>
      </w:pPr>
      <w:r w:rsidRPr="00B0351E">
        <w:rPr>
          <w:i/>
        </w:rPr>
        <w:t>Source</w:t>
      </w:r>
      <w:r w:rsidRPr="00B0351E">
        <w:t>: State and Territory governments (unpublished); table 15A.194; 2013 Report, table 15.7, p. 15.80.</w:t>
      </w:r>
    </w:p>
    <w:p w:rsidR="00FA5355" w:rsidRPr="00B0351E" w:rsidRDefault="00FA5355" w:rsidP="00FA5355">
      <w:pPr>
        <w:pStyle w:val="BodyText"/>
      </w:pPr>
      <w:r w:rsidRPr="00B0351E">
        <w:t>Nationally, there were six escapes from escorted movements in 2011-12 (table 15.2). The number of escapes from escorted movement varied across jurisdictions.</w:t>
      </w:r>
    </w:p>
    <w:p w:rsidR="004218A0" w:rsidRPr="00B0351E" w:rsidRDefault="004218A0" w:rsidP="004218A0">
      <w:pPr>
        <w:pStyle w:val="TableTitle"/>
        <w:rPr>
          <w:bCs/>
        </w:rPr>
      </w:pPr>
      <w:r w:rsidRPr="00B0351E">
        <w:rPr>
          <w:b w:val="0"/>
        </w:rPr>
        <w:t xml:space="preserve">Table </w:t>
      </w:r>
      <w:r w:rsidR="009F41E6" w:rsidRPr="00B0351E">
        <w:rPr>
          <w:b w:val="0"/>
        </w:rPr>
        <w:t>15.2</w:t>
      </w:r>
      <w:r w:rsidRPr="00B0351E">
        <w:tab/>
        <w:t>N</w:t>
      </w:r>
      <w:r w:rsidRPr="00B0351E">
        <w:rPr>
          <w:bCs/>
        </w:rPr>
        <w:t>umber and rate of escapes from escorted movement, by Indigenous status, 2011-12</w:t>
      </w:r>
      <w:r w:rsidRPr="00B0351E">
        <w:rPr>
          <w:rStyle w:val="NoteLabel"/>
        </w:rPr>
        <w:t>a</w:t>
      </w:r>
    </w:p>
    <w:tbl>
      <w:tblPr>
        <w:tblW w:w="5000" w:type="pct"/>
        <w:tblCellMar>
          <w:left w:w="0" w:type="dxa"/>
          <w:right w:w="0" w:type="dxa"/>
        </w:tblCellMar>
        <w:tblLook w:val="0000" w:firstRow="0" w:lastRow="0" w:firstColumn="0" w:lastColumn="0" w:noHBand="0" w:noVBand="0"/>
      </w:tblPr>
      <w:tblGrid>
        <w:gridCol w:w="2725"/>
        <w:gridCol w:w="758"/>
        <w:gridCol w:w="758"/>
        <w:gridCol w:w="758"/>
        <w:gridCol w:w="758"/>
        <w:gridCol w:w="758"/>
        <w:gridCol w:w="758"/>
        <w:gridCol w:w="758"/>
        <w:gridCol w:w="758"/>
      </w:tblGrid>
      <w:tr w:rsidR="004218A0" w:rsidRPr="00B0351E" w:rsidTr="00372932">
        <w:tc>
          <w:tcPr>
            <w:tcW w:w="1550" w:type="pct"/>
            <w:tcBorders>
              <w:top w:val="single" w:sz="6" w:space="0" w:color="auto"/>
              <w:bottom w:val="single" w:sz="6" w:space="0" w:color="auto"/>
            </w:tcBorders>
          </w:tcPr>
          <w:p w:rsidR="004218A0" w:rsidRPr="00B0351E" w:rsidRDefault="004218A0" w:rsidP="00372932">
            <w:pPr>
              <w:pStyle w:val="TableColumnHeading"/>
              <w:jc w:val="left"/>
            </w:pPr>
          </w:p>
        </w:tc>
        <w:tc>
          <w:tcPr>
            <w:tcW w:w="431" w:type="pct"/>
            <w:tcBorders>
              <w:top w:val="single" w:sz="6" w:space="0" w:color="auto"/>
              <w:bottom w:val="single" w:sz="6" w:space="0" w:color="auto"/>
            </w:tcBorders>
          </w:tcPr>
          <w:p w:rsidR="004218A0" w:rsidRPr="00B0351E" w:rsidRDefault="004218A0" w:rsidP="00372932">
            <w:pPr>
              <w:pStyle w:val="TableColumnHeading"/>
              <w:rPr>
                <w:rStyle w:val="NoteLabel"/>
              </w:rPr>
            </w:pPr>
            <w:r w:rsidRPr="00B0351E">
              <w:t>NSW</w:t>
            </w:r>
          </w:p>
        </w:tc>
        <w:tc>
          <w:tcPr>
            <w:tcW w:w="431" w:type="pct"/>
            <w:tcBorders>
              <w:top w:val="single" w:sz="6" w:space="0" w:color="auto"/>
              <w:bottom w:val="single" w:sz="6" w:space="0" w:color="auto"/>
            </w:tcBorders>
          </w:tcPr>
          <w:p w:rsidR="004218A0" w:rsidRPr="00B0351E" w:rsidRDefault="004218A0" w:rsidP="00372932">
            <w:pPr>
              <w:pStyle w:val="TableColumnHeading"/>
              <w:rPr>
                <w:rStyle w:val="NoteLabel"/>
              </w:rPr>
            </w:pPr>
            <w:r w:rsidRPr="00B0351E">
              <w:t>Vic</w:t>
            </w:r>
          </w:p>
        </w:tc>
        <w:tc>
          <w:tcPr>
            <w:tcW w:w="431" w:type="pct"/>
            <w:tcBorders>
              <w:top w:val="single" w:sz="6" w:space="0" w:color="auto"/>
              <w:bottom w:val="single" w:sz="6" w:space="0" w:color="auto"/>
            </w:tcBorders>
          </w:tcPr>
          <w:p w:rsidR="004218A0" w:rsidRPr="00B0351E" w:rsidRDefault="004218A0" w:rsidP="00372932">
            <w:pPr>
              <w:pStyle w:val="TableColumnHeading"/>
              <w:rPr>
                <w:rStyle w:val="NoteLabel"/>
              </w:rPr>
            </w:pPr>
            <w:r w:rsidRPr="00B0351E">
              <w:t>Qld</w:t>
            </w:r>
          </w:p>
        </w:tc>
        <w:tc>
          <w:tcPr>
            <w:tcW w:w="431" w:type="pct"/>
            <w:tcBorders>
              <w:top w:val="single" w:sz="6" w:space="0" w:color="auto"/>
              <w:bottom w:val="single" w:sz="6" w:space="0" w:color="auto"/>
            </w:tcBorders>
          </w:tcPr>
          <w:p w:rsidR="004218A0" w:rsidRPr="00B0351E" w:rsidRDefault="004218A0" w:rsidP="00372932">
            <w:pPr>
              <w:pStyle w:val="TableColumnHeading"/>
              <w:rPr>
                <w:rStyle w:val="NoteLabel"/>
              </w:rPr>
            </w:pPr>
            <w:r w:rsidRPr="00B0351E">
              <w:t>WA</w:t>
            </w:r>
          </w:p>
        </w:tc>
        <w:tc>
          <w:tcPr>
            <w:tcW w:w="431" w:type="pct"/>
            <w:tcBorders>
              <w:top w:val="single" w:sz="6" w:space="0" w:color="auto"/>
              <w:bottom w:val="single" w:sz="6" w:space="0" w:color="auto"/>
            </w:tcBorders>
          </w:tcPr>
          <w:p w:rsidR="004218A0" w:rsidRPr="00B0351E" w:rsidRDefault="004218A0" w:rsidP="00372932">
            <w:pPr>
              <w:pStyle w:val="TableColumnHeading"/>
              <w:rPr>
                <w:rStyle w:val="NoteLabel"/>
              </w:rPr>
            </w:pPr>
            <w:r w:rsidRPr="00B0351E">
              <w:t>SA</w:t>
            </w:r>
          </w:p>
        </w:tc>
        <w:tc>
          <w:tcPr>
            <w:tcW w:w="431" w:type="pct"/>
            <w:tcBorders>
              <w:top w:val="single" w:sz="6" w:space="0" w:color="auto"/>
              <w:bottom w:val="single" w:sz="6" w:space="0" w:color="auto"/>
            </w:tcBorders>
          </w:tcPr>
          <w:p w:rsidR="004218A0" w:rsidRPr="00B0351E" w:rsidRDefault="004218A0" w:rsidP="00372932">
            <w:pPr>
              <w:pStyle w:val="TableColumnHeading"/>
              <w:rPr>
                <w:rStyle w:val="NoteLabel"/>
              </w:rPr>
            </w:pPr>
            <w:r w:rsidRPr="00B0351E">
              <w:t>Tas</w:t>
            </w:r>
          </w:p>
        </w:tc>
        <w:tc>
          <w:tcPr>
            <w:tcW w:w="431" w:type="pct"/>
            <w:tcBorders>
              <w:top w:val="single" w:sz="6" w:space="0" w:color="auto"/>
              <w:bottom w:val="single" w:sz="6" w:space="0" w:color="auto"/>
            </w:tcBorders>
          </w:tcPr>
          <w:p w:rsidR="004218A0" w:rsidRPr="00B0351E" w:rsidRDefault="004218A0" w:rsidP="00372932">
            <w:pPr>
              <w:pStyle w:val="TableColumnHeading"/>
              <w:rPr>
                <w:rStyle w:val="NoteLabel"/>
              </w:rPr>
            </w:pPr>
            <w:r w:rsidRPr="00B0351E">
              <w:t>ACT</w:t>
            </w:r>
          </w:p>
        </w:tc>
        <w:tc>
          <w:tcPr>
            <w:tcW w:w="431" w:type="pct"/>
            <w:tcBorders>
              <w:top w:val="single" w:sz="6" w:space="0" w:color="auto"/>
              <w:bottom w:val="single" w:sz="6" w:space="0" w:color="auto"/>
            </w:tcBorders>
          </w:tcPr>
          <w:p w:rsidR="004218A0" w:rsidRPr="00B0351E" w:rsidRDefault="004218A0" w:rsidP="00372932">
            <w:pPr>
              <w:pStyle w:val="TableColumnHeading"/>
              <w:rPr>
                <w:rStyle w:val="NoteLabel"/>
              </w:rPr>
            </w:pPr>
            <w:r w:rsidRPr="00B0351E">
              <w:t>NT</w:t>
            </w:r>
          </w:p>
        </w:tc>
      </w:tr>
      <w:tr w:rsidR="004218A0" w:rsidRPr="00B0351E" w:rsidTr="00372932">
        <w:tc>
          <w:tcPr>
            <w:tcW w:w="1550" w:type="pct"/>
          </w:tcPr>
          <w:p w:rsidR="004218A0" w:rsidRPr="00B0351E" w:rsidRDefault="004218A0" w:rsidP="00372932">
            <w:pPr>
              <w:pStyle w:val="TableBodyText"/>
              <w:jc w:val="left"/>
              <w:rPr>
                <w:b/>
              </w:rPr>
            </w:pPr>
            <w:r w:rsidRPr="00B0351E">
              <w:rPr>
                <w:b/>
              </w:rPr>
              <w:t>Number of escapes</w:t>
            </w:r>
          </w:p>
        </w:tc>
        <w:tc>
          <w:tcPr>
            <w:tcW w:w="431" w:type="pct"/>
            <w:vAlign w:val="center"/>
          </w:tcPr>
          <w:p w:rsidR="004218A0" w:rsidRPr="00B0351E" w:rsidRDefault="004218A0" w:rsidP="00372932">
            <w:pPr>
              <w:pStyle w:val="TableBodyText"/>
            </w:pPr>
          </w:p>
        </w:tc>
        <w:tc>
          <w:tcPr>
            <w:tcW w:w="431" w:type="pct"/>
            <w:vAlign w:val="center"/>
          </w:tcPr>
          <w:p w:rsidR="004218A0" w:rsidRPr="00B0351E" w:rsidRDefault="004218A0" w:rsidP="00372932">
            <w:pPr>
              <w:pStyle w:val="TableBodyText"/>
            </w:pPr>
          </w:p>
        </w:tc>
        <w:tc>
          <w:tcPr>
            <w:tcW w:w="431" w:type="pct"/>
            <w:vAlign w:val="center"/>
          </w:tcPr>
          <w:p w:rsidR="004218A0" w:rsidRPr="00B0351E" w:rsidRDefault="004218A0" w:rsidP="00372932">
            <w:pPr>
              <w:pStyle w:val="TableBodyText"/>
            </w:pPr>
          </w:p>
        </w:tc>
        <w:tc>
          <w:tcPr>
            <w:tcW w:w="431" w:type="pct"/>
            <w:vAlign w:val="center"/>
          </w:tcPr>
          <w:p w:rsidR="004218A0" w:rsidRPr="00B0351E" w:rsidRDefault="004218A0" w:rsidP="00372932">
            <w:pPr>
              <w:pStyle w:val="TableBodyText"/>
            </w:pPr>
          </w:p>
        </w:tc>
        <w:tc>
          <w:tcPr>
            <w:tcW w:w="431" w:type="pct"/>
            <w:vAlign w:val="center"/>
          </w:tcPr>
          <w:p w:rsidR="004218A0" w:rsidRPr="00B0351E" w:rsidRDefault="004218A0" w:rsidP="00372932">
            <w:pPr>
              <w:pStyle w:val="TableBodyText"/>
            </w:pPr>
          </w:p>
        </w:tc>
        <w:tc>
          <w:tcPr>
            <w:tcW w:w="431" w:type="pct"/>
            <w:vAlign w:val="center"/>
          </w:tcPr>
          <w:p w:rsidR="004218A0" w:rsidRPr="00B0351E" w:rsidRDefault="004218A0" w:rsidP="00372932">
            <w:pPr>
              <w:pStyle w:val="TableBodyText"/>
            </w:pPr>
          </w:p>
        </w:tc>
        <w:tc>
          <w:tcPr>
            <w:tcW w:w="431" w:type="pct"/>
            <w:vAlign w:val="center"/>
          </w:tcPr>
          <w:p w:rsidR="004218A0" w:rsidRPr="00B0351E" w:rsidRDefault="004218A0" w:rsidP="00372932">
            <w:pPr>
              <w:pStyle w:val="TableBodyText"/>
            </w:pPr>
          </w:p>
        </w:tc>
        <w:tc>
          <w:tcPr>
            <w:tcW w:w="431" w:type="pct"/>
            <w:vAlign w:val="center"/>
          </w:tcPr>
          <w:p w:rsidR="004218A0" w:rsidRPr="00B0351E" w:rsidRDefault="004218A0" w:rsidP="00372932">
            <w:pPr>
              <w:pStyle w:val="TableBodyText"/>
            </w:pPr>
          </w:p>
        </w:tc>
      </w:tr>
      <w:tr w:rsidR="004218A0" w:rsidRPr="00B0351E" w:rsidTr="00372932">
        <w:tc>
          <w:tcPr>
            <w:tcW w:w="1550" w:type="pct"/>
          </w:tcPr>
          <w:p w:rsidR="004218A0" w:rsidRPr="00B0351E" w:rsidRDefault="004218A0" w:rsidP="00372932">
            <w:pPr>
              <w:pStyle w:val="TableBodyText"/>
              <w:ind w:left="284"/>
              <w:jc w:val="left"/>
            </w:pPr>
            <w:r w:rsidRPr="00B0351E">
              <w:t>Indigenous</w:t>
            </w:r>
          </w:p>
        </w:tc>
        <w:tc>
          <w:tcPr>
            <w:tcW w:w="431" w:type="pct"/>
            <w:vAlign w:val="center"/>
          </w:tcPr>
          <w:p w:rsidR="004218A0" w:rsidRPr="00B0351E" w:rsidRDefault="004218A0" w:rsidP="00372932">
            <w:pPr>
              <w:pStyle w:val="TableBodyText"/>
            </w:pPr>
            <w:r w:rsidRPr="00B0351E">
              <w:t xml:space="preserve">  3.0</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na</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na</w:t>
            </w:r>
          </w:p>
        </w:tc>
        <w:tc>
          <w:tcPr>
            <w:tcW w:w="431" w:type="pct"/>
            <w:vAlign w:val="center"/>
          </w:tcPr>
          <w:p w:rsidR="004218A0" w:rsidRPr="00B0351E" w:rsidRDefault="004218A0" w:rsidP="00372932">
            <w:pPr>
              <w:pStyle w:val="TableBodyText"/>
            </w:pPr>
            <w:r w:rsidRPr="00B0351E">
              <w:t>–</w:t>
            </w:r>
          </w:p>
        </w:tc>
      </w:tr>
      <w:tr w:rsidR="004218A0" w:rsidRPr="00B0351E" w:rsidTr="00372932">
        <w:tc>
          <w:tcPr>
            <w:tcW w:w="1550" w:type="pct"/>
          </w:tcPr>
          <w:p w:rsidR="004218A0" w:rsidRPr="00B0351E" w:rsidRDefault="004218A0" w:rsidP="00372932">
            <w:pPr>
              <w:pStyle w:val="TableBodyText"/>
              <w:ind w:left="284"/>
              <w:jc w:val="left"/>
            </w:pPr>
            <w:r w:rsidRPr="00B0351E">
              <w:t>Non-Indigenous</w:t>
            </w:r>
          </w:p>
        </w:tc>
        <w:tc>
          <w:tcPr>
            <w:tcW w:w="431" w:type="pct"/>
            <w:vAlign w:val="center"/>
          </w:tcPr>
          <w:p w:rsidR="004218A0" w:rsidRPr="00B0351E" w:rsidRDefault="004218A0" w:rsidP="00372932">
            <w:pPr>
              <w:pStyle w:val="TableBodyText"/>
            </w:pPr>
            <w:r w:rsidRPr="00B0351E">
              <w:t xml:space="preserve">  1.0</w:t>
            </w:r>
          </w:p>
        </w:tc>
        <w:tc>
          <w:tcPr>
            <w:tcW w:w="431" w:type="pct"/>
            <w:vAlign w:val="center"/>
          </w:tcPr>
          <w:p w:rsidR="004218A0" w:rsidRPr="00B0351E" w:rsidRDefault="004218A0" w:rsidP="00372932">
            <w:pPr>
              <w:pStyle w:val="TableBodyText"/>
            </w:pPr>
            <w:r w:rsidRPr="00B0351E">
              <w:t xml:space="preserve">  1.0</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na</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 xml:space="preserve">  1.0</w:t>
            </w:r>
          </w:p>
        </w:tc>
        <w:tc>
          <w:tcPr>
            <w:tcW w:w="431" w:type="pct"/>
            <w:vAlign w:val="center"/>
          </w:tcPr>
          <w:p w:rsidR="004218A0" w:rsidRPr="00B0351E" w:rsidRDefault="004218A0" w:rsidP="00372932">
            <w:pPr>
              <w:pStyle w:val="TableBodyText"/>
            </w:pPr>
            <w:r w:rsidRPr="00B0351E">
              <w:t>na</w:t>
            </w:r>
          </w:p>
        </w:tc>
        <w:tc>
          <w:tcPr>
            <w:tcW w:w="431" w:type="pct"/>
            <w:vAlign w:val="center"/>
          </w:tcPr>
          <w:p w:rsidR="004218A0" w:rsidRPr="00B0351E" w:rsidRDefault="004218A0" w:rsidP="00372932">
            <w:pPr>
              <w:pStyle w:val="TableBodyText"/>
            </w:pPr>
            <w:r w:rsidRPr="00B0351E">
              <w:t>–</w:t>
            </w:r>
          </w:p>
        </w:tc>
      </w:tr>
      <w:tr w:rsidR="004218A0" w:rsidRPr="00B0351E" w:rsidTr="00372932">
        <w:tc>
          <w:tcPr>
            <w:tcW w:w="1550" w:type="pct"/>
          </w:tcPr>
          <w:p w:rsidR="004218A0" w:rsidRPr="00B0351E" w:rsidRDefault="004218A0" w:rsidP="00372932">
            <w:pPr>
              <w:pStyle w:val="TableBodyText"/>
              <w:ind w:left="284"/>
              <w:jc w:val="left"/>
            </w:pPr>
            <w:r w:rsidRPr="00B0351E">
              <w:t>Unknown</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na</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na</w:t>
            </w:r>
          </w:p>
        </w:tc>
        <w:tc>
          <w:tcPr>
            <w:tcW w:w="431" w:type="pct"/>
            <w:vAlign w:val="center"/>
          </w:tcPr>
          <w:p w:rsidR="004218A0" w:rsidRPr="00B0351E" w:rsidRDefault="004218A0" w:rsidP="00372932">
            <w:pPr>
              <w:pStyle w:val="TableBodyText"/>
            </w:pPr>
            <w:r w:rsidRPr="00B0351E">
              <w:t>–</w:t>
            </w:r>
          </w:p>
        </w:tc>
      </w:tr>
      <w:tr w:rsidR="004218A0" w:rsidRPr="00B0351E" w:rsidTr="00372932">
        <w:tc>
          <w:tcPr>
            <w:tcW w:w="1550" w:type="pct"/>
          </w:tcPr>
          <w:p w:rsidR="004218A0" w:rsidRPr="00B0351E" w:rsidRDefault="004218A0" w:rsidP="00372932">
            <w:pPr>
              <w:pStyle w:val="TableBodyText"/>
              <w:ind w:left="284"/>
              <w:jc w:val="left"/>
            </w:pPr>
            <w:r w:rsidRPr="00B0351E">
              <w:t>Total</w:t>
            </w:r>
          </w:p>
        </w:tc>
        <w:tc>
          <w:tcPr>
            <w:tcW w:w="431" w:type="pct"/>
            <w:vAlign w:val="center"/>
          </w:tcPr>
          <w:p w:rsidR="004218A0" w:rsidRPr="00B0351E" w:rsidRDefault="004218A0" w:rsidP="00372932">
            <w:pPr>
              <w:pStyle w:val="TableBodyText"/>
            </w:pPr>
            <w:r w:rsidRPr="00B0351E">
              <w:t xml:space="preserve">  4.0</w:t>
            </w:r>
          </w:p>
        </w:tc>
        <w:tc>
          <w:tcPr>
            <w:tcW w:w="431" w:type="pct"/>
            <w:vAlign w:val="center"/>
          </w:tcPr>
          <w:p w:rsidR="004218A0" w:rsidRPr="00B0351E" w:rsidRDefault="004218A0" w:rsidP="00372932">
            <w:pPr>
              <w:pStyle w:val="TableBodyText"/>
            </w:pPr>
            <w:r w:rsidRPr="00B0351E">
              <w:t xml:space="preserve">  1.0</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na</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 xml:space="preserve">  1.0</w:t>
            </w:r>
          </w:p>
        </w:tc>
        <w:tc>
          <w:tcPr>
            <w:tcW w:w="431" w:type="pct"/>
            <w:vAlign w:val="center"/>
          </w:tcPr>
          <w:p w:rsidR="004218A0" w:rsidRPr="00B0351E" w:rsidRDefault="004218A0" w:rsidP="00372932">
            <w:pPr>
              <w:pStyle w:val="TableBodyText"/>
            </w:pPr>
            <w:r w:rsidRPr="00B0351E">
              <w:t>na</w:t>
            </w:r>
          </w:p>
        </w:tc>
        <w:tc>
          <w:tcPr>
            <w:tcW w:w="431" w:type="pct"/>
            <w:vAlign w:val="center"/>
          </w:tcPr>
          <w:p w:rsidR="004218A0" w:rsidRPr="00B0351E" w:rsidRDefault="004218A0" w:rsidP="00372932">
            <w:pPr>
              <w:pStyle w:val="TableBodyText"/>
            </w:pPr>
            <w:r w:rsidRPr="00B0351E">
              <w:t>–</w:t>
            </w:r>
          </w:p>
        </w:tc>
      </w:tr>
      <w:tr w:rsidR="004218A0" w:rsidRPr="00B0351E" w:rsidTr="00372932">
        <w:tc>
          <w:tcPr>
            <w:tcW w:w="1550" w:type="pct"/>
          </w:tcPr>
          <w:p w:rsidR="004218A0" w:rsidRPr="00B0351E" w:rsidRDefault="004218A0" w:rsidP="00372932">
            <w:pPr>
              <w:pStyle w:val="TableBodyText"/>
              <w:ind w:right="0"/>
              <w:jc w:val="left"/>
              <w:rPr>
                <w:b/>
              </w:rPr>
            </w:pPr>
            <w:r w:rsidRPr="00B0351E">
              <w:rPr>
                <w:b/>
              </w:rPr>
              <w:t>Rate per 10 000 periods of escorted movement</w:t>
            </w:r>
          </w:p>
        </w:tc>
        <w:tc>
          <w:tcPr>
            <w:tcW w:w="431" w:type="pct"/>
            <w:vAlign w:val="center"/>
          </w:tcPr>
          <w:p w:rsidR="004218A0" w:rsidRPr="00B0351E" w:rsidRDefault="004218A0" w:rsidP="00372932">
            <w:pPr>
              <w:pStyle w:val="TableBodyText"/>
            </w:pPr>
          </w:p>
        </w:tc>
        <w:tc>
          <w:tcPr>
            <w:tcW w:w="431" w:type="pct"/>
            <w:vAlign w:val="center"/>
          </w:tcPr>
          <w:p w:rsidR="004218A0" w:rsidRPr="00B0351E" w:rsidRDefault="004218A0" w:rsidP="00372932">
            <w:pPr>
              <w:pStyle w:val="TableBodyText"/>
            </w:pPr>
          </w:p>
        </w:tc>
        <w:tc>
          <w:tcPr>
            <w:tcW w:w="431" w:type="pct"/>
            <w:vAlign w:val="center"/>
          </w:tcPr>
          <w:p w:rsidR="004218A0" w:rsidRPr="00B0351E" w:rsidRDefault="004218A0" w:rsidP="00372932">
            <w:pPr>
              <w:pStyle w:val="TableBodyText"/>
            </w:pPr>
          </w:p>
        </w:tc>
        <w:tc>
          <w:tcPr>
            <w:tcW w:w="431" w:type="pct"/>
            <w:vAlign w:val="center"/>
          </w:tcPr>
          <w:p w:rsidR="004218A0" w:rsidRPr="00B0351E" w:rsidRDefault="004218A0" w:rsidP="00372932">
            <w:pPr>
              <w:pStyle w:val="TableBodyText"/>
            </w:pPr>
          </w:p>
        </w:tc>
        <w:tc>
          <w:tcPr>
            <w:tcW w:w="431" w:type="pct"/>
            <w:vAlign w:val="center"/>
          </w:tcPr>
          <w:p w:rsidR="004218A0" w:rsidRPr="00B0351E" w:rsidRDefault="004218A0" w:rsidP="00372932">
            <w:pPr>
              <w:pStyle w:val="TableBodyText"/>
            </w:pPr>
          </w:p>
        </w:tc>
        <w:tc>
          <w:tcPr>
            <w:tcW w:w="431" w:type="pct"/>
            <w:vAlign w:val="center"/>
          </w:tcPr>
          <w:p w:rsidR="004218A0" w:rsidRPr="00B0351E" w:rsidRDefault="004218A0" w:rsidP="00372932">
            <w:pPr>
              <w:pStyle w:val="TableBodyText"/>
            </w:pPr>
          </w:p>
        </w:tc>
        <w:tc>
          <w:tcPr>
            <w:tcW w:w="431" w:type="pct"/>
            <w:vAlign w:val="center"/>
          </w:tcPr>
          <w:p w:rsidR="004218A0" w:rsidRPr="00B0351E" w:rsidRDefault="004218A0" w:rsidP="00372932">
            <w:pPr>
              <w:pStyle w:val="TableBodyText"/>
            </w:pPr>
          </w:p>
        </w:tc>
        <w:tc>
          <w:tcPr>
            <w:tcW w:w="431" w:type="pct"/>
            <w:vAlign w:val="center"/>
          </w:tcPr>
          <w:p w:rsidR="004218A0" w:rsidRPr="00B0351E" w:rsidRDefault="004218A0" w:rsidP="00372932">
            <w:pPr>
              <w:pStyle w:val="TableBodyText"/>
            </w:pPr>
          </w:p>
        </w:tc>
      </w:tr>
      <w:tr w:rsidR="004218A0" w:rsidRPr="00B0351E" w:rsidTr="00372932">
        <w:tc>
          <w:tcPr>
            <w:tcW w:w="1550" w:type="pct"/>
          </w:tcPr>
          <w:p w:rsidR="004218A0" w:rsidRPr="00B0351E" w:rsidRDefault="004218A0" w:rsidP="00372932">
            <w:pPr>
              <w:pStyle w:val="TableBodyText"/>
              <w:ind w:left="284"/>
              <w:jc w:val="left"/>
            </w:pPr>
            <w:r w:rsidRPr="00B0351E">
              <w:t>Indigenous</w:t>
            </w:r>
          </w:p>
        </w:tc>
        <w:tc>
          <w:tcPr>
            <w:tcW w:w="431" w:type="pct"/>
            <w:vAlign w:val="center"/>
          </w:tcPr>
          <w:p w:rsidR="004218A0" w:rsidRPr="00B0351E" w:rsidRDefault="004218A0" w:rsidP="00372932">
            <w:pPr>
              <w:pStyle w:val="TableBodyText"/>
            </w:pPr>
            <w:r w:rsidRPr="00B0351E">
              <w:t xml:space="preserve">  12.5</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na</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na</w:t>
            </w:r>
          </w:p>
        </w:tc>
        <w:tc>
          <w:tcPr>
            <w:tcW w:w="431" w:type="pct"/>
            <w:vAlign w:val="center"/>
          </w:tcPr>
          <w:p w:rsidR="004218A0" w:rsidRPr="00B0351E" w:rsidRDefault="004218A0" w:rsidP="00372932">
            <w:pPr>
              <w:pStyle w:val="TableBodyText"/>
            </w:pPr>
            <w:r w:rsidRPr="00B0351E">
              <w:t>–</w:t>
            </w:r>
          </w:p>
        </w:tc>
      </w:tr>
      <w:tr w:rsidR="004218A0" w:rsidRPr="00B0351E" w:rsidTr="00372932">
        <w:tc>
          <w:tcPr>
            <w:tcW w:w="1550" w:type="pct"/>
          </w:tcPr>
          <w:p w:rsidR="004218A0" w:rsidRPr="00B0351E" w:rsidRDefault="004218A0" w:rsidP="00372932">
            <w:pPr>
              <w:pStyle w:val="TableBodyText"/>
              <w:ind w:left="284"/>
              <w:jc w:val="left"/>
            </w:pPr>
            <w:r w:rsidRPr="00B0351E">
              <w:t>Non-Indigenous</w:t>
            </w:r>
          </w:p>
        </w:tc>
        <w:tc>
          <w:tcPr>
            <w:tcW w:w="431" w:type="pct"/>
            <w:vAlign w:val="center"/>
          </w:tcPr>
          <w:p w:rsidR="004218A0" w:rsidRPr="00B0351E" w:rsidRDefault="004218A0" w:rsidP="00372932">
            <w:pPr>
              <w:pStyle w:val="TableBodyText"/>
            </w:pPr>
            <w:r w:rsidRPr="00B0351E">
              <w:t xml:space="preserve">  3.5</w:t>
            </w:r>
          </w:p>
        </w:tc>
        <w:tc>
          <w:tcPr>
            <w:tcW w:w="431" w:type="pct"/>
            <w:vAlign w:val="center"/>
          </w:tcPr>
          <w:p w:rsidR="004218A0" w:rsidRPr="00B0351E" w:rsidRDefault="004218A0" w:rsidP="00372932">
            <w:pPr>
              <w:pStyle w:val="TableBodyText"/>
            </w:pPr>
            <w:r w:rsidRPr="00B0351E">
              <w:t xml:space="preserve">  7.2</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na</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na</w:t>
            </w:r>
          </w:p>
        </w:tc>
        <w:tc>
          <w:tcPr>
            <w:tcW w:w="431" w:type="pct"/>
            <w:vAlign w:val="center"/>
          </w:tcPr>
          <w:p w:rsidR="004218A0" w:rsidRPr="00B0351E" w:rsidRDefault="004218A0" w:rsidP="00372932">
            <w:pPr>
              <w:pStyle w:val="TableBodyText"/>
            </w:pPr>
            <w:r w:rsidRPr="00B0351E">
              <w:t>na</w:t>
            </w:r>
          </w:p>
        </w:tc>
        <w:tc>
          <w:tcPr>
            <w:tcW w:w="431" w:type="pct"/>
            <w:vAlign w:val="center"/>
          </w:tcPr>
          <w:p w:rsidR="004218A0" w:rsidRPr="00B0351E" w:rsidRDefault="004218A0" w:rsidP="00372932">
            <w:pPr>
              <w:pStyle w:val="TableBodyText"/>
            </w:pPr>
            <w:r w:rsidRPr="00B0351E">
              <w:t>–</w:t>
            </w:r>
          </w:p>
        </w:tc>
      </w:tr>
      <w:tr w:rsidR="004218A0" w:rsidRPr="00B0351E" w:rsidTr="00372932">
        <w:tc>
          <w:tcPr>
            <w:tcW w:w="1550" w:type="pct"/>
          </w:tcPr>
          <w:p w:rsidR="004218A0" w:rsidRPr="00B0351E" w:rsidRDefault="004218A0" w:rsidP="00372932">
            <w:pPr>
              <w:pStyle w:val="TableBodyText"/>
              <w:ind w:left="284"/>
              <w:jc w:val="left"/>
            </w:pPr>
            <w:r w:rsidRPr="00B0351E">
              <w:t>Unknown</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na</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w:t>
            </w:r>
          </w:p>
        </w:tc>
        <w:tc>
          <w:tcPr>
            <w:tcW w:w="431" w:type="pct"/>
            <w:vAlign w:val="center"/>
          </w:tcPr>
          <w:p w:rsidR="004218A0" w:rsidRPr="00B0351E" w:rsidRDefault="004218A0" w:rsidP="00372932">
            <w:pPr>
              <w:pStyle w:val="TableBodyText"/>
            </w:pPr>
            <w:r w:rsidRPr="00B0351E">
              <w:t>na</w:t>
            </w:r>
          </w:p>
        </w:tc>
        <w:tc>
          <w:tcPr>
            <w:tcW w:w="431" w:type="pct"/>
            <w:vAlign w:val="center"/>
          </w:tcPr>
          <w:p w:rsidR="004218A0" w:rsidRPr="00B0351E" w:rsidRDefault="004218A0" w:rsidP="00372932">
            <w:pPr>
              <w:pStyle w:val="TableBodyText"/>
            </w:pPr>
            <w:r w:rsidRPr="00B0351E">
              <w:t>–</w:t>
            </w:r>
          </w:p>
        </w:tc>
      </w:tr>
      <w:tr w:rsidR="004218A0" w:rsidRPr="00B0351E" w:rsidTr="00372932">
        <w:tc>
          <w:tcPr>
            <w:tcW w:w="1550" w:type="pct"/>
            <w:tcBorders>
              <w:bottom w:val="single" w:sz="4" w:space="0" w:color="auto"/>
            </w:tcBorders>
          </w:tcPr>
          <w:p w:rsidR="004218A0" w:rsidRPr="00B0351E" w:rsidRDefault="004218A0" w:rsidP="00372932">
            <w:pPr>
              <w:pStyle w:val="TableBodyText"/>
              <w:ind w:left="284"/>
              <w:jc w:val="left"/>
            </w:pPr>
            <w:r w:rsidRPr="00B0351E">
              <w:t>Total</w:t>
            </w:r>
          </w:p>
        </w:tc>
        <w:tc>
          <w:tcPr>
            <w:tcW w:w="431" w:type="pct"/>
            <w:tcBorders>
              <w:bottom w:val="single" w:sz="4" w:space="0" w:color="auto"/>
            </w:tcBorders>
            <w:vAlign w:val="center"/>
          </w:tcPr>
          <w:p w:rsidR="004218A0" w:rsidRPr="00B0351E" w:rsidRDefault="004218A0" w:rsidP="00372932">
            <w:pPr>
              <w:pStyle w:val="TableBodyText"/>
            </w:pPr>
            <w:r w:rsidRPr="00B0351E">
              <w:t xml:space="preserve">  7.4</w:t>
            </w:r>
          </w:p>
        </w:tc>
        <w:tc>
          <w:tcPr>
            <w:tcW w:w="431" w:type="pct"/>
            <w:tcBorders>
              <w:bottom w:val="single" w:sz="4" w:space="0" w:color="auto"/>
            </w:tcBorders>
            <w:vAlign w:val="center"/>
          </w:tcPr>
          <w:p w:rsidR="004218A0" w:rsidRPr="00B0351E" w:rsidRDefault="004218A0" w:rsidP="00372932">
            <w:pPr>
              <w:pStyle w:val="TableBodyText"/>
            </w:pPr>
            <w:r w:rsidRPr="00B0351E">
              <w:t xml:space="preserve">  6.4</w:t>
            </w:r>
          </w:p>
        </w:tc>
        <w:tc>
          <w:tcPr>
            <w:tcW w:w="431" w:type="pct"/>
            <w:tcBorders>
              <w:bottom w:val="single" w:sz="4" w:space="0" w:color="auto"/>
            </w:tcBorders>
            <w:vAlign w:val="center"/>
          </w:tcPr>
          <w:p w:rsidR="004218A0" w:rsidRPr="00B0351E" w:rsidRDefault="004218A0" w:rsidP="00372932">
            <w:pPr>
              <w:pStyle w:val="TableBodyText"/>
            </w:pPr>
            <w:r w:rsidRPr="00B0351E">
              <w:t>–</w:t>
            </w:r>
          </w:p>
        </w:tc>
        <w:tc>
          <w:tcPr>
            <w:tcW w:w="431" w:type="pct"/>
            <w:tcBorders>
              <w:bottom w:val="single" w:sz="4" w:space="0" w:color="auto"/>
            </w:tcBorders>
            <w:vAlign w:val="center"/>
          </w:tcPr>
          <w:p w:rsidR="004218A0" w:rsidRPr="00B0351E" w:rsidRDefault="004218A0" w:rsidP="00372932">
            <w:pPr>
              <w:pStyle w:val="TableBodyText"/>
            </w:pPr>
            <w:r w:rsidRPr="00B0351E">
              <w:t>na</w:t>
            </w:r>
          </w:p>
        </w:tc>
        <w:tc>
          <w:tcPr>
            <w:tcW w:w="431" w:type="pct"/>
            <w:tcBorders>
              <w:bottom w:val="single" w:sz="4" w:space="0" w:color="auto"/>
            </w:tcBorders>
            <w:vAlign w:val="center"/>
          </w:tcPr>
          <w:p w:rsidR="004218A0" w:rsidRPr="00B0351E" w:rsidRDefault="004218A0" w:rsidP="00372932">
            <w:pPr>
              <w:pStyle w:val="TableBodyText"/>
            </w:pPr>
            <w:r w:rsidRPr="00B0351E">
              <w:t>–</w:t>
            </w:r>
          </w:p>
        </w:tc>
        <w:tc>
          <w:tcPr>
            <w:tcW w:w="431" w:type="pct"/>
            <w:tcBorders>
              <w:bottom w:val="single" w:sz="4" w:space="0" w:color="auto"/>
            </w:tcBorders>
            <w:vAlign w:val="center"/>
          </w:tcPr>
          <w:p w:rsidR="004218A0" w:rsidRPr="00B0351E" w:rsidRDefault="004218A0" w:rsidP="00372932">
            <w:pPr>
              <w:pStyle w:val="TableBodyText"/>
            </w:pPr>
            <w:r w:rsidRPr="00B0351E">
              <w:t xml:space="preserve">  18.9</w:t>
            </w:r>
          </w:p>
        </w:tc>
        <w:tc>
          <w:tcPr>
            <w:tcW w:w="431" w:type="pct"/>
            <w:tcBorders>
              <w:bottom w:val="single" w:sz="4" w:space="0" w:color="auto"/>
            </w:tcBorders>
            <w:vAlign w:val="center"/>
          </w:tcPr>
          <w:p w:rsidR="004218A0" w:rsidRPr="00B0351E" w:rsidRDefault="004218A0" w:rsidP="00372932">
            <w:pPr>
              <w:pStyle w:val="TableBodyText"/>
            </w:pPr>
            <w:r w:rsidRPr="00B0351E">
              <w:t>na</w:t>
            </w:r>
          </w:p>
        </w:tc>
        <w:tc>
          <w:tcPr>
            <w:tcW w:w="431" w:type="pct"/>
            <w:tcBorders>
              <w:bottom w:val="single" w:sz="4" w:space="0" w:color="auto"/>
            </w:tcBorders>
            <w:vAlign w:val="center"/>
          </w:tcPr>
          <w:p w:rsidR="004218A0" w:rsidRPr="00B0351E" w:rsidRDefault="004218A0" w:rsidP="00372932">
            <w:pPr>
              <w:pStyle w:val="TableBodyText"/>
            </w:pPr>
            <w:r w:rsidRPr="00B0351E">
              <w:t>–</w:t>
            </w:r>
          </w:p>
        </w:tc>
      </w:tr>
    </w:tbl>
    <w:p w:rsidR="004218A0" w:rsidRPr="00B0351E" w:rsidRDefault="004218A0" w:rsidP="004218A0">
      <w:pPr>
        <w:pStyle w:val="Note"/>
      </w:pPr>
      <w:r w:rsidRPr="00B0351E">
        <w:rPr>
          <w:rStyle w:val="NoteLabel"/>
        </w:rPr>
        <w:t xml:space="preserve">a </w:t>
      </w:r>
      <w:r w:rsidRPr="00B0351E">
        <w:t xml:space="preserve">Refer to table 15A.194 for detailed footnotes. </w:t>
      </w:r>
      <w:r w:rsidRPr="00B0351E">
        <w:rPr>
          <w:b/>
        </w:rPr>
        <w:t>na</w:t>
      </w:r>
      <w:r w:rsidRPr="00B0351E">
        <w:t xml:space="preserve"> Not available. – Nil or rounded to zero.</w:t>
      </w:r>
    </w:p>
    <w:p w:rsidR="004218A0" w:rsidRPr="00B0351E" w:rsidRDefault="004218A0" w:rsidP="004218A0">
      <w:pPr>
        <w:pStyle w:val="Source"/>
        <w:rPr>
          <w:b/>
        </w:rPr>
      </w:pPr>
      <w:r w:rsidRPr="00B0351E">
        <w:rPr>
          <w:i/>
        </w:rPr>
        <w:t>Source</w:t>
      </w:r>
      <w:r w:rsidRPr="00B0351E">
        <w:t>: State and Territory governments (unpublished); table 15A.194; 2013 Report, table 15.8, p. 15.81.</w:t>
      </w:r>
    </w:p>
    <w:p w:rsidR="00AB1DAE" w:rsidRPr="00B0351E" w:rsidRDefault="00AB1DAE" w:rsidP="00AB1DAE">
      <w:pPr>
        <w:keepNext/>
        <w:spacing w:before="480" w:line="320" w:lineRule="exact"/>
        <w:outlineLvl w:val="3"/>
        <w:rPr>
          <w:rFonts w:ascii="Arial" w:hAnsi="Arial"/>
          <w:i/>
          <w:sz w:val="24"/>
          <w:szCs w:val="20"/>
        </w:rPr>
      </w:pPr>
      <w:bookmarkStart w:id="122" w:name="_Toc320770835"/>
      <w:bookmarkStart w:id="123" w:name="_Toc348449378"/>
      <w:bookmarkStart w:id="124" w:name="_Toc348952925"/>
      <w:bookmarkStart w:id="125" w:name="_Toc351361366"/>
      <w:bookmarkEnd w:id="121"/>
      <w:r w:rsidRPr="00B0351E">
        <w:rPr>
          <w:rFonts w:ascii="Arial" w:hAnsi="Arial"/>
          <w:i/>
          <w:sz w:val="24"/>
          <w:szCs w:val="20"/>
        </w:rPr>
        <w:t>Safe and secure environment — absconds from unescorted leave</w:t>
      </w:r>
      <w:bookmarkEnd w:id="122"/>
      <w:bookmarkEnd w:id="123"/>
      <w:bookmarkEnd w:id="124"/>
      <w:bookmarkEnd w:id="125"/>
    </w:p>
    <w:p w:rsidR="005C174F" w:rsidRPr="00B0351E" w:rsidRDefault="005C174F" w:rsidP="005C174F">
      <w:pPr>
        <w:pStyle w:val="BodyText"/>
      </w:pPr>
      <w:r w:rsidRPr="00B0351E">
        <w:t>‘Absconds from unescorted leave’ is an indicator of governments’ objective to appropriately manage young people while they are in the legal custody of a youth justice detention centre</w:t>
      </w:r>
      <w:r w:rsidR="009F41E6" w:rsidRPr="00B0351E">
        <w:t xml:space="preserve"> (box 15.9</w:t>
      </w:r>
      <w:r w:rsidRPr="00B0351E">
        <w:t xml:space="preserve">). Management of young people includes the </w:t>
      </w:r>
      <w:r w:rsidRPr="00B0351E">
        <w:lastRenderedPageBreak/>
        <w:t>provision of appropriate assessment, planning and supervision to enable young people to undertake unescorted temporary leave from detention centres. Unescorted leave may be undertaken for the purposes of providing rehabilitation interventions and activities such as education, training and employment.</w:t>
      </w:r>
    </w:p>
    <w:p w:rsidR="00D103EE" w:rsidRPr="00B0351E" w:rsidRDefault="00D103EE" w:rsidP="00D103E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C174F" w:rsidRPr="00B0351E" w:rsidTr="00372932">
        <w:tc>
          <w:tcPr>
            <w:tcW w:w="8771" w:type="dxa"/>
            <w:tcBorders>
              <w:top w:val="single" w:sz="6" w:space="0" w:color="auto"/>
              <w:bottom w:val="nil"/>
            </w:tcBorders>
          </w:tcPr>
          <w:p w:rsidR="005C174F" w:rsidRPr="00B0351E" w:rsidRDefault="005C174F" w:rsidP="009552F0">
            <w:pPr>
              <w:pStyle w:val="BoxTitle"/>
            </w:pPr>
            <w:r w:rsidRPr="00B0351E">
              <w:rPr>
                <w:b w:val="0"/>
              </w:rPr>
              <w:t xml:space="preserve">Box </w:t>
            </w:r>
            <w:r w:rsidR="009F41E6" w:rsidRPr="00B0351E">
              <w:rPr>
                <w:b w:val="0"/>
              </w:rPr>
              <w:t>15.9</w:t>
            </w:r>
            <w:r w:rsidRPr="00B0351E">
              <w:tab/>
              <w:t>Absconds from unescorted leave</w:t>
            </w:r>
          </w:p>
        </w:tc>
      </w:tr>
      <w:tr w:rsidR="005C174F" w:rsidRPr="00B0351E" w:rsidTr="00372932">
        <w:trPr>
          <w:cantSplit/>
        </w:trPr>
        <w:tc>
          <w:tcPr>
            <w:tcW w:w="8771" w:type="dxa"/>
            <w:tcBorders>
              <w:top w:val="nil"/>
              <w:left w:val="single" w:sz="6" w:space="0" w:color="auto"/>
              <w:bottom w:val="nil"/>
              <w:right w:val="single" w:sz="6" w:space="0" w:color="auto"/>
            </w:tcBorders>
          </w:tcPr>
          <w:p w:rsidR="005C174F" w:rsidRPr="00B0351E" w:rsidRDefault="005C174F" w:rsidP="00372932">
            <w:pPr>
              <w:pStyle w:val="Box"/>
            </w:pPr>
            <w:r w:rsidRPr="00B0351E">
              <w:t>‘Absconds from unescorted leave’ is defined as the number of young people who have unescorted temporary leave and fail to return to custody, as a proportion of all young people who have unescorted temporary leave.</w:t>
            </w:r>
          </w:p>
          <w:p w:rsidR="005C174F" w:rsidRPr="00B0351E" w:rsidRDefault="005C174F" w:rsidP="00372932">
            <w:pPr>
              <w:pStyle w:val="Box"/>
            </w:pPr>
            <w:r w:rsidRPr="00B0351E">
              <w:t>A zero or low, or decreasing rate of absconds from unescorted leave is desirable.</w:t>
            </w:r>
          </w:p>
          <w:p w:rsidR="005C174F" w:rsidRPr="00B0351E" w:rsidRDefault="005C174F" w:rsidP="00372932">
            <w:pPr>
              <w:pStyle w:val="Box"/>
            </w:pPr>
            <w:r w:rsidRPr="00B0351E">
              <w:t>Data reported for this indicator are comparable but not complete.</w:t>
            </w:r>
          </w:p>
          <w:p w:rsidR="005C174F" w:rsidRPr="00B0351E" w:rsidRDefault="005C174F" w:rsidP="00372932">
            <w:pPr>
              <w:pStyle w:val="Box"/>
            </w:pPr>
            <w:r w:rsidRPr="00B0351E">
              <w:rPr>
                <w:szCs w:val="22"/>
              </w:rPr>
              <w:t xml:space="preserve">Data quality information for this indicator is </w:t>
            </w:r>
            <w:r w:rsidRPr="00B0351E">
              <w:t>at www.pc.gov.au/gsp/reports/rogs/2013.</w:t>
            </w:r>
          </w:p>
        </w:tc>
      </w:tr>
      <w:tr w:rsidR="005C174F" w:rsidRPr="00B0351E" w:rsidTr="00372932">
        <w:trPr>
          <w:cantSplit/>
        </w:trPr>
        <w:tc>
          <w:tcPr>
            <w:tcW w:w="8771" w:type="dxa"/>
            <w:tcBorders>
              <w:top w:val="nil"/>
              <w:left w:val="single" w:sz="6" w:space="0" w:color="auto"/>
              <w:bottom w:val="single" w:sz="6" w:space="0" w:color="auto"/>
              <w:right w:val="single" w:sz="6" w:space="0" w:color="auto"/>
            </w:tcBorders>
          </w:tcPr>
          <w:p w:rsidR="005C174F" w:rsidRPr="00B0351E" w:rsidRDefault="005C174F" w:rsidP="00372932">
            <w:pPr>
              <w:pStyle w:val="Box"/>
              <w:spacing w:before="0" w:line="120" w:lineRule="exact"/>
            </w:pPr>
          </w:p>
        </w:tc>
      </w:tr>
      <w:tr w:rsidR="005C174F" w:rsidRPr="00B0351E" w:rsidTr="00372932">
        <w:tc>
          <w:tcPr>
            <w:tcW w:w="8771" w:type="dxa"/>
            <w:tcBorders>
              <w:top w:val="nil"/>
              <w:left w:val="nil"/>
              <w:bottom w:val="nil"/>
              <w:right w:val="nil"/>
            </w:tcBorders>
          </w:tcPr>
          <w:p w:rsidR="005C174F" w:rsidRPr="00B0351E" w:rsidRDefault="005C174F" w:rsidP="00372932">
            <w:pPr>
              <w:pStyle w:val="Box"/>
              <w:keepNext w:val="0"/>
              <w:spacing w:before="60" w:after="60" w:line="80" w:lineRule="exact"/>
              <w:rPr>
                <w:b/>
                <w:color w:val="FF00FF"/>
                <w:sz w:val="14"/>
              </w:rPr>
            </w:pPr>
          </w:p>
        </w:tc>
      </w:tr>
    </w:tbl>
    <w:p w:rsidR="0061036A" w:rsidRPr="00B0351E" w:rsidRDefault="0061036A" w:rsidP="0061036A">
      <w:pPr>
        <w:pStyle w:val="BodyText"/>
      </w:pPr>
      <w:r w:rsidRPr="00B0351E">
        <w:t>One young person absconded from unescorted leave in 2011-12 (table 15.3).</w:t>
      </w:r>
    </w:p>
    <w:p w:rsidR="0061036A" w:rsidRPr="00B0351E" w:rsidRDefault="0061036A" w:rsidP="0061036A">
      <w:pPr>
        <w:pStyle w:val="TableTitle"/>
        <w:rPr>
          <w:bCs/>
        </w:rPr>
      </w:pPr>
      <w:r w:rsidRPr="00B0351E">
        <w:rPr>
          <w:b w:val="0"/>
        </w:rPr>
        <w:t xml:space="preserve">Table </w:t>
      </w:r>
      <w:r w:rsidR="009F41E6" w:rsidRPr="00B0351E">
        <w:rPr>
          <w:b w:val="0"/>
        </w:rPr>
        <w:t>15.3</w:t>
      </w:r>
      <w:r w:rsidRPr="00B0351E">
        <w:tab/>
        <w:t>N</w:t>
      </w:r>
      <w:r w:rsidRPr="00B0351E">
        <w:rPr>
          <w:bCs/>
        </w:rPr>
        <w:t>umber and rate of absconds from unescorted leave, by Indigenous status, 2011-12</w:t>
      </w:r>
      <w:r w:rsidRPr="00B0351E">
        <w:rPr>
          <w:rStyle w:val="NoteLabel"/>
          <w:b/>
        </w:rPr>
        <w:t>a, b, c</w:t>
      </w:r>
    </w:p>
    <w:tbl>
      <w:tblPr>
        <w:tblW w:w="5000" w:type="pct"/>
        <w:tblCellMar>
          <w:left w:w="0" w:type="dxa"/>
          <w:right w:w="0" w:type="dxa"/>
        </w:tblCellMar>
        <w:tblLook w:val="0000" w:firstRow="0" w:lastRow="0" w:firstColumn="0" w:lastColumn="0" w:noHBand="0" w:noVBand="0"/>
      </w:tblPr>
      <w:tblGrid>
        <w:gridCol w:w="2725"/>
        <w:gridCol w:w="758"/>
        <w:gridCol w:w="758"/>
        <w:gridCol w:w="758"/>
        <w:gridCol w:w="758"/>
        <w:gridCol w:w="758"/>
        <w:gridCol w:w="758"/>
        <w:gridCol w:w="758"/>
        <w:gridCol w:w="758"/>
      </w:tblGrid>
      <w:tr w:rsidR="0061036A" w:rsidRPr="00B0351E" w:rsidTr="00372932">
        <w:tc>
          <w:tcPr>
            <w:tcW w:w="1550" w:type="pct"/>
            <w:tcBorders>
              <w:top w:val="single" w:sz="6" w:space="0" w:color="auto"/>
              <w:bottom w:val="single" w:sz="6" w:space="0" w:color="auto"/>
            </w:tcBorders>
          </w:tcPr>
          <w:p w:rsidR="0061036A" w:rsidRPr="00B0351E" w:rsidRDefault="0061036A" w:rsidP="00372932">
            <w:pPr>
              <w:pStyle w:val="TableColumnHeading"/>
              <w:jc w:val="left"/>
            </w:pPr>
          </w:p>
        </w:tc>
        <w:tc>
          <w:tcPr>
            <w:tcW w:w="431" w:type="pct"/>
            <w:tcBorders>
              <w:top w:val="single" w:sz="6" w:space="0" w:color="auto"/>
              <w:bottom w:val="single" w:sz="6" w:space="0" w:color="auto"/>
            </w:tcBorders>
          </w:tcPr>
          <w:p w:rsidR="0061036A" w:rsidRPr="00B0351E" w:rsidRDefault="0061036A" w:rsidP="00372932">
            <w:pPr>
              <w:pStyle w:val="TableColumnHeading"/>
              <w:rPr>
                <w:rStyle w:val="NoteLabel"/>
              </w:rPr>
            </w:pPr>
            <w:r w:rsidRPr="00B0351E">
              <w:t>NSW</w:t>
            </w:r>
          </w:p>
        </w:tc>
        <w:tc>
          <w:tcPr>
            <w:tcW w:w="431" w:type="pct"/>
            <w:tcBorders>
              <w:top w:val="single" w:sz="6" w:space="0" w:color="auto"/>
              <w:bottom w:val="single" w:sz="6" w:space="0" w:color="auto"/>
            </w:tcBorders>
          </w:tcPr>
          <w:p w:rsidR="0061036A" w:rsidRPr="00B0351E" w:rsidRDefault="0061036A" w:rsidP="00372932">
            <w:pPr>
              <w:pStyle w:val="TableColumnHeading"/>
              <w:rPr>
                <w:rStyle w:val="NoteLabel"/>
              </w:rPr>
            </w:pPr>
            <w:r w:rsidRPr="00B0351E">
              <w:t>Vic</w:t>
            </w:r>
          </w:p>
        </w:tc>
        <w:tc>
          <w:tcPr>
            <w:tcW w:w="431" w:type="pct"/>
            <w:tcBorders>
              <w:top w:val="single" w:sz="6" w:space="0" w:color="auto"/>
              <w:bottom w:val="single" w:sz="6" w:space="0" w:color="auto"/>
            </w:tcBorders>
          </w:tcPr>
          <w:p w:rsidR="0061036A" w:rsidRPr="00B0351E" w:rsidRDefault="0061036A" w:rsidP="00372932">
            <w:pPr>
              <w:pStyle w:val="TableColumnHeading"/>
              <w:rPr>
                <w:rStyle w:val="NoteLabel"/>
              </w:rPr>
            </w:pPr>
            <w:r w:rsidRPr="00B0351E">
              <w:t>Qld</w:t>
            </w:r>
          </w:p>
        </w:tc>
        <w:tc>
          <w:tcPr>
            <w:tcW w:w="431" w:type="pct"/>
            <w:tcBorders>
              <w:top w:val="single" w:sz="6" w:space="0" w:color="auto"/>
              <w:bottom w:val="single" w:sz="6" w:space="0" w:color="auto"/>
            </w:tcBorders>
          </w:tcPr>
          <w:p w:rsidR="0061036A" w:rsidRPr="00B0351E" w:rsidRDefault="0061036A" w:rsidP="00372932">
            <w:pPr>
              <w:pStyle w:val="TableColumnHeading"/>
              <w:rPr>
                <w:rStyle w:val="NoteLabel"/>
              </w:rPr>
            </w:pPr>
            <w:r w:rsidRPr="00B0351E">
              <w:t>WA</w:t>
            </w:r>
          </w:p>
        </w:tc>
        <w:tc>
          <w:tcPr>
            <w:tcW w:w="431" w:type="pct"/>
            <w:tcBorders>
              <w:top w:val="single" w:sz="6" w:space="0" w:color="auto"/>
              <w:bottom w:val="single" w:sz="6" w:space="0" w:color="auto"/>
            </w:tcBorders>
          </w:tcPr>
          <w:p w:rsidR="0061036A" w:rsidRPr="00B0351E" w:rsidRDefault="0061036A" w:rsidP="00372932">
            <w:pPr>
              <w:pStyle w:val="TableColumnHeading"/>
              <w:rPr>
                <w:rStyle w:val="NoteLabel"/>
              </w:rPr>
            </w:pPr>
            <w:r w:rsidRPr="00B0351E">
              <w:t>SA</w:t>
            </w:r>
          </w:p>
        </w:tc>
        <w:tc>
          <w:tcPr>
            <w:tcW w:w="431" w:type="pct"/>
            <w:tcBorders>
              <w:top w:val="single" w:sz="6" w:space="0" w:color="auto"/>
              <w:bottom w:val="single" w:sz="6" w:space="0" w:color="auto"/>
            </w:tcBorders>
          </w:tcPr>
          <w:p w:rsidR="0061036A" w:rsidRPr="00B0351E" w:rsidRDefault="0061036A" w:rsidP="00372932">
            <w:pPr>
              <w:pStyle w:val="TableColumnHeading"/>
              <w:rPr>
                <w:rStyle w:val="NoteLabel"/>
              </w:rPr>
            </w:pPr>
            <w:r w:rsidRPr="00B0351E">
              <w:t>Tas</w:t>
            </w:r>
          </w:p>
        </w:tc>
        <w:tc>
          <w:tcPr>
            <w:tcW w:w="431" w:type="pct"/>
            <w:tcBorders>
              <w:top w:val="single" w:sz="6" w:space="0" w:color="auto"/>
              <w:bottom w:val="single" w:sz="6" w:space="0" w:color="auto"/>
            </w:tcBorders>
          </w:tcPr>
          <w:p w:rsidR="0061036A" w:rsidRPr="00B0351E" w:rsidRDefault="0061036A" w:rsidP="00372932">
            <w:pPr>
              <w:pStyle w:val="TableColumnHeading"/>
              <w:rPr>
                <w:rStyle w:val="NoteLabel"/>
              </w:rPr>
            </w:pPr>
            <w:r w:rsidRPr="00B0351E">
              <w:t>ACT</w:t>
            </w:r>
          </w:p>
        </w:tc>
        <w:tc>
          <w:tcPr>
            <w:tcW w:w="431" w:type="pct"/>
            <w:tcBorders>
              <w:top w:val="single" w:sz="6" w:space="0" w:color="auto"/>
              <w:bottom w:val="single" w:sz="6" w:space="0" w:color="auto"/>
            </w:tcBorders>
          </w:tcPr>
          <w:p w:rsidR="0061036A" w:rsidRPr="00B0351E" w:rsidRDefault="0061036A" w:rsidP="00372932">
            <w:pPr>
              <w:pStyle w:val="TableColumnHeading"/>
              <w:rPr>
                <w:rStyle w:val="NoteLabel"/>
              </w:rPr>
            </w:pPr>
            <w:r w:rsidRPr="00B0351E">
              <w:t>NT</w:t>
            </w:r>
          </w:p>
        </w:tc>
      </w:tr>
      <w:tr w:rsidR="0061036A" w:rsidRPr="00B0351E" w:rsidTr="00372932">
        <w:tc>
          <w:tcPr>
            <w:tcW w:w="1550" w:type="pct"/>
          </w:tcPr>
          <w:p w:rsidR="0061036A" w:rsidRPr="00B0351E" w:rsidRDefault="0061036A" w:rsidP="00372932">
            <w:pPr>
              <w:pStyle w:val="TableBodyText"/>
              <w:jc w:val="left"/>
              <w:rPr>
                <w:b/>
              </w:rPr>
            </w:pPr>
            <w:r w:rsidRPr="00B0351E">
              <w:rPr>
                <w:b/>
              </w:rPr>
              <w:t>Number of escapes</w:t>
            </w:r>
          </w:p>
        </w:tc>
        <w:tc>
          <w:tcPr>
            <w:tcW w:w="431" w:type="pct"/>
            <w:vAlign w:val="center"/>
          </w:tcPr>
          <w:p w:rsidR="0061036A" w:rsidRPr="00B0351E" w:rsidRDefault="0061036A" w:rsidP="00372932">
            <w:pPr>
              <w:pStyle w:val="TableBodyText"/>
            </w:pPr>
          </w:p>
        </w:tc>
        <w:tc>
          <w:tcPr>
            <w:tcW w:w="431" w:type="pct"/>
            <w:vAlign w:val="center"/>
          </w:tcPr>
          <w:p w:rsidR="0061036A" w:rsidRPr="00B0351E" w:rsidRDefault="0061036A" w:rsidP="00372932">
            <w:pPr>
              <w:pStyle w:val="TableBodyText"/>
            </w:pPr>
          </w:p>
        </w:tc>
        <w:tc>
          <w:tcPr>
            <w:tcW w:w="431" w:type="pct"/>
            <w:vAlign w:val="center"/>
          </w:tcPr>
          <w:p w:rsidR="0061036A" w:rsidRPr="00B0351E" w:rsidRDefault="0061036A" w:rsidP="00372932">
            <w:pPr>
              <w:pStyle w:val="TableBodyText"/>
            </w:pPr>
          </w:p>
        </w:tc>
        <w:tc>
          <w:tcPr>
            <w:tcW w:w="431" w:type="pct"/>
            <w:vAlign w:val="center"/>
          </w:tcPr>
          <w:p w:rsidR="0061036A" w:rsidRPr="00B0351E" w:rsidRDefault="0061036A" w:rsidP="00372932">
            <w:pPr>
              <w:pStyle w:val="TableBodyText"/>
            </w:pPr>
          </w:p>
        </w:tc>
        <w:tc>
          <w:tcPr>
            <w:tcW w:w="431" w:type="pct"/>
            <w:vAlign w:val="center"/>
          </w:tcPr>
          <w:p w:rsidR="0061036A" w:rsidRPr="00B0351E" w:rsidRDefault="0061036A" w:rsidP="00372932">
            <w:pPr>
              <w:pStyle w:val="TableBodyText"/>
            </w:pPr>
          </w:p>
        </w:tc>
        <w:tc>
          <w:tcPr>
            <w:tcW w:w="431" w:type="pct"/>
            <w:vAlign w:val="center"/>
          </w:tcPr>
          <w:p w:rsidR="0061036A" w:rsidRPr="00B0351E" w:rsidRDefault="0061036A" w:rsidP="00372932">
            <w:pPr>
              <w:pStyle w:val="TableBodyText"/>
            </w:pPr>
          </w:p>
        </w:tc>
        <w:tc>
          <w:tcPr>
            <w:tcW w:w="431" w:type="pct"/>
            <w:vAlign w:val="center"/>
          </w:tcPr>
          <w:p w:rsidR="0061036A" w:rsidRPr="00B0351E" w:rsidRDefault="0061036A" w:rsidP="00372932">
            <w:pPr>
              <w:pStyle w:val="TableBodyText"/>
            </w:pPr>
          </w:p>
        </w:tc>
        <w:tc>
          <w:tcPr>
            <w:tcW w:w="431" w:type="pct"/>
            <w:vAlign w:val="center"/>
          </w:tcPr>
          <w:p w:rsidR="0061036A" w:rsidRPr="00B0351E" w:rsidRDefault="0061036A" w:rsidP="00372932">
            <w:pPr>
              <w:pStyle w:val="TableBodyText"/>
            </w:pPr>
          </w:p>
        </w:tc>
      </w:tr>
      <w:tr w:rsidR="0061036A" w:rsidRPr="00B0351E" w:rsidTr="00372932">
        <w:tc>
          <w:tcPr>
            <w:tcW w:w="1550" w:type="pct"/>
          </w:tcPr>
          <w:p w:rsidR="0061036A" w:rsidRPr="00B0351E" w:rsidRDefault="0061036A" w:rsidP="00372932">
            <w:pPr>
              <w:pStyle w:val="TableBodyText"/>
              <w:ind w:left="284"/>
              <w:jc w:val="left"/>
            </w:pPr>
            <w:r w:rsidRPr="00B0351E">
              <w:t>Indigenous</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na</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na</w:t>
            </w:r>
          </w:p>
        </w:tc>
        <w:tc>
          <w:tcPr>
            <w:tcW w:w="431" w:type="pct"/>
            <w:vAlign w:val="center"/>
          </w:tcPr>
          <w:p w:rsidR="0061036A" w:rsidRPr="00B0351E" w:rsidRDefault="0061036A" w:rsidP="00372932">
            <w:pPr>
              <w:pStyle w:val="TableBodyText"/>
            </w:pPr>
            <w:r w:rsidRPr="00B0351E">
              <w:t>–</w:t>
            </w:r>
          </w:p>
        </w:tc>
      </w:tr>
      <w:tr w:rsidR="0061036A" w:rsidRPr="00B0351E" w:rsidTr="00372932">
        <w:tc>
          <w:tcPr>
            <w:tcW w:w="1550" w:type="pct"/>
          </w:tcPr>
          <w:p w:rsidR="0061036A" w:rsidRPr="00B0351E" w:rsidRDefault="0061036A" w:rsidP="00372932">
            <w:pPr>
              <w:pStyle w:val="TableBodyText"/>
              <w:ind w:left="284"/>
              <w:jc w:val="left"/>
            </w:pPr>
            <w:r w:rsidRPr="00B0351E">
              <w:t>Non-Indigenous</w:t>
            </w:r>
          </w:p>
        </w:tc>
        <w:tc>
          <w:tcPr>
            <w:tcW w:w="431" w:type="pct"/>
            <w:vAlign w:val="center"/>
          </w:tcPr>
          <w:p w:rsidR="0061036A" w:rsidRPr="00B0351E" w:rsidRDefault="0061036A" w:rsidP="00372932">
            <w:pPr>
              <w:pStyle w:val="TableBodyText"/>
            </w:pPr>
            <w:r w:rsidRPr="00B0351E">
              <w:t xml:space="preserve">  1.0</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na</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na</w:t>
            </w:r>
          </w:p>
        </w:tc>
        <w:tc>
          <w:tcPr>
            <w:tcW w:w="431" w:type="pct"/>
            <w:vAlign w:val="center"/>
          </w:tcPr>
          <w:p w:rsidR="0061036A" w:rsidRPr="00B0351E" w:rsidRDefault="0061036A" w:rsidP="00372932">
            <w:pPr>
              <w:pStyle w:val="TableBodyText"/>
            </w:pPr>
            <w:r w:rsidRPr="00B0351E">
              <w:t>–</w:t>
            </w:r>
          </w:p>
        </w:tc>
      </w:tr>
      <w:tr w:rsidR="0061036A" w:rsidRPr="00B0351E" w:rsidTr="00372932">
        <w:tc>
          <w:tcPr>
            <w:tcW w:w="1550" w:type="pct"/>
          </w:tcPr>
          <w:p w:rsidR="0061036A" w:rsidRPr="00B0351E" w:rsidRDefault="0061036A" w:rsidP="00372932">
            <w:pPr>
              <w:pStyle w:val="TableBodyText"/>
              <w:ind w:left="284"/>
              <w:jc w:val="left"/>
            </w:pPr>
            <w:r w:rsidRPr="00B0351E">
              <w:t>Unknown</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na</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na</w:t>
            </w:r>
          </w:p>
        </w:tc>
        <w:tc>
          <w:tcPr>
            <w:tcW w:w="431" w:type="pct"/>
            <w:vAlign w:val="center"/>
          </w:tcPr>
          <w:p w:rsidR="0061036A" w:rsidRPr="00B0351E" w:rsidRDefault="0061036A" w:rsidP="00372932">
            <w:pPr>
              <w:pStyle w:val="TableBodyText"/>
            </w:pPr>
            <w:r w:rsidRPr="00B0351E">
              <w:t>–</w:t>
            </w:r>
          </w:p>
        </w:tc>
      </w:tr>
      <w:tr w:rsidR="0061036A" w:rsidRPr="00B0351E" w:rsidTr="00372932">
        <w:tc>
          <w:tcPr>
            <w:tcW w:w="1550" w:type="pct"/>
          </w:tcPr>
          <w:p w:rsidR="0061036A" w:rsidRPr="00B0351E" w:rsidRDefault="0061036A" w:rsidP="00372932">
            <w:pPr>
              <w:pStyle w:val="TableBodyText"/>
              <w:ind w:left="284"/>
              <w:jc w:val="left"/>
            </w:pPr>
            <w:r w:rsidRPr="00B0351E">
              <w:t>Total</w:t>
            </w:r>
          </w:p>
        </w:tc>
        <w:tc>
          <w:tcPr>
            <w:tcW w:w="431" w:type="pct"/>
            <w:vAlign w:val="center"/>
          </w:tcPr>
          <w:p w:rsidR="0061036A" w:rsidRPr="00B0351E" w:rsidRDefault="0061036A" w:rsidP="00372932">
            <w:pPr>
              <w:pStyle w:val="TableBodyText"/>
            </w:pPr>
            <w:r w:rsidRPr="00B0351E">
              <w:t xml:space="preserve">  1.0</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na</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na</w:t>
            </w:r>
          </w:p>
        </w:tc>
        <w:tc>
          <w:tcPr>
            <w:tcW w:w="431" w:type="pct"/>
            <w:vAlign w:val="center"/>
          </w:tcPr>
          <w:p w:rsidR="0061036A" w:rsidRPr="00B0351E" w:rsidRDefault="0061036A" w:rsidP="00372932">
            <w:pPr>
              <w:pStyle w:val="TableBodyText"/>
            </w:pPr>
            <w:r w:rsidRPr="00B0351E">
              <w:t>–</w:t>
            </w:r>
          </w:p>
        </w:tc>
      </w:tr>
      <w:tr w:rsidR="0061036A" w:rsidRPr="00B0351E" w:rsidTr="00372932">
        <w:tc>
          <w:tcPr>
            <w:tcW w:w="1550" w:type="pct"/>
          </w:tcPr>
          <w:p w:rsidR="0061036A" w:rsidRPr="00B0351E" w:rsidRDefault="0061036A" w:rsidP="00372932">
            <w:pPr>
              <w:pStyle w:val="TableBodyText"/>
              <w:ind w:right="0"/>
              <w:jc w:val="left"/>
              <w:rPr>
                <w:b/>
              </w:rPr>
            </w:pPr>
            <w:r w:rsidRPr="00B0351E">
              <w:rPr>
                <w:b/>
              </w:rPr>
              <w:t>Rate per 10 000 periods of escorted movement</w:t>
            </w:r>
          </w:p>
        </w:tc>
        <w:tc>
          <w:tcPr>
            <w:tcW w:w="431" w:type="pct"/>
            <w:vAlign w:val="center"/>
          </w:tcPr>
          <w:p w:rsidR="0061036A" w:rsidRPr="00B0351E" w:rsidRDefault="0061036A" w:rsidP="00372932">
            <w:pPr>
              <w:pStyle w:val="TableBodyText"/>
            </w:pPr>
          </w:p>
        </w:tc>
        <w:tc>
          <w:tcPr>
            <w:tcW w:w="431" w:type="pct"/>
            <w:vAlign w:val="center"/>
          </w:tcPr>
          <w:p w:rsidR="0061036A" w:rsidRPr="00B0351E" w:rsidRDefault="0061036A" w:rsidP="00372932">
            <w:pPr>
              <w:pStyle w:val="TableBodyText"/>
            </w:pPr>
          </w:p>
        </w:tc>
        <w:tc>
          <w:tcPr>
            <w:tcW w:w="431" w:type="pct"/>
            <w:vAlign w:val="center"/>
          </w:tcPr>
          <w:p w:rsidR="0061036A" w:rsidRPr="00B0351E" w:rsidRDefault="0061036A" w:rsidP="00372932">
            <w:pPr>
              <w:pStyle w:val="TableBodyText"/>
            </w:pPr>
          </w:p>
        </w:tc>
        <w:tc>
          <w:tcPr>
            <w:tcW w:w="431" w:type="pct"/>
            <w:vAlign w:val="center"/>
          </w:tcPr>
          <w:p w:rsidR="0061036A" w:rsidRPr="00B0351E" w:rsidRDefault="0061036A" w:rsidP="00372932">
            <w:pPr>
              <w:pStyle w:val="TableBodyText"/>
            </w:pPr>
          </w:p>
        </w:tc>
        <w:tc>
          <w:tcPr>
            <w:tcW w:w="431" w:type="pct"/>
            <w:vAlign w:val="center"/>
          </w:tcPr>
          <w:p w:rsidR="0061036A" w:rsidRPr="00B0351E" w:rsidRDefault="0061036A" w:rsidP="00372932">
            <w:pPr>
              <w:pStyle w:val="TableBodyText"/>
            </w:pPr>
          </w:p>
        </w:tc>
        <w:tc>
          <w:tcPr>
            <w:tcW w:w="431" w:type="pct"/>
            <w:vAlign w:val="center"/>
          </w:tcPr>
          <w:p w:rsidR="0061036A" w:rsidRPr="00B0351E" w:rsidRDefault="0061036A" w:rsidP="00372932">
            <w:pPr>
              <w:pStyle w:val="TableBodyText"/>
            </w:pPr>
          </w:p>
        </w:tc>
        <w:tc>
          <w:tcPr>
            <w:tcW w:w="431" w:type="pct"/>
            <w:vAlign w:val="center"/>
          </w:tcPr>
          <w:p w:rsidR="0061036A" w:rsidRPr="00B0351E" w:rsidRDefault="0061036A" w:rsidP="00372932">
            <w:pPr>
              <w:pStyle w:val="TableBodyText"/>
            </w:pPr>
          </w:p>
        </w:tc>
        <w:tc>
          <w:tcPr>
            <w:tcW w:w="431" w:type="pct"/>
            <w:vAlign w:val="center"/>
          </w:tcPr>
          <w:p w:rsidR="0061036A" w:rsidRPr="00B0351E" w:rsidRDefault="0061036A" w:rsidP="00372932">
            <w:pPr>
              <w:pStyle w:val="TableBodyText"/>
            </w:pPr>
          </w:p>
        </w:tc>
      </w:tr>
      <w:tr w:rsidR="0061036A" w:rsidRPr="00B0351E" w:rsidTr="00372932">
        <w:tc>
          <w:tcPr>
            <w:tcW w:w="1550" w:type="pct"/>
          </w:tcPr>
          <w:p w:rsidR="0061036A" w:rsidRPr="00B0351E" w:rsidRDefault="0061036A" w:rsidP="00372932">
            <w:pPr>
              <w:pStyle w:val="TableBodyText"/>
              <w:ind w:left="284"/>
              <w:jc w:val="left"/>
            </w:pPr>
            <w:r w:rsidRPr="00B0351E">
              <w:t>Indigenous</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na</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na</w:t>
            </w:r>
          </w:p>
        </w:tc>
        <w:tc>
          <w:tcPr>
            <w:tcW w:w="431" w:type="pct"/>
            <w:vAlign w:val="center"/>
          </w:tcPr>
          <w:p w:rsidR="0061036A" w:rsidRPr="00B0351E" w:rsidRDefault="0061036A" w:rsidP="00372932">
            <w:pPr>
              <w:pStyle w:val="TableBodyText"/>
            </w:pPr>
            <w:r w:rsidRPr="00B0351E">
              <w:t>–</w:t>
            </w:r>
          </w:p>
        </w:tc>
      </w:tr>
      <w:tr w:rsidR="0061036A" w:rsidRPr="00B0351E" w:rsidTr="00372932">
        <w:tc>
          <w:tcPr>
            <w:tcW w:w="1550" w:type="pct"/>
          </w:tcPr>
          <w:p w:rsidR="0061036A" w:rsidRPr="00B0351E" w:rsidRDefault="0061036A" w:rsidP="00372932">
            <w:pPr>
              <w:pStyle w:val="TableBodyText"/>
              <w:ind w:left="284"/>
              <w:jc w:val="left"/>
            </w:pPr>
            <w:r w:rsidRPr="00B0351E">
              <w:t>Non-Indigenous</w:t>
            </w:r>
          </w:p>
        </w:tc>
        <w:tc>
          <w:tcPr>
            <w:tcW w:w="431" w:type="pct"/>
            <w:vAlign w:val="center"/>
          </w:tcPr>
          <w:p w:rsidR="0061036A" w:rsidRPr="00B0351E" w:rsidRDefault="0061036A" w:rsidP="00372932">
            <w:pPr>
              <w:pStyle w:val="TableBodyText"/>
            </w:pPr>
            <w:r w:rsidRPr="00B0351E">
              <w:t xml:space="preserve">  0.5</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na</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na</w:t>
            </w:r>
          </w:p>
        </w:tc>
        <w:tc>
          <w:tcPr>
            <w:tcW w:w="431" w:type="pct"/>
            <w:vAlign w:val="center"/>
          </w:tcPr>
          <w:p w:rsidR="0061036A" w:rsidRPr="00B0351E" w:rsidRDefault="0061036A" w:rsidP="00372932">
            <w:pPr>
              <w:pStyle w:val="TableBodyText"/>
            </w:pPr>
            <w:r w:rsidRPr="00B0351E">
              <w:t>–</w:t>
            </w:r>
          </w:p>
        </w:tc>
      </w:tr>
      <w:tr w:rsidR="0061036A" w:rsidRPr="00B0351E" w:rsidTr="00372932">
        <w:tc>
          <w:tcPr>
            <w:tcW w:w="1550" w:type="pct"/>
          </w:tcPr>
          <w:p w:rsidR="0061036A" w:rsidRPr="00B0351E" w:rsidRDefault="0061036A" w:rsidP="00372932">
            <w:pPr>
              <w:pStyle w:val="TableBodyText"/>
              <w:ind w:left="284"/>
              <w:jc w:val="left"/>
            </w:pPr>
            <w:r w:rsidRPr="00B0351E">
              <w:t>Unknown</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na</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w:t>
            </w:r>
          </w:p>
        </w:tc>
        <w:tc>
          <w:tcPr>
            <w:tcW w:w="431" w:type="pct"/>
            <w:vAlign w:val="center"/>
          </w:tcPr>
          <w:p w:rsidR="0061036A" w:rsidRPr="00B0351E" w:rsidRDefault="0061036A" w:rsidP="00372932">
            <w:pPr>
              <w:pStyle w:val="TableBodyText"/>
            </w:pPr>
            <w:r w:rsidRPr="00B0351E">
              <w:t>na</w:t>
            </w:r>
          </w:p>
        </w:tc>
        <w:tc>
          <w:tcPr>
            <w:tcW w:w="431" w:type="pct"/>
            <w:vAlign w:val="center"/>
          </w:tcPr>
          <w:p w:rsidR="0061036A" w:rsidRPr="00B0351E" w:rsidRDefault="0061036A" w:rsidP="00372932">
            <w:pPr>
              <w:pStyle w:val="TableBodyText"/>
            </w:pPr>
            <w:r w:rsidRPr="00B0351E">
              <w:t>–</w:t>
            </w:r>
          </w:p>
        </w:tc>
      </w:tr>
      <w:tr w:rsidR="0061036A" w:rsidRPr="00B0351E" w:rsidTr="00372932">
        <w:tc>
          <w:tcPr>
            <w:tcW w:w="1550" w:type="pct"/>
            <w:tcBorders>
              <w:bottom w:val="single" w:sz="4" w:space="0" w:color="auto"/>
            </w:tcBorders>
          </w:tcPr>
          <w:p w:rsidR="0061036A" w:rsidRPr="00B0351E" w:rsidRDefault="0061036A" w:rsidP="00372932">
            <w:pPr>
              <w:pStyle w:val="TableBodyText"/>
              <w:ind w:left="284"/>
              <w:jc w:val="left"/>
            </w:pPr>
            <w:r w:rsidRPr="00B0351E">
              <w:t>Total</w:t>
            </w:r>
          </w:p>
        </w:tc>
        <w:tc>
          <w:tcPr>
            <w:tcW w:w="431" w:type="pct"/>
            <w:tcBorders>
              <w:bottom w:val="single" w:sz="4" w:space="0" w:color="auto"/>
            </w:tcBorders>
            <w:vAlign w:val="center"/>
          </w:tcPr>
          <w:p w:rsidR="0061036A" w:rsidRPr="00B0351E" w:rsidRDefault="0061036A" w:rsidP="00372932">
            <w:pPr>
              <w:pStyle w:val="TableBodyText"/>
            </w:pPr>
            <w:r w:rsidRPr="00B0351E">
              <w:t xml:space="preserve">  0.3</w:t>
            </w:r>
          </w:p>
        </w:tc>
        <w:tc>
          <w:tcPr>
            <w:tcW w:w="431" w:type="pct"/>
            <w:tcBorders>
              <w:bottom w:val="single" w:sz="4" w:space="0" w:color="auto"/>
            </w:tcBorders>
            <w:vAlign w:val="center"/>
          </w:tcPr>
          <w:p w:rsidR="0061036A" w:rsidRPr="00B0351E" w:rsidRDefault="0061036A" w:rsidP="00372932">
            <w:pPr>
              <w:pStyle w:val="TableBodyText"/>
            </w:pPr>
            <w:r w:rsidRPr="00B0351E">
              <w:t>–</w:t>
            </w:r>
          </w:p>
        </w:tc>
        <w:tc>
          <w:tcPr>
            <w:tcW w:w="431" w:type="pct"/>
            <w:tcBorders>
              <w:bottom w:val="single" w:sz="4" w:space="0" w:color="auto"/>
            </w:tcBorders>
            <w:vAlign w:val="center"/>
          </w:tcPr>
          <w:p w:rsidR="0061036A" w:rsidRPr="00B0351E" w:rsidRDefault="0061036A" w:rsidP="00372932">
            <w:pPr>
              <w:pStyle w:val="TableBodyText"/>
            </w:pPr>
            <w:r w:rsidRPr="00B0351E">
              <w:t>..</w:t>
            </w:r>
          </w:p>
        </w:tc>
        <w:tc>
          <w:tcPr>
            <w:tcW w:w="431" w:type="pct"/>
            <w:tcBorders>
              <w:bottom w:val="single" w:sz="4" w:space="0" w:color="auto"/>
            </w:tcBorders>
            <w:vAlign w:val="center"/>
          </w:tcPr>
          <w:p w:rsidR="0061036A" w:rsidRPr="00B0351E" w:rsidRDefault="0061036A" w:rsidP="00372932">
            <w:pPr>
              <w:pStyle w:val="TableBodyText"/>
            </w:pPr>
            <w:r w:rsidRPr="00B0351E">
              <w:t>na</w:t>
            </w:r>
          </w:p>
        </w:tc>
        <w:tc>
          <w:tcPr>
            <w:tcW w:w="431" w:type="pct"/>
            <w:tcBorders>
              <w:bottom w:val="single" w:sz="4" w:space="0" w:color="auto"/>
            </w:tcBorders>
            <w:vAlign w:val="center"/>
          </w:tcPr>
          <w:p w:rsidR="0061036A" w:rsidRPr="00B0351E" w:rsidRDefault="0061036A" w:rsidP="00372932">
            <w:pPr>
              <w:pStyle w:val="TableBodyText"/>
            </w:pPr>
            <w:r w:rsidRPr="00B0351E">
              <w:t>–</w:t>
            </w:r>
          </w:p>
        </w:tc>
        <w:tc>
          <w:tcPr>
            <w:tcW w:w="431" w:type="pct"/>
            <w:tcBorders>
              <w:bottom w:val="single" w:sz="4" w:space="0" w:color="auto"/>
            </w:tcBorders>
            <w:vAlign w:val="center"/>
          </w:tcPr>
          <w:p w:rsidR="0061036A" w:rsidRPr="00B0351E" w:rsidRDefault="0061036A" w:rsidP="00372932">
            <w:pPr>
              <w:pStyle w:val="TableBodyText"/>
            </w:pPr>
            <w:r w:rsidRPr="00B0351E">
              <w:t>–</w:t>
            </w:r>
          </w:p>
        </w:tc>
        <w:tc>
          <w:tcPr>
            <w:tcW w:w="431" w:type="pct"/>
            <w:tcBorders>
              <w:bottom w:val="single" w:sz="4" w:space="0" w:color="auto"/>
            </w:tcBorders>
            <w:vAlign w:val="center"/>
          </w:tcPr>
          <w:p w:rsidR="0061036A" w:rsidRPr="00B0351E" w:rsidRDefault="0061036A" w:rsidP="00372932">
            <w:pPr>
              <w:pStyle w:val="TableBodyText"/>
            </w:pPr>
            <w:r w:rsidRPr="00B0351E">
              <w:t>na</w:t>
            </w:r>
          </w:p>
        </w:tc>
        <w:tc>
          <w:tcPr>
            <w:tcW w:w="431" w:type="pct"/>
            <w:tcBorders>
              <w:bottom w:val="single" w:sz="4" w:space="0" w:color="auto"/>
            </w:tcBorders>
            <w:vAlign w:val="center"/>
          </w:tcPr>
          <w:p w:rsidR="0061036A" w:rsidRPr="00B0351E" w:rsidRDefault="0061036A" w:rsidP="00372932">
            <w:pPr>
              <w:pStyle w:val="TableBodyText"/>
            </w:pPr>
            <w:r w:rsidRPr="00B0351E">
              <w:t>–</w:t>
            </w:r>
          </w:p>
        </w:tc>
      </w:tr>
    </w:tbl>
    <w:p w:rsidR="0061036A" w:rsidRPr="00B0351E" w:rsidRDefault="0061036A" w:rsidP="0061036A">
      <w:pPr>
        <w:pStyle w:val="Note"/>
      </w:pPr>
      <w:r w:rsidRPr="00B0351E">
        <w:rPr>
          <w:rStyle w:val="NoteLabel"/>
        </w:rPr>
        <w:t xml:space="preserve">a </w:t>
      </w:r>
      <w:r w:rsidRPr="00B0351E">
        <w:t xml:space="preserve">Data were not available WA and the ACT. </w:t>
      </w:r>
      <w:r w:rsidRPr="00B0351E">
        <w:rPr>
          <w:rStyle w:val="NoteLabel"/>
        </w:rPr>
        <w:t>b</w:t>
      </w:r>
      <w:r w:rsidRPr="00B0351E">
        <w:t xml:space="preserve"> Queensland does not currently use unescorted leave. </w:t>
      </w:r>
      <w:r w:rsidRPr="00B0351E">
        <w:rPr>
          <w:rStyle w:val="NoteLabel"/>
        </w:rPr>
        <w:t>c</w:t>
      </w:r>
      <w:r w:rsidRPr="00B0351E">
        <w:t xml:space="preserve"> Refer to table 15A.195 for detailed footnotes. </w:t>
      </w:r>
      <w:r w:rsidRPr="00B0351E">
        <w:rPr>
          <w:b/>
        </w:rPr>
        <w:t>na</w:t>
      </w:r>
      <w:r w:rsidRPr="00B0351E">
        <w:t xml:space="preserve"> Not available. – Nil or rounded to zero.</w:t>
      </w:r>
    </w:p>
    <w:p w:rsidR="0061036A" w:rsidRPr="00B0351E" w:rsidRDefault="0061036A" w:rsidP="0061036A">
      <w:pPr>
        <w:pStyle w:val="Source"/>
        <w:rPr>
          <w:b/>
        </w:rPr>
      </w:pPr>
      <w:r w:rsidRPr="00B0351E">
        <w:rPr>
          <w:i/>
        </w:rPr>
        <w:t xml:space="preserve">Source: </w:t>
      </w:r>
      <w:r w:rsidRPr="00B0351E">
        <w:t>State and Territory governments (unpublished); table 15A.195; 2013 Report, table 15.9, p. 15.82.</w:t>
      </w:r>
    </w:p>
    <w:p w:rsidR="00AB1DAE" w:rsidRPr="00B0351E" w:rsidRDefault="00AB1DAE" w:rsidP="00AB1DAE">
      <w:pPr>
        <w:keepNext/>
        <w:spacing w:before="480" w:line="320" w:lineRule="exact"/>
        <w:outlineLvl w:val="3"/>
        <w:rPr>
          <w:rFonts w:ascii="Arial" w:hAnsi="Arial"/>
          <w:i/>
          <w:sz w:val="24"/>
          <w:szCs w:val="20"/>
        </w:rPr>
      </w:pPr>
      <w:bookmarkStart w:id="126" w:name="_Toc320770836"/>
      <w:bookmarkStart w:id="127" w:name="_Toc348449379"/>
      <w:bookmarkStart w:id="128" w:name="_Toc348952926"/>
      <w:bookmarkStart w:id="129" w:name="_Toc351361367"/>
      <w:r w:rsidRPr="00B0351E">
        <w:rPr>
          <w:rFonts w:ascii="Arial" w:hAnsi="Arial"/>
          <w:i/>
          <w:sz w:val="24"/>
          <w:szCs w:val="20"/>
        </w:rPr>
        <w:t>Safe and secure environment — assaults in custody</w:t>
      </w:r>
      <w:bookmarkEnd w:id="126"/>
      <w:bookmarkEnd w:id="127"/>
      <w:bookmarkEnd w:id="128"/>
      <w:bookmarkEnd w:id="129"/>
    </w:p>
    <w:p w:rsidR="007222B6" w:rsidRPr="00B0351E" w:rsidRDefault="007222B6" w:rsidP="007222B6">
      <w:pPr>
        <w:pStyle w:val="BodyText"/>
      </w:pPr>
      <w:r w:rsidRPr="00B0351E">
        <w:t>‘Assaults in custody’ is an indicator of governments’ objective to provide a custodial environment that is safe and secure in order to rehabilitate young offenders and reintegrate them into their community (box 15.</w:t>
      </w:r>
      <w:r w:rsidR="009F41E6" w:rsidRPr="00B0351E">
        <w:t>10</w:t>
      </w:r>
      <w:r w:rsidRPr="00B0351E">
        <w:t>).</w:t>
      </w:r>
    </w:p>
    <w:p w:rsidR="00D103EE" w:rsidRPr="0021503D" w:rsidRDefault="00D103EE" w:rsidP="00D103EE">
      <w:pPr>
        <w:pStyle w:val="BoxSpac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222B6" w:rsidRPr="0021503D" w:rsidTr="00372932">
        <w:tc>
          <w:tcPr>
            <w:tcW w:w="8771" w:type="dxa"/>
            <w:tcBorders>
              <w:top w:val="single" w:sz="6" w:space="0" w:color="auto"/>
              <w:bottom w:val="nil"/>
            </w:tcBorders>
          </w:tcPr>
          <w:p w:rsidR="007222B6" w:rsidRPr="0021503D" w:rsidRDefault="007222B6" w:rsidP="009552F0">
            <w:pPr>
              <w:pStyle w:val="BoxTitle"/>
            </w:pPr>
            <w:r w:rsidRPr="0021503D">
              <w:rPr>
                <w:b w:val="0"/>
              </w:rPr>
              <w:t xml:space="preserve">Box </w:t>
            </w:r>
            <w:r w:rsidR="009F41E6" w:rsidRPr="0021503D">
              <w:rPr>
                <w:b w:val="0"/>
              </w:rPr>
              <w:t>15.10</w:t>
            </w:r>
            <w:r w:rsidRPr="0021503D">
              <w:tab/>
              <w:t>Assaults in custody</w:t>
            </w:r>
          </w:p>
        </w:tc>
      </w:tr>
      <w:tr w:rsidR="007222B6" w:rsidRPr="0021503D" w:rsidTr="00372932">
        <w:trPr>
          <w:cantSplit/>
        </w:trPr>
        <w:tc>
          <w:tcPr>
            <w:tcW w:w="8771" w:type="dxa"/>
            <w:tcBorders>
              <w:top w:val="nil"/>
              <w:left w:val="single" w:sz="6" w:space="0" w:color="auto"/>
              <w:bottom w:val="nil"/>
              <w:right w:val="single" w:sz="6" w:space="0" w:color="auto"/>
            </w:tcBorders>
          </w:tcPr>
          <w:p w:rsidR="007222B6" w:rsidRPr="0021503D" w:rsidRDefault="007222B6" w:rsidP="00372932">
            <w:pPr>
              <w:pStyle w:val="Box"/>
            </w:pPr>
            <w:r w:rsidRPr="0021503D">
              <w:t>‘Assaults in custody’ is defined by two measures:</w:t>
            </w:r>
          </w:p>
          <w:p w:rsidR="007222B6" w:rsidRPr="0021503D" w:rsidRDefault="007222B6" w:rsidP="007222B6">
            <w:pPr>
              <w:pStyle w:val="BoxListBullet"/>
              <w:numPr>
                <w:ilvl w:val="0"/>
                <w:numId w:val="17"/>
              </w:numPr>
            </w:pPr>
            <w:r w:rsidRPr="0021503D">
              <w:t>the rate of detainees and staff (by Indigenous status) who are seriously assaulted (that is, sustain an injury that requires overnight hospitalisation and any act of sexual assault) due to an act perpetrated by one or more detainees, as a proportion of the number of detainees in custody</w:t>
            </w:r>
          </w:p>
          <w:p w:rsidR="007222B6" w:rsidRPr="0021503D" w:rsidRDefault="007222B6" w:rsidP="007222B6">
            <w:pPr>
              <w:pStyle w:val="BoxListBullet"/>
              <w:numPr>
                <w:ilvl w:val="0"/>
                <w:numId w:val="17"/>
              </w:numPr>
            </w:pPr>
            <w:r w:rsidRPr="0021503D">
              <w:t>the rate of detainees and staff (by Indigenous status) who are assaulted (that is, sustain an injury, but do not require hospitalisation) due to an act perpetrated by one or more detainees, as a proportion of the number of detainees in custody.</w:t>
            </w:r>
          </w:p>
          <w:p w:rsidR="007222B6" w:rsidRPr="0021503D" w:rsidRDefault="007222B6" w:rsidP="00372932">
            <w:pPr>
              <w:pStyle w:val="Box"/>
            </w:pPr>
            <w:r w:rsidRPr="0021503D">
              <w:t>A zero or low, or decreasing assaults in custody rate is desirable.</w:t>
            </w:r>
          </w:p>
          <w:p w:rsidR="007222B6" w:rsidRPr="0021503D" w:rsidRDefault="007222B6" w:rsidP="00372932">
            <w:pPr>
              <w:pStyle w:val="Box"/>
            </w:pPr>
            <w:r w:rsidRPr="0021503D">
              <w:t>Data reported for this indicator are not complete.</w:t>
            </w:r>
          </w:p>
          <w:p w:rsidR="007222B6" w:rsidRPr="0021503D" w:rsidRDefault="007222B6" w:rsidP="00372932">
            <w:pPr>
              <w:pStyle w:val="Box"/>
            </w:pPr>
            <w:r w:rsidRPr="0021503D">
              <w:rPr>
                <w:szCs w:val="22"/>
              </w:rPr>
              <w:t xml:space="preserve">Data quality information for this indicator is </w:t>
            </w:r>
            <w:r w:rsidRPr="0021503D">
              <w:t>at www.pc.gov.au/gsp/reports/rogs/2013.</w:t>
            </w:r>
          </w:p>
        </w:tc>
      </w:tr>
      <w:tr w:rsidR="007222B6" w:rsidRPr="0021503D" w:rsidTr="00372932">
        <w:trPr>
          <w:cantSplit/>
        </w:trPr>
        <w:tc>
          <w:tcPr>
            <w:tcW w:w="8771" w:type="dxa"/>
            <w:tcBorders>
              <w:top w:val="nil"/>
              <w:left w:val="single" w:sz="6" w:space="0" w:color="auto"/>
              <w:bottom w:val="single" w:sz="6" w:space="0" w:color="auto"/>
              <w:right w:val="single" w:sz="6" w:space="0" w:color="auto"/>
            </w:tcBorders>
          </w:tcPr>
          <w:p w:rsidR="007222B6" w:rsidRPr="0021503D" w:rsidRDefault="007222B6" w:rsidP="00372932">
            <w:pPr>
              <w:pStyle w:val="Box"/>
              <w:spacing w:before="0" w:line="120" w:lineRule="exact"/>
            </w:pPr>
          </w:p>
        </w:tc>
      </w:tr>
      <w:tr w:rsidR="007222B6" w:rsidRPr="0021503D" w:rsidTr="00372932">
        <w:tc>
          <w:tcPr>
            <w:tcW w:w="8771" w:type="dxa"/>
            <w:tcBorders>
              <w:top w:val="nil"/>
              <w:left w:val="nil"/>
              <w:bottom w:val="nil"/>
              <w:right w:val="nil"/>
            </w:tcBorders>
          </w:tcPr>
          <w:p w:rsidR="007222B6" w:rsidRPr="0021503D" w:rsidRDefault="007222B6" w:rsidP="00372932">
            <w:pPr>
              <w:pStyle w:val="Box"/>
              <w:keepNext w:val="0"/>
              <w:spacing w:before="60" w:after="60" w:line="80" w:lineRule="exact"/>
              <w:rPr>
                <w:b/>
                <w:color w:val="FF00FF"/>
                <w:sz w:val="14"/>
              </w:rPr>
            </w:pPr>
          </w:p>
        </w:tc>
      </w:tr>
    </w:tbl>
    <w:p w:rsidR="007222B6" w:rsidRPr="0021503D" w:rsidRDefault="007222B6" w:rsidP="007222B6">
      <w:pPr>
        <w:pStyle w:val="BodyText"/>
      </w:pPr>
      <w:r w:rsidRPr="0021503D">
        <w:t>Nationally, 10 detainees were reported as injured in custody due to a serious assault in 2011</w:t>
      </w:r>
      <w:r w:rsidRPr="0021503D">
        <w:noBreakHyphen/>
        <w:t>12 (table 15.4). Nationally, no staff were reported as injured due to a serious assault in 2011</w:t>
      </w:r>
      <w:r w:rsidRPr="0021503D">
        <w:noBreakHyphen/>
        <w:t>12. The proportion of young people injured in custody due to a serious assault varied across jurisdictions.</w:t>
      </w:r>
    </w:p>
    <w:p w:rsidR="007222B6" w:rsidRPr="0021503D" w:rsidRDefault="007222B6" w:rsidP="007222B6">
      <w:pPr>
        <w:pStyle w:val="TableTitle"/>
        <w:rPr>
          <w:bCs/>
        </w:rPr>
      </w:pPr>
      <w:r w:rsidRPr="0021503D">
        <w:rPr>
          <w:b w:val="0"/>
        </w:rPr>
        <w:t xml:space="preserve">Table </w:t>
      </w:r>
      <w:r w:rsidR="009F41E6" w:rsidRPr="0021503D">
        <w:rPr>
          <w:b w:val="0"/>
        </w:rPr>
        <w:t>15.4</w:t>
      </w:r>
      <w:r w:rsidRPr="0021503D">
        <w:tab/>
        <w:t>N</w:t>
      </w:r>
      <w:r w:rsidRPr="0021503D">
        <w:rPr>
          <w:bCs/>
        </w:rPr>
        <w:t>umber and rate of young people injured as a result of a serious assault, by Indigenous status, 2011-12</w:t>
      </w:r>
      <w:r w:rsidRPr="0021503D">
        <w:rPr>
          <w:rStyle w:val="NoteLabel"/>
          <w:b/>
        </w:rPr>
        <w:t>a</w:t>
      </w:r>
    </w:p>
    <w:tbl>
      <w:tblPr>
        <w:tblW w:w="5000" w:type="pct"/>
        <w:tblCellMar>
          <w:left w:w="0" w:type="dxa"/>
          <w:right w:w="0" w:type="dxa"/>
        </w:tblCellMar>
        <w:tblLook w:val="0000" w:firstRow="0" w:lastRow="0" w:firstColumn="0" w:lastColumn="0" w:noHBand="0" w:noVBand="0"/>
      </w:tblPr>
      <w:tblGrid>
        <w:gridCol w:w="2725"/>
        <w:gridCol w:w="758"/>
        <w:gridCol w:w="758"/>
        <w:gridCol w:w="758"/>
        <w:gridCol w:w="758"/>
        <w:gridCol w:w="758"/>
        <w:gridCol w:w="758"/>
        <w:gridCol w:w="758"/>
        <w:gridCol w:w="758"/>
      </w:tblGrid>
      <w:tr w:rsidR="007222B6" w:rsidRPr="0021503D" w:rsidTr="00372932">
        <w:tc>
          <w:tcPr>
            <w:tcW w:w="1550" w:type="pct"/>
            <w:tcBorders>
              <w:top w:val="single" w:sz="6" w:space="0" w:color="auto"/>
              <w:bottom w:val="single" w:sz="6" w:space="0" w:color="auto"/>
            </w:tcBorders>
          </w:tcPr>
          <w:p w:rsidR="007222B6" w:rsidRPr="0021503D" w:rsidRDefault="007222B6" w:rsidP="00372932">
            <w:pPr>
              <w:pStyle w:val="TableColumnHeading"/>
              <w:jc w:val="left"/>
            </w:pP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NSW</w:t>
            </w: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Vic</w:t>
            </w: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Qld</w:t>
            </w: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WA</w:t>
            </w: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SA</w:t>
            </w: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Tas</w:t>
            </w: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ACT</w:t>
            </w: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NT</w:t>
            </w:r>
          </w:p>
        </w:tc>
      </w:tr>
      <w:tr w:rsidR="007222B6" w:rsidRPr="0021503D" w:rsidTr="00372932">
        <w:tc>
          <w:tcPr>
            <w:tcW w:w="1550" w:type="pct"/>
          </w:tcPr>
          <w:p w:rsidR="007222B6" w:rsidRPr="0021503D" w:rsidRDefault="007222B6" w:rsidP="00372932">
            <w:pPr>
              <w:pStyle w:val="TableBodyText"/>
              <w:jc w:val="left"/>
              <w:rPr>
                <w:b/>
              </w:rPr>
            </w:pPr>
            <w:r w:rsidRPr="0021503D">
              <w:rPr>
                <w:b/>
              </w:rPr>
              <w:t>Number of young people injured as a result of a serious assault</w:t>
            </w: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r>
      <w:tr w:rsidR="007222B6" w:rsidRPr="0021503D" w:rsidTr="00372932">
        <w:tc>
          <w:tcPr>
            <w:tcW w:w="1550" w:type="pct"/>
          </w:tcPr>
          <w:p w:rsidR="007222B6" w:rsidRPr="0021503D" w:rsidRDefault="007222B6" w:rsidP="00372932">
            <w:pPr>
              <w:pStyle w:val="TableBodyText"/>
              <w:ind w:left="284"/>
              <w:jc w:val="left"/>
            </w:pPr>
            <w:r w:rsidRPr="0021503D">
              <w:t>Indigenous</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 xml:space="preserve">  1.0</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 xml:space="preserve">  6.0</w:t>
            </w:r>
          </w:p>
        </w:tc>
      </w:tr>
      <w:tr w:rsidR="007222B6" w:rsidRPr="0021503D" w:rsidTr="00372932">
        <w:tc>
          <w:tcPr>
            <w:tcW w:w="1550" w:type="pct"/>
          </w:tcPr>
          <w:p w:rsidR="007222B6" w:rsidRPr="0021503D" w:rsidRDefault="007222B6" w:rsidP="00372932">
            <w:pPr>
              <w:pStyle w:val="TableBodyText"/>
              <w:ind w:left="284"/>
              <w:jc w:val="left"/>
            </w:pPr>
            <w:r w:rsidRPr="0021503D">
              <w:t>Non-Indigenous</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 xml:space="preserve">  1.0</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 xml:space="preserve">  2.0</w:t>
            </w:r>
          </w:p>
        </w:tc>
        <w:tc>
          <w:tcPr>
            <w:tcW w:w="431" w:type="pct"/>
            <w:vAlign w:val="center"/>
          </w:tcPr>
          <w:p w:rsidR="007222B6" w:rsidRPr="0021503D" w:rsidRDefault="007222B6" w:rsidP="00372932">
            <w:pPr>
              <w:pStyle w:val="TableBodyText"/>
            </w:pPr>
            <w:r w:rsidRPr="0021503D">
              <w:t>–</w:t>
            </w:r>
          </w:p>
        </w:tc>
      </w:tr>
      <w:tr w:rsidR="007222B6" w:rsidRPr="0021503D" w:rsidTr="00372932">
        <w:tc>
          <w:tcPr>
            <w:tcW w:w="1550" w:type="pct"/>
          </w:tcPr>
          <w:p w:rsidR="007222B6" w:rsidRPr="0021503D" w:rsidRDefault="007222B6" w:rsidP="00372932">
            <w:pPr>
              <w:pStyle w:val="TableBodyText"/>
              <w:ind w:left="284"/>
              <w:jc w:val="left"/>
            </w:pPr>
            <w:r w:rsidRPr="0021503D">
              <w:t>Unknown</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r>
      <w:tr w:rsidR="007222B6" w:rsidRPr="0021503D" w:rsidTr="00372932">
        <w:tc>
          <w:tcPr>
            <w:tcW w:w="1550" w:type="pct"/>
          </w:tcPr>
          <w:p w:rsidR="007222B6" w:rsidRPr="0021503D" w:rsidRDefault="007222B6" w:rsidP="00372932">
            <w:pPr>
              <w:pStyle w:val="TableBodyText"/>
              <w:ind w:left="284"/>
              <w:jc w:val="left"/>
            </w:pPr>
            <w:r w:rsidRPr="0021503D">
              <w:t>Total</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 xml:space="preserve">  2.0</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 xml:space="preserve">  2.0</w:t>
            </w:r>
          </w:p>
        </w:tc>
        <w:tc>
          <w:tcPr>
            <w:tcW w:w="431" w:type="pct"/>
            <w:vAlign w:val="center"/>
          </w:tcPr>
          <w:p w:rsidR="007222B6" w:rsidRPr="0021503D" w:rsidRDefault="007222B6" w:rsidP="00372932">
            <w:pPr>
              <w:pStyle w:val="TableBodyText"/>
            </w:pPr>
            <w:r w:rsidRPr="0021503D">
              <w:t xml:space="preserve">  6.0</w:t>
            </w:r>
          </w:p>
        </w:tc>
      </w:tr>
      <w:tr w:rsidR="007222B6" w:rsidRPr="0021503D" w:rsidTr="00372932">
        <w:tc>
          <w:tcPr>
            <w:tcW w:w="1550" w:type="pct"/>
          </w:tcPr>
          <w:p w:rsidR="007222B6" w:rsidRPr="0021503D" w:rsidRDefault="007222B6" w:rsidP="00372932">
            <w:pPr>
              <w:pStyle w:val="TableBodyText"/>
              <w:ind w:right="0"/>
              <w:jc w:val="left"/>
              <w:rPr>
                <w:b/>
              </w:rPr>
            </w:pPr>
            <w:r w:rsidRPr="0021503D">
              <w:rPr>
                <w:b/>
              </w:rPr>
              <w:t>Rate per 10 000 custody nights</w:t>
            </w: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r>
      <w:tr w:rsidR="007222B6" w:rsidRPr="0021503D" w:rsidTr="00372932">
        <w:tc>
          <w:tcPr>
            <w:tcW w:w="1550" w:type="pct"/>
          </w:tcPr>
          <w:p w:rsidR="007222B6" w:rsidRPr="0021503D" w:rsidRDefault="007222B6" w:rsidP="00372932">
            <w:pPr>
              <w:pStyle w:val="TableBodyText"/>
              <w:ind w:left="284"/>
              <w:jc w:val="left"/>
            </w:pPr>
            <w:r w:rsidRPr="0021503D">
              <w:t>Indigenous</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 xml:space="preserve">  0.3</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 xml:space="preserve">  4.4</w:t>
            </w:r>
          </w:p>
        </w:tc>
      </w:tr>
      <w:tr w:rsidR="007222B6" w:rsidRPr="0021503D" w:rsidTr="00372932">
        <w:tc>
          <w:tcPr>
            <w:tcW w:w="1550" w:type="pct"/>
          </w:tcPr>
          <w:p w:rsidR="007222B6" w:rsidRPr="0021503D" w:rsidRDefault="007222B6" w:rsidP="00372932">
            <w:pPr>
              <w:pStyle w:val="TableBodyText"/>
              <w:ind w:left="284"/>
              <w:jc w:val="left"/>
            </w:pPr>
            <w:r w:rsidRPr="0021503D">
              <w:t>Non-Indigenous</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 xml:space="preserve">  0.5</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 xml:space="preserve">  3.8</w:t>
            </w:r>
          </w:p>
        </w:tc>
        <w:tc>
          <w:tcPr>
            <w:tcW w:w="431" w:type="pct"/>
            <w:vAlign w:val="center"/>
          </w:tcPr>
          <w:p w:rsidR="007222B6" w:rsidRPr="0021503D" w:rsidRDefault="007222B6" w:rsidP="00372932">
            <w:pPr>
              <w:pStyle w:val="TableBodyText"/>
            </w:pPr>
            <w:r w:rsidRPr="0021503D">
              <w:t>–</w:t>
            </w:r>
          </w:p>
        </w:tc>
      </w:tr>
      <w:tr w:rsidR="007222B6" w:rsidRPr="0021503D" w:rsidTr="00372932">
        <w:tc>
          <w:tcPr>
            <w:tcW w:w="1550" w:type="pct"/>
          </w:tcPr>
          <w:p w:rsidR="007222B6" w:rsidRPr="0021503D" w:rsidRDefault="007222B6" w:rsidP="00372932">
            <w:pPr>
              <w:pStyle w:val="TableBodyText"/>
              <w:ind w:left="284"/>
              <w:jc w:val="left"/>
            </w:pPr>
            <w:r w:rsidRPr="0021503D">
              <w:t>Unknown</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r>
      <w:tr w:rsidR="007222B6" w:rsidRPr="0021503D" w:rsidTr="00372932">
        <w:tc>
          <w:tcPr>
            <w:tcW w:w="1550" w:type="pct"/>
            <w:tcBorders>
              <w:bottom w:val="single" w:sz="4" w:space="0" w:color="auto"/>
            </w:tcBorders>
          </w:tcPr>
          <w:p w:rsidR="007222B6" w:rsidRPr="0021503D" w:rsidRDefault="007222B6" w:rsidP="00372932">
            <w:pPr>
              <w:pStyle w:val="TableBodyText"/>
              <w:ind w:left="284"/>
              <w:jc w:val="left"/>
            </w:pPr>
            <w:r w:rsidRPr="0021503D">
              <w:t>Total</w:t>
            </w:r>
          </w:p>
        </w:tc>
        <w:tc>
          <w:tcPr>
            <w:tcW w:w="431" w:type="pct"/>
            <w:tcBorders>
              <w:bottom w:val="single" w:sz="4" w:space="0" w:color="auto"/>
            </w:tcBorders>
            <w:vAlign w:val="center"/>
          </w:tcPr>
          <w:p w:rsidR="007222B6" w:rsidRPr="0021503D" w:rsidRDefault="007222B6" w:rsidP="00372932">
            <w:pPr>
              <w:pStyle w:val="TableBodyText"/>
            </w:pPr>
            <w:r w:rsidRPr="0021503D">
              <w:t>–</w:t>
            </w:r>
          </w:p>
        </w:tc>
        <w:tc>
          <w:tcPr>
            <w:tcW w:w="431" w:type="pct"/>
            <w:tcBorders>
              <w:bottom w:val="single" w:sz="4" w:space="0" w:color="auto"/>
            </w:tcBorders>
            <w:vAlign w:val="center"/>
          </w:tcPr>
          <w:p w:rsidR="007222B6" w:rsidRPr="0021503D" w:rsidRDefault="007222B6" w:rsidP="00372932">
            <w:pPr>
              <w:pStyle w:val="TableBodyText"/>
            </w:pPr>
            <w:r w:rsidRPr="0021503D">
              <w:t>–</w:t>
            </w:r>
          </w:p>
        </w:tc>
        <w:tc>
          <w:tcPr>
            <w:tcW w:w="431" w:type="pct"/>
            <w:tcBorders>
              <w:bottom w:val="single" w:sz="4" w:space="0" w:color="auto"/>
            </w:tcBorders>
            <w:vAlign w:val="center"/>
          </w:tcPr>
          <w:p w:rsidR="007222B6" w:rsidRPr="0021503D" w:rsidRDefault="007222B6" w:rsidP="00372932">
            <w:pPr>
              <w:pStyle w:val="TableBodyText"/>
            </w:pPr>
            <w:r w:rsidRPr="0021503D">
              <w:t xml:space="preserve">  0.4</w:t>
            </w:r>
          </w:p>
        </w:tc>
        <w:tc>
          <w:tcPr>
            <w:tcW w:w="431" w:type="pct"/>
            <w:tcBorders>
              <w:bottom w:val="single" w:sz="4" w:space="0" w:color="auto"/>
            </w:tcBorders>
            <w:vAlign w:val="center"/>
          </w:tcPr>
          <w:p w:rsidR="007222B6" w:rsidRPr="0021503D" w:rsidRDefault="007222B6" w:rsidP="00372932">
            <w:pPr>
              <w:pStyle w:val="TableBodyText"/>
            </w:pPr>
            <w:r w:rsidRPr="0021503D">
              <w:t>na</w:t>
            </w:r>
          </w:p>
        </w:tc>
        <w:tc>
          <w:tcPr>
            <w:tcW w:w="431" w:type="pct"/>
            <w:tcBorders>
              <w:bottom w:val="single" w:sz="4" w:space="0" w:color="auto"/>
            </w:tcBorders>
            <w:vAlign w:val="center"/>
          </w:tcPr>
          <w:p w:rsidR="007222B6" w:rsidRPr="0021503D" w:rsidRDefault="007222B6" w:rsidP="00372932">
            <w:pPr>
              <w:pStyle w:val="TableBodyText"/>
            </w:pPr>
            <w:r w:rsidRPr="0021503D">
              <w:t>na</w:t>
            </w:r>
          </w:p>
        </w:tc>
        <w:tc>
          <w:tcPr>
            <w:tcW w:w="431" w:type="pct"/>
            <w:tcBorders>
              <w:bottom w:val="single" w:sz="4" w:space="0" w:color="auto"/>
            </w:tcBorders>
            <w:vAlign w:val="center"/>
          </w:tcPr>
          <w:p w:rsidR="007222B6" w:rsidRPr="0021503D" w:rsidRDefault="007222B6" w:rsidP="00372932">
            <w:pPr>
              <w:pStyle w:val="TableBodyText"/>
            </w:pPr>
            <w:r w:rsidRPr="0021503D">
              <w:t>–</w:t>
            </w:r>
          </w:p>
        </w:tc>
        <w:tc>
          <w:tcPr>
            <w:tcW w:w="431" w:type="pct"/>
            <w:tcBorders>
              <w:bottom w:val="single" w:sz="4" w:space="0" w:color="auto"/>
            </w:tcBorders>
            <w:vAlign w:val="center"/>
          </w:tcPr>
          <w:p w:rsidR="007222B6" w:rsidRPr="0021503D" w:rsidRDefault="007222B6" w:rsidP="00372932">
            <w:pPr>
              <w:pStyle w:val="TableBodyText"/>
            </w:pPr>
            <w:r w:rsidRPr="0021503D">
              <w:t xml:space="preserve">  2.4</w:t>
            </w:r>
          </w:p>
        </w:tc>
        <w:tc>
          <w:tcPr>
            <w:tcW w:w="431" w:type="pct"/>
            <w:tcBorders>
              <w:bottom w:val="single" w:sz="4" w:space="0" w:color="auto"/>
            </w:tcBorders>
            <w:vAlign w:val="center"/>
          </w:tcPr>
          <w:p w:rsidR="007222B6" w:rsidRPr="0021503D" w:rsidRDefault="007222B6" w:rsidP="00372932">
            <w:pPr>
              <w:pStyle w:val="TableBodyText"/>
            </w:pPr>
            <w:r w:rsidRPr="0021503D">
              <w:t xml:space="preserve">  4.3</w:t>
            </w:r>
          </w:p>
        </w:tc>
      </w:tr>
    </w:tbl>
    <w:p w:rsidR="007222B6" w:rsidRPr="0021503D" w:rsidRDefault="007222B6" w:rsidP="007222B6">
      <w:pPr>
        <w:pStyle w:val="Note"/>
      </w:pPr>
      <w:r w:rsidRPr="0021503D">
        <w:rPr>
          <w:rStyle w:val="NoteLabel"/>
        </w:rPr>
        <w:t xml:space="preserve">a </w:t>
      </w:r>
      <w:r w:rsidRPr="0021503D">
        <w:t xml:space="preserve">Data were not available for WA and SA. </w:t>
      </w:r>
      <w:r w:rsidRPr="0021503D">
        <w:rPr>
          <w:b/>
        </w:rPr>
        <w:t>na</w:t>
      </w:r>
      <w:r w:rsidRPr="0021503D">
        <w:t xml:space="preserve"> Not available. – Nil or rounded to zero.</w:t>
      </w:r>
    </w:p>
    <w:p w:rsidR="007222B6" w:rsidRPr="0021503D" w:rsidRDefault="007222B6" w:rsidP="00C05B06">
      <w:pPr>
        <w:pStyle w:val="Source"/>
      </w:pPr>
      <w:r w:rsidRPr="0021503D">
        <w:rPr>
          <w:i/>
        </w:rPr>
        <w:t>Source</w:t>
      </w:r>
      <w:r w:rsidRPr="0021503D">
        <w:t>: State and Territory governments (unpublished); table 15A.196; 2013 Report, table 15.10, p. 15.83.</w:t>
      </w:r>
    </w:p>
    <w:p w:rsidR="007222B6" w:rsidRPr="0021503D" w:rsidRDefault="007222B6" w:rsidP="007222B6">
      <w:pPr>
        <w:pStyle w:val="BodyText"/>
      </w:pPr>
      <w:r w:rsidRPr="0021503D">
        <w:t>Nationally, 79 detainees were reported as injured in custody due to an assault in 2011</w:t>
      </w:r>
      <w:r w:rsidRPr="0021503D">
        <w:noBreakHyphen/>
        <w:t>12 (table 15.5). Proportions varied across jurisdictions.</w:t>
      </w:r>
    </w:p>
    <w:p w:rsidR="007222B6" w:rsidRPr="0021503D" w:rsidRDefault="007222B6" w:rsidP="007222B6">
      <w:pPr>
        <w:pStyle w:val="TableTitle"/>
        <w:rPr>
          <w:bCs/>
        </w:rPr>
      </w:pPr>
      <w:r w:rsidRPr="0021503D">
        <w:rPr>
          <w:b w:val="0"/>
        </w:rPr>
        <w:lastRenderedPageBreak/>
        <w:t xml:space="preserve">Table </w:t>
      </w:r>
      <w:r w:rsidR="009F41E6" w:rsidRPr="0021503D">
        <w:rPr>
          <w:b w:val="0"/>
        </w:rPr>
        <w:t>15.5</w:t>
      </w:r>
      <w:r w:rsidRPr="0021503D">
        <w:tab/>
        <w:t>N</w:t>
      </w:r>
      <w:r w:rsidRPr="0021503D">
        <w:rPr>
          <w:bCs/>
        </w:rPr>
        <w:t>umber and rate of detainees injured as a result of an assault, by Indigenous status, 2011-12</w:t>
      </w:r>
      <w:r w:rsidRPr="0021503D">
        <w:rPr>
          <w:rStyle w:val="NoteLabel"/>
          <w:b/>
        </w:rPr>
        <w:t>a, b</w:t>
      </w:r>
    </w:p>
    <w:tbl>
      <w:tblPr>
        <w:tblW w:w="5000" w:type="pct"/>
        <w:tblCellMar>
          <w:left w:w="0" w:type="dxa"/>
          <w:right w:w="0" w:type="dxa"/>
        </w:tblCellMar>
        <w:tblLook w:val="0000" w:firstRow="0" w:lastRow="0" w:firstColumn="0" w:lastColumn="0" w:noHBand="0" w:noVBand="0"/>
      </w:tblPr>
      <w:tblGrid>
        <w:gridCol w:w="2725"/>
        <w:gridCol w:w="758"/>
        <w:gridCol w:w="758"/>
        <w:gridCol w:w="758"/>
        <w:gridCol w:w="758"/>
        <w:gridCol w:w="758"/>
        <w:gridCol w:w="758"/>
        <w:gridCol w:w="758"/>
        <w:gridCol w:w="758"/>
      </w:tblGrid>
      <w:tr w:rsidR="007222B6" w:rsidRPr="0021503D" w:rsidTr="00372932">
        <w:tc>
          <w:tcPr>
            <w:tcW w:w="1550" w:type="pct"/>
            <w:tcBorders>
              <w:top w:val="single" w:sz="6" w:space="0" w:color="auto"/>
              <w:bottom w:val="single" w:sz="6" w:space="0" w:color="auto"/>
            </w:tcBorders>
          </w:tcPr>
          <w:p w:rsidR="007222B6" w:rsidRPr="0021503D" w:rsidRDefault="007222B6" w:rsidP="00372932">
            <w:pPr>
              <w:pStyle w:val="TableColumnHeading"/>
              <w:jc w:val="left"/>
            </w:pP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NSW</w:t>
            </w: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Vic</w:t>
            </w: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Qld</w:t>
            </w: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WA</w:t>
            </w: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SA</w:t>
            </w: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Tas</w:t>
            </w: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ACT</w:t>
            </w:r>
          </w:p>
        </w:tc>
        <w:tc>
          <w:tcPr>
            <w:tcW w:w="431"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NT</w:t>
            </w:r>
          </w:p>
        </w:tc>
      </w:tr>
      <w:tr w:rsidR="007222B6" w:rsidRPr="0021503D" w:rsidTr="00372932">
        <w:tc>
          <w:tcPr>
            <w:tcW w:w="1550" w:type="pct"/>
          </w:tcPr>
          <w:p w:rsidR="007222B6" w:rsidRPr="0021503D" w:rsidRDefault="007222B6" w:rsidP="00372932">
            <w:pPr>
              <w:pStyle w:val="TableBodyText"/>
              <w:jc w:val="left"/>
              <w:rPr>
                <w:b/>
              </w:rPr>
            </w:pPr>
            <w:r w:rsidRPr="0021503D">
              <w:rPr>
                <w:b/>
              </w:rPr>
              <w:t>Number of detainees injured as a result of an assault</w:t>
            </w: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r>
      <w:tr w:rsidR="007222B6" w:rsidRPr="0021503D" w:rsidTr="00372932">
        <w:tc>
          <w:tcPr>
            <w:tcW w:w="1550" w:type="pct"/>
          </w:tcPr>
          <w:p w:rsidR="007222B6" w:rsidRPr="0021503D" w:rsidRDefault="007222B6" w:rsidP="00372932">
            <w:pPr>
              <w:pStyle w:val="TableBodyText"/>
              <w:ind w:left="284"/>
              <w:jc w:val="left"/>
            </w:pPr>
            <w:r w:rsidRPr="0021503D">
              <w:t>Indigenous</w:t>
            </w:r>
          </w:p>
        </w:tc>
        <w:tc>
          <w:tcPr>
            <w:tcW w:w="431" w:type="pct"/>
            <w:vAlign w:val="center"/>
          </w:tcPr>
          <w:p w:rsidR="007222B6" w:rsidRPr="0021503D" w:rsidRDefault="007222B6" w:rsidP="00372932">
            <w:pPr>
              <w:pStyle w:val="TableBodyText"/>
            </w:pPr>
            <w:r w:rsidRPr="0021503D">
              <w:t xml:space="preserve">  5.0</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 xml:space="preserve">  10.0</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np</w:t>
            </w:r>
          </w:p>
        </w:tc>
        <w:tc>
          <w:tcPr>
            <w:tcW w:w="431" w:type="pct"/>
            <w:vAlign w:val="center"/>
          </w:tcPr>
          <w:p w:rsidR="007222B6" w:rsidRPr="0021503D" w:rsidRDefault="007222B6" w:rsidP="00372932">
            <w:pPr>
              <w:pStyle w:val="TableBodyText"/>
            </w:pPr>
            <w:r w:rsidRPr="0021503D">
              <w:t xml:space="preserve">  2.0</w:t>
            </w:r>
          </w:p>
        </w:tc>
        <w:tc>
          <w:tcPr>
            <w:tcW w:w="431" w:type="pct"/>
            <w:vAlign w:val="center"/>
          </w:tcPr>
          <w:p w:rsidR="007222B6" w:rsidRPr="0021503D" w:rsidRDefault="007222B6" w:rsidP="00372932">
            <w:pPr>
              <w:pStyle w:val="TableBodyText"/>
            </w:pPr>
            <w:r w:rsidRPr="0021503D">
              <w:t xml:space="preserve">  48.0</w:t>
            </w:r>
          </w:p>
        </w:tc>
      </w:tr>
      <w:tr w:rsidR="007222B6" w:rsidRPr="0021503D" w:rsidTr="00372932">
        <w:tc>
          <w:tcPr>
            <w:tcW w:w="1550" w:type="pct"/>
          </w:tcPr>
          <w:p w:rsidR="007222B6" w:rsidRPr="0021503D" w:rsidRDefault="007222B6" w:rsidP="00372932">
            <w:pPr>
              <w:pStyle w:val="TableBodyText"/>
              <w:ind w:left="284"/>
              <w:jc w:val="left"/>
            </w:pPr>
            <w:r w:rsidRPr="0021503D">
              <w:t>Non-Indigenous</w:t>
            </w:r>
          </w:p>
        </w:tc>
        <w:tc>
          <w:tcPr>
            <w:tcW w:w="431" w:type="pct"/>
            <w:vAlign w:val="center"/>
          </w:tcPr>
          <w:p w:rsidR="007222B6" w:rsidRPr="0021503D" w:rsidRDefault="007222B6" w:rsidP="00372932">
            <w:pPr>
              <w:pStyle w:val="TableBodyText"/>
            </w:pPr>
            <w:r w:rsidRPr="0021503D">
              <w:t xml:space="preserve">  7.0</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 xml:space="preserve">  6.0</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np</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r>
      <w:tr w:rsidR="007222B6" w:rsidRPr="0021503D" w:rsidTr="00372932">
        <w:tc>
          <w:tcPr>
            <w:tcW w:w="1550" w:type="pct"/>
          </w:tcPr>
          <w:p w:rsidR="007222B6" w:rsidRPr="0021503D" w:rsidRDefault="007222B6" w:rsidP="00372932">
            <w:pPr>
              <w:pStyle w:val="TableBodyText"/>
              <w:ind w:left="284"/>
              <w:jc w:val="left"/>
            </w:pPr>
            <w:r w:rsidRPr="0021503D">
              <w:t>Unknown</w:t>
            </w:r>
          </w:p>
        </w:tc>
        <w:tc>
          <w:tcPr>
            <w:tcW w:w="431" w:type="pct"/>
            <w:vAlign w:val="center"/>
          </w:tcPr>
          <w:p w:rsidR="007222B6" w:rsidRPr="0021503D" w:rsidRDefault="007222B6" w:rsidP="00372932">
            <w:pPr>
              <w:pStyle w:val="TableBodyText"/>
            </w:pPr>
            <w:r w:rsidRPr="0021503D">
              <w:t xml:space="preserve">  1.0</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r>
      <w:tr w:rsidR="007222B6" w:rsidRPr="0021503D" w:rsidTr="00372932">
        <w:tc>
          <w:tcPr>
            <w:tcW w:w="1550" w:type="pct"/>
          </w:tcPr>
          <w:p w:rsidR="007222B6" w:rsidRPr="0021503D" w:rsidRDefault="007222B6" w:rsidP="00372932">
            <w:pPr>
              <w:pStyle w:val="TableBodyText"/>
              <w:ind w:left="284"/>
              <w:jc w:val="left"/>
            </w:pPr>
            <w:r w:rsidRPr="0021503D">
              <w:t>Total</w:t>
            </w:r>
          </w:p>
        </w:tc>
        <w:tc>
          <w:tcPr>
            <w:tcW w:w="431" w:type="pct"/>
            <w:vAlign w:val="center"/>
          </w:tcPr>
          <w:p w:rsidR="007222B6" w:rsidRPr="0021503D" w:rsidRDefault="007222B6" w:rsidP="00372932">
            <w:pPr>
              <w:pStyle w:val="TableBodyText"/>
            </w:pPr>
            <w:r w:rsidRPr="0021503D">
              <w:t xml:space="preserve">  13.0</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 xml:space="preserve">  16.0</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np</w:t>
            </w:r>
          </w:p>
        </w:tc>
        <w:tc>
          <w:tcPr>
            <w:tcW w:w="431" w:type="pct"/>
            <w:vAlign w:val="center"/>
          </w:tcPr>
          <w:p w:rsidR="007222B6" w:rsidRPr="0021503D" w:rsidRDefault="007222B6" w:rsidP="00372932">
            <w:pPr>
              <w:pStyle w:val="TableBodyText"/>
            </w:pPr>
            <w:r w:rsidRPr="0021503D">
              <w:t xml:space="preserve">  2.0</w:t>
            </w:r>
          </w:p>
        </w:tc>
        <w:tc>
          <w:tcPr>
            <w:tcW w:w="431" w:type="pct"/>
            <w:vAlign w:val="center"/>
          </w:tcPr>
          <w:p w:rsidR="007222B6" w:rsidRPr="0021503D" w:rsidRDefault="007222B6" w:rsidP="00372932">
            <w:pPr>
              <w:pStyle w:val="TableBodyText"/>
            </w:pPr>
            <w:r w:rsidRPr="0021503D">
              <w:t xml:space="preserve">  48.0</w:t>
            </w:r>
          </w:p>
        </w:tc>
      </w:tr>
      <w:tr w:rsidR="007222B6" w:rsidRPr="0021503D" w:rsidTr="00372932">
        <w:tc>
          <w:tcPr>
            <w:tcW w:w="1550" w:type="pct"/>
          </w:tcPr>
          <w:p w:rsidR="007222B6" w:rsidRPr="0021503D" w:rsidRDefault="007222B6" w:rsidP="00372932">
            <w:pPr>
              <w:pStyle w:val="TableBodyText"/>
              <w:ind w:right="0"/>
              <w:jc w:val="left"/>
              <w:rPr>
                <w:b/>
              </w:rPr>
            </w:pPr>
            <w:r w:rsidRPr="0021503D">
              <w:rPr>
                <w:b/>
              </w:rPr>
              <w:t>Rate per 10 000 custody nights</w:t>
            </w: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c>
          <w:tcPr>
            <w:tcW w:w="431" w:type="pct"/>
            <w:vAlign w:val="center"/>
          </w:tcPr>
          <w:p w:rsidR="007222B6" w:rsidRPr="0021503D" w:rsidRDefault="007222B6" w:rsidP="00372932">
            <w:pPr>
              <w:pStyle w:val="TableBodyText"/>
            </w:pPr>
          </w:p>
        </w:tc>
      </w:tr>
      <w:tr w:rsidR="007222B6" w:rsidRPr="0021503D" w:rsidTr="00372932">
        <w:tc>
          <w:tcPr>
            <w:tcW w:w="1550" w:type="pct"/>
          </w:tcPr>
          <w:p w:rsidR="007222B6" w:rsidRPr="0021503D" w:rsidRDefault="007222B6" w:rsidP="00372932">
            <w:pPr>
              <w:pStyle w:val="TableBodyText"/>
              <w:ind w:left="284"/>
              <w:jc w:val="left"/>
            </w:pPr>
            <w:r w:rsidRPr="0021503D">
              <w:t>Indigenous</w:t>
            </w:r>
          </w:p>
        </w:tc>
        <w:tc>
          <w:tcPr>
            <w:tcW w:w="431" w:type="pct"/>
            <w:vAlign w:val="center"/>
          </w:tcPr>
          <w:p w:rsidR="007222B6" w:rsidRPr="0021503D" w:rsidRDefault="007222B6" w:rsidP="00372932">
            <w:pPr>
              <w:pStyle w:val="TableBodyText"/>
            </w:pPr>
            <w:r w:rsidRPr="0021503D">
              <w:t xml:space="preserve">  0.8</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 xml:space="preserve">  3.2</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np</w:t>
            </w:r>
          </w:p>
        </w:tc>
        <w:tc>
          <w:tcPr>
            <w:tcW w:w="431" w:type="pct"/>
            <w:vAlign w:val="center"/>
          </w:tcPr>
          <w:p w:rsidR="007222B6" w:rsidRPr="0021503D" w:rsidRDefault="007222B6" w:rsidP="00372932">
            <w:pPr>
              <w:pStyle w:val="TableBodyText"/>
            </w:pPr>
            <w:r w:rsidRPr="0021503D">
              <w:t xml:space="preserve">  6.5</w:t>
            </w:r>
          </w:p>
        </w:tc>
        <w:tc>
          <w:tcPr>
            <w:tcW w:w="431" w:type="pct"/>
            <w:vAlign w:val="center"/>
          </w:tcPr>
          <w:p w:rsidR="007222B6" w:rsidRPr="0021503D" w:rsidRDefault="007222B6" w:rsidP="00372932">
            <w:pPr>
              <w:pStyle w:val="TableBodyText"/>
            </w:pPr>
            <w:r w:rsidRPr="0021503D">
              <w:t xml:space="preserve">  35.5</w:t>
            </w:r>
          </w:p>
        </w:tc>
      </w:tr>
      <w:tr w:rsidR="007222B6" w:rsidRPr="0021503D" w:rsidTr="00372932">
        <w:tc>
          <w:tcPr>
            <w:tcW w:w="1550" w:type="pct"/>
          </w:tcPr>
          <w:p w:rsidR="007222B6" w:rsidRPr="0021503D" w:rsidRDefault="007222B6" w:rsidP="00372932">
            <w:pPr>
              <w:pStyle w:val="TableBodyText"/>
              <w:ind w:left="284"/>
              <w:jc w:val="left"/>
            </w:pPr>
            <w:r w:rsidRPr="0021503D">
              <w:t>Non-Indigenous</w:t>
            </w:r>
          </w:p>
        </w:tc>
        <w:tc>
          <w:tcPr>
            <w:tcW w:w="431" w:type="pct"/>
            <w:vAlign w:val="center"/>
          </w:tcPr>
          <w:p w:rsidR="007222B6" w:rsidRPr="0021503D" w:rsidRDefault="007222B6" w:rsidP="00372932">
            <w:pPr>
              <w:pStyle w:val="TableBodyText"/>
            </w:pPr>
            <w:r w:rsidRPr="0021503D">
              <w:t xml:space="preserve">  1.1</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 xml:space="preserve">  3.2</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np</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r>
      <w:tr w:rsidR="007222B6" w:rsidRPr="0021503D" w:rsidTr="00372932">
        <w:tc>
          <w:tcPr>
            <w:tcW w:w="1550" w:type="pct"/>
          </w:tcPr>
          <w:p w:rsidR="007222B6" w:rsidRPr="0021503D" w:rsidRDefault="007222B6" w:rsidP="00372932">
            <w:pPr>
              <w:pStyle w:val="TableBodyText"/>
              <w:ind w:left="284"/>
              <w:jc w:val="left"/>
            </w:pPr>
            <w:r w:rsidRPr="0021503D">
              <w:t>Unknown</w:t>
            </w:r>
          </w:p>
        </w:tc>
        <w:tc>
          <w:tcPr>
            <w:tcW w:w="431" w:type="pct"/>
            <w:vAlign w:val="center"/>
          </w:tcPr>
          <w:p w:rsidR="007222B6" w:rsidRPr="0021503D" w:rsidRDefault="007222B6" w:rsidP="00372932">
            <w:pPr>
              <w:pStyle w:val="TableBodyText"/>
            </w:pPr>
            <w:r w:rsidRPr="0021503D">
              <w:t xml:space="preserve">  4.2</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na</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c>
          <w:tcPr>
            <w:tcW w:w="431" w:type="pct"/>
            <w:vAlign w:val="center"/>
          </w:tcPr>
          <w:p w:rsidR="007222B6" w:rsidRPr="0021503D" w:rsidRDefault="007222B6" w:rsidP="00372932">
            <w:pPr>
              <w:pStyle w:val="TableBodyText"/>
            </w:pPr>
            <w:r w:rsidRPr="0021503D">
              <w:t>–</w:t>
            </w:r>
          </w:p>
        </w:tc>
      </w:tr>
      <w:tr w:rsidR="007222B6" w:rsidRPr="0021503D" w:rsidTr="00372932">
        <w:tc>
          <w:tcPr>
            <w:tcW w:w="1550" w:type="pct"/>
            <w:tcBorders>
              <w:bottom w:val="single" w:sz="4" w:space="0" w:color="auto"/>
            </w:tcBorders>
          </w:tcPr>
          <w:p w:rsidR="007222B6" w:rsidRPr="0021503D" w:rsidRDefault="007222B6" w:rsidP="00372932">
            <w:pPr>
              <w:pStyle w:val="TableBodyText"/>
              <w:ind w:left="284"/>
              <w:jc w:val="left"/>
            </w:pPr>
            <w:r w:rsidRPr="0021503D">
              <w:t>Total</w:t>
            </w:r>
          </w:p>
        </w:tc>
        <w:tc>
          <w:tcPr>
            <w:tcW w:w="431" w:type="pct"/>
            <w:tcBorders>
              <w:bottom w:val="single" w:sz="4" w:space="0" w:color="auto"/>
            </w:tcBorders>
            <w:vAlign w:val="center"/>
          </w:tcPr>
          <w:p w:rsidR="007222B6" w:rsidRPr="0021503D" w:rsidRDefault="007222B6" w:rsidP="00372932">
            <w:pPr>
              <w:pStyle w:val="TableBodyText"/>
            </w:pPr>
            <w:r w:rsidRPr="0021503D">
              <w:t xml:space="preserve">  1.0</w:t>
            </w:r>
          </w:p>
        </w:tc>
        <w:tc>
          <w:tcPr>
            <w:tcW w:w="431" w:type="pct"/>
            <w:tcBorders>
              <w:bottom w:val="single" w:sz="4" w:space="0" w:color="auto"/>
            </w:tcBorders>
            <w:vAlign w:val="center"/>
          </w:tcPr>
          <w:p w:rsidR="007222B6" w:rsidRPr="0021503D" w:rsidRDefault="007222B6" w:rsidP="00372932">
            <w:pPr>
              <w:pStyle w:val="TableBodyText"/>
            </w:pPr>
            <w:r w:rsidRPr="0021503D">
              <w:t>na</w:t>
            </w:r>
          </w:p>
        </w:tc>
        <w:tc>
          <w:tcPr>
            <w:tcW w:w="431" w:type="pct"/>
            <w:tcBorders>
              <w:bottom w:val="single" w:sz="4" w:space="0" w:color="auto"/>
            </w:tcBorders>
            <w:vAlign w:val="center"/>
          </w:tcPr>
          <w:p w:rsidR="007222B6" w:rsidRPr="0021503D" w:rsidRDefault="007222B6" w:rsidP="00372932">
            <w:pPr>
              <w:pStyle w:val="TableBodyText"/>
            </w:pPr>
            <w:r w:rsidRPr="0021503D">
              <w:t xml:space="preserve">  3.2</w:t>
            </w:r>
          </w:p>
        </w:tc>
        <w:tc>
          <w:tcPr>
            <w:tcW w:w="431" w:type="pct"/>
            <w:tcBorders>
              <w:bottom w:val="single" w:sz="4" w:space="0" w:color="auto"/>
            </w:tcBorders>
            <w:vAlign w:val="center"/>
          </w:tcPr>
          <w:p w:rsidR="007222B6" w:rsidRPr="0021503D" w:rsidRDefault="007222B6" w:rsidP="00372932">
            <w:pPr>
              <w:pStyle w:val="TableBodyText"/>
            </w:pPr>
            <w:r w:rsidRPr="0021503D">
              <w:t>na</w:t>
            </w:r>
          </w:p>
        </w:tc>
        <w:tc>
          <w:tcPr>
            <w:tcW w:w="431" w:type="pct"/>
            <w:tcBorders>
              <w:bottom w:val="single" w:sz="4" w:space="0" w:color="auto"/>
            </w:tcBorders>
            <w:vAlign w:val="center"/>
          </w:tcPr>
          <w:p w:rsidR="007222B6" w:rsidRPr="0021503D" w:rsidRDefault="007222B6" w:rsidP="00372932">
            <w:pPr>
              <w:pStyle w:val="TableBodyText"/>
            </w:pPr>
            <w:r w:rsidRPr="0021503D">
              <w:t>na</w:t>
            </w:r>
          </w:p>
        </w:tc>
        <w:tc>
          <w:tcPr>
            <w:tcW w:w="431" w:type="pct"/>
            <w:tcBorders>
              <w:bottom w:val="single" w:sz="4" w:space="0" w:color="auto"/>
            </w:tcBorders>
            <w:vAlign w:val="center"/>
          </w:tcPr>
          <w:p w:rsidR="007222B6" w:rsidRPr="0021503D" w:rsidRDefault="007222B6" w:rsidP="00372932">
            <w:pPr>
              <w:pStyle w:val="TableBodyText"/>
            </w:pPr>
            <w:r w:rsidRPr="0021503D">
              <w:t>np</w:t>
            </w:r>
          </w:p>
        </w:tc>
        <w:tc>
          <w:tcPr>
            <w:tcW w:w="431" w:type="pct"/>
            <w:tcBorders>
              <w:bottom w:val="single" w:sz="4" w:space="0" w:color="auto"/>
            </w:tcBorders>
            <w:vAlign w:val="center"/>
          </w:tcPr>
          <w:p w:rsidR="007222B6" w:rsidRPr="0021503D" w:rsidRDefault="007222B6" w:rsidP="00372932">
            <w:pPr>
              <w:pStyle w:val="TableBodyText"/>
            </w:pPr>
            <w:r w:rsidRPr="0021503D">
              <w:t xml:space="preserve">  2.4</w:t>
            </w:r>
          </w:p>
        </w:tc>
        <w:tc>
          <w:tcPr>
            <w:tcW w:w="431" w:type="pct"/>
            <w:tcBorders>
              <w:bottom w:val="single" w:sz="4" w:space="0" w:color="auto"/>
            </w:tcBorders>
            <w:vAlign w:val="center"/>
          </w:tcPr>
          <w:p w:rsidR="007222B6" w:rsidRPr="0021503D" w:rsidRDefault="007222B6" w:rsidP="00372932">
            <w:pPr>
              <w:pStyle w:val="TableBodyText"/>
            </w:pPr>
            <w:r w:rsidRPr="0021503D">
              <w:t xml:space="preserve">  34.7</w:t>
            </w:r>
          </w:p>
        </w:tc>
      </w:tr>
    </w:tbl>
    <w:p w:rsidR="007222B6" w:rsidRPr="0021503D" w:rsidRDefault="007222B6" w:rsidP="007222B6">
      <w:pPr>
        <w:pStyle w:val="Note"/>
      </w:pPr>
      <w:r w:rsidRPr="0021503D">
        <w:rPr>
          <w:rStyle w:val="NoteLabel"/>
        </w:rPr>
        <w:t xml:space="preserve">a </w:t>
      </w:r>
      <w:r w:rsidRPr="0021503D">
        <w:t xml:space="preserve">Data reported for this indicator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documented. </w:t>
      </w:r>
      <w:r w:rsidRPr="0021503D">
        <w:rPr>
          <w:rStyle w:val="NoteLabel"/>
        </w:rPr>
        <w:t>b</w:t>
      </w:r>
      <w:r w:rsidRPr="0021503D">
        <w:t xml:space="preserve"> Data were not available for Victoria, WA, and SA. </w:t>
      </w:r>
      <w:r w:rsidRPr="0021503D">
        <w:rPr>
          <w:b/>
        </w:rPr>
        <w:t>na</w:t>
      </w:r>
      <w:r w:rsidRPr="0021503D">
        <w:t xml:space="preserve"> Not available. </w:t>
      </w:r>
      <w:r w:rsidRPr="0021503D">
        <w:rPr>
          <w:b/>
        </w:rPr>
        <w:t xml:space="preserve">np </w:t>
      </w:r>
      <w:r w:rsidRPr="0021503D">
        <w:t>Not published. – Nil or rounded to zero.</w:t>
      </w:r>
    </w:p>
    <w:p w:rsidR="007222B6" w:rsidRPr="0021503D" w:rsidRDefault="007222B6" w:rsidP="007222B6">
      <w:pPr>
        <w:pStyle w:val="Source"/>
      </w:pPr>
      <w:r w:rsidRPr="0021503D">
        <w:rPr>
          <w:i/>
        </w:rPr>
        <w:t>Source</w:t>
      </w:r>
      <w:r w:rsidRPr="0021503D">
        <w:t>: State and Territory governments (unpublished); table 15A.197; 2013 Report, table 15.11, p. 15.84.</w:t>
      </w:r>
    </w:p>
    <w:p w:rsidR="007222B6" w:rsidRPr="0021503D" w:rsidRDefault="007222B6" w:rsidP="007222B6">
      <w:pPr>
        <w:pStyle w:val="BodyText"/>
        <w:rPr>
          <w:b/>
        </w:rPr>
      </w:pPr>
      <w:r w:rsidRPr="0021503D">
        <w:t>Nationally, 47 staff were reported as injured due to an assault while supervising detainees in 2011-12 (table 15.6). Proportions varied across jurisdictions.</w:t>
      </w:r>
    </w:p>
    <w:p w:rsidR="007222B6" w:rsidRPr="0021503D" w:rsidRDefault="007222B6" w:rsidP="007222B6">
      <w:pPr>
        <w:pStyle w:val="TableTitle"/>
        <w:rPr>
          <w:bCs/>
        </w:rPr>
      </w:pPr>
      <w:r w:rsidRPr="0021503D">
        <w:rPr>
          <w:b w:val="0"/>
        </w:rPr>
        <w:t xml:space="preserve">Table </w:t>
      </w:r>
      <w:r w:rsidR="009F41E6" w:rsidRPr="0021503D">
        <w:rPr>
          <w:b w:val="0"/>
        </w:rPr>
        <w:t>15.6</w:t>
      </w:r>
      <w:r w:rsidRPr="0021503D">
        <w:tab/>
        <w:t>N</w:t>
      </w:r>
      <w:r w:rsidRPr="0021503D">
        <w:rPr>
          <w:bCs/>
        </w:rPr>
        <w:t>umber and rate of staff injured as a result of an assault, by Indigenous status, 2011-12</w:t>
      </w:r>
      <w:r w:rsidRPr="0021503D">
        <w:rPr>
          <w:rStyle w:val="NoteLabel"/>
          <w:b/>
        </w:rPr>
        <w:t>a, b, c</w:t>
      </w:r>
    </w:p>
    <w:tbl>
      <w:tblPr>
        <w:tblW w:w="5000" w:type="pct"/>
        <w:tblLayout w:type="fixed"/>
        <w:tblCellMar>
          <w:left w:w="0" w:type="dxa"/>
          <w:right w:w="0" w:type="dxa"/>
        </w:tblCellMar>
        <w:tblLook w:val="0000" w:firstRow="0" w:lastRow="0" w:firstColumn="0" w:lastColumn="0" w:noHBand="0" w:noVBand="0"/>
      </w:tblPr>
      <w:tblGrid>
        <w:gridCol w:w="2996"/>
        <w:gridCol w:w="725"/>
        <w:gridCol w:w="724"/>
        <w:gridCol w:w="724"/>
        <w:gridCol w:w="724"/>
        <w:gridCol w:w="724"/>
        <w:gridCol w:w="724"/>
        <w:gridCol w:w="724"/>
        <w:gridCol w:w="724"/>
      </w:tblGrid>
      <w:tr w:rsidR="007222B6" w:rsidRPr="0021503D" w:rsidTr="00372932">
        <w:tc>
          <w:tcPr>
            <w:tcW w:w="1704" w:type="pct"/>
            <w:tcBorders>
              <w:top w:val="single" w:sz="6" w:space="0" w:color="auto"/>
              <w:bottom w:val="single" w:sz="6" w:space="0" w:color="auto"/>
            </w:tcBorders>
          </w:tcPr>
          <w:p w:rsidR="007222B6" w:rsidRPr="0021503D" w:rsidRDefault="007222B6" w:rsidP="00372932">
            <w:pPr>
              <w:pStyle w:val="TableColumnHeading"/>
              <w:jc w:val="left"/>
            </w:pPr>
          </w:p>
        </w:tc>
        <w:tc>
          <w:tcPr>
            <w:tcW w:w="412"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NSW</w:t>
            </w:r>
          </w:p>
        </w:tc>
        <w:tc>
          <w:tcPr>
            <w:tcW w:w="412"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Vic</w:t>
            </w:r>
          </w:p>
        </w:tc>
        <w:tc>
          <w:tcPr>
            <w:tcW w:w="412"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Qld</w:t>
            </w:r>
          </w:p>
        </w:tc>
        <w:tc>
          <w:tcPr>
            <w:tcW w:w="412"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WA</w:t>
            </w:r>
          </w:p>
        </w:tc>
        <w:tc>
          <w:tcPr>
            <w:tcW w:w="412"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SA</w:t>
            </w:r>
          </w:p>
        </w:tc>
        <w:tc>
          <w:tcPr>
            <w:tcW w:w="412"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Tas</w:t>
            </w:r>
          </w:p>
        </w:tc>
        <w:tc>
          <w:tcPr>
            <w:tcW w:w="412"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ACT</w:t>
            </w:r>
          </w:p>
        </w:tc>
        <w:tc>
          <w:tcPr>
            <w:tcW w:w="412" w:type="pct"/>
            <w:tcBorders>
              <w:top w:val="single" w:sz="6" w:space="0" w:color="auto"/>
              <w:bottom w:val="single" w:sz="6" w:space="0" w:color="auto"/>
            </w:tcBorders>
          </w:tcPr>
          <w:p w:rsidR="007222B6" w:rsidRPr="0021503D" w:rsidRDefault="007222B6" w:rsidP="00372932">
            <w:pPr>
              <w:pStyle w:val="TableColumnHeading"/>
              <w:rPr>
                <w:rStyle w:val="NoteLabel"/>
              </w:rPr>
            </w:pPr>
            <w:r w:rsidRPr="0021503D">
              <w:t>NT</w:t>
            </w:r>
          </w:p>
        </w:tc>
      </w:tr>
      <w:tr w:rsidR="007222B6" w:rsidRPr="0021503D" w:rsidTr="00372932">
        <w:tc>
          <w:tcPr>
            <w:tcW w:w="1704" w:type="pct"/>
          </w:tcPr>
          <w:p w:rsidR="007222B6" w:rsidRPr="0021503D" w:rsidRDefault="007222B6" w:rsidP="00372932">
            <w:pPr>
              <w:pStyle w:val="TableBodyText"/>
              <w:jc w:val="left"/>
              <w:rPr>
                <w:b/>
              </w:rPr>
            </w:pPr>
            <w:r w:rsidRPr="0021503D">
              <w:rPr>
                <w:b/>
              </w:rPr>
              <w:t>Number of staff injured as a result of an assault</w:t>
            </w:r>
          </w:p>
        </w:tc>
        <w:tc>
          <w:tcPr>
            <w:tcW w:w="412" w:type="pct"/>
            <w:vAlign w:val="center"/>
          </w:tcPr>
          <w:p w:rsidR="007222B6" w:rsidRPr="0021503D" w:rsidRDefault="007222B6" w:rsidP="00372932">
            <w:pPr>
              <w:pStyle w:val="TableBodyText"/>
            </w:pPr>
          </w:p>
        </w:tc>
        <w:tc>
          <w:tcPr>
            <w:tcW w:w="412" w:type="pct"/>
            <w:vAlign w:val="center"/>
          </w:tcPr>
          <w:p w:rsidR="007222B6" w:rsidRPr="0021503D" w:rsidRDefault="007222B6" w:rsidP="00372932">
            <w:pPr>
              <w:pStyle w:val="TableBodyText"/>
            </w:pPr>
          </w:p>
        </w:tc>
        <w:tc>
          <w:tcPr>
            <w:tcW w:w="412" w:type="pct"/>
            <w:vAlign w:val="center"/>
          </w:tcPr>
          <w:p w:rsidR="007222B6" w:rsidRPr="0021503D" w:rsidRDefault="007222B6" w:rsidP="00372932">
            <w:pPr>
              <w:pStyle w:val="TableBodyText"/>
            </w:pPr>
          </w:p>
        </w:tc>
        <w:tc>
          <w:tcPr>
            <w:tcW w:w="412" w:type="pct"/>
            <w:vAlign w:val="center"/>
          </w:tcPr>
          <w:p w:rsidR="007222B6" w:rsidRPr="0021503D" w:rsidRDefault="007222B6" w:rsidP="00372932">
            <w:pPr>
              <w:pStyle w:val="TableBodyText"/>
            </w:pPr>
          </w:p>
        </w:tc>
        <w:tc>
          <w:tcPr>
            <w:tcW w:w="412" w:type="pct"/>
            <w:vAlign w:val="center"/>
          </w:tcPr>
          <w:p w:rsidR="007222B6" w:rsidRPr="0021503D" w:rsidRDefault="007222B6" w:rsidP="00372932">
            <w:pPr>
              <w:pStyle w:val="TableBodyText"/>
            </w:pPr>
          </w:p>
        </w:tc>
        <w:tc>
          <w:tcPr>
            <w:tcW w:w="412" w:type="pct"/>
            <w:vAlign w:val="center"/>
          </w:tcPr>
          <w:p w:rsidR="007222B6" w:rsidRPr="0021503D" w:rsidRDefault="007222B6" w:rsidP="00372932">
            <w:pPr>
              <w:pStyle w:val="TableBodyText"/>
            </w:pPr>
          </w:p>
        </w:tc>
        <w:tc>
          <w:tcPr>
            <w:tcW w:w="412" w:type="pct"/>
            <w:vAlign w:val="center"/>
          </w:tcPr>
          <w:p w:rsidR="007222B6" w:rsidRPr="0021503D" w:rsidRDefault="007222B6" w:rsidP="00372932">
            <w:pPr>
              <w:pStyle w:val="TableBodyText"/>
            </w:pPr>
          </w:p>
        </w:tc>
        <w:tc>
          <w:tcPr>
            <w:tcW w:w="412" w:type="pct"/>
            <w:vAlign w:val="center"/>
          </w:tcPr>
          <w:p w:rsidR="007222B6" w:rsidRPr="0021503D" w:rsidRDefault="007222B6" w:rsidP="00372932">
            <w:pPr>
              <w:pStyle w:val="TableBodyText"/>
            </w:pPr>
          </w:p>
        </w:tc>
      </w:tr>
      <w:tr w:rsidR="007222B6" w:rsidRPr="0021503D" w:rsidTr="00372932">
        <w:tc>
          <w:tcPr>
            <w:tcW w:w="1704" w:type="pct"/>
          </w:tcPr>
          <w:p w:rsidR="007222B6" w:rsidRPr="0021503D" w:rsidRDefault="007222B6" w:rsidP="00372932">
            <w:pPr>
              <w:pStyle w:val="TableBodyText"/>
              <w:ind w:left="284"/>
              <w:jc w:val="left"/>
            </w:pPr>
            <w:r w:rsidRPr="0021503D">
              <w:t>Indigenous</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 xml:space="preserve">  8.0</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w:t>
            </w:r>
          </w:p>
        </w:tc>
        <w:tc>
          <w:tcPr>
            <w:tcW w:w="412" w:type="pct"/>
            <w:vAlign w:val="center"/>
          </w:tcPr>
          <w:p w:rsidR="007222B6" w:rsidRPr="0021503D" w:rsidRDefault="007222B6" w:rsidP="00372932">
            <w:pPr>
              <w:pStyle w:val="TableBodyText"/>
            </w:pPr>
            <w:r w:rsidRPr="0021503D">
              <w:t>–</w:t>
            </w:r>
          </w:p>
        </w:tc>
        <w:tc>
          <w:tcPr>
            <w:tcW w:w="412" w:type="pct"/>
            <w:vAlign w:val="center"/>
          </w:tcPr>
          <w:p w:rsidR="007222B6" w:rsidRPr="0021503D" w:rsidRDefault="007222B6" w:rsidP="00372932">
            <w:pPr>
              <w:pStyle w:val="TableBodyText"/>
            </w:pPr>
            <w:r w:rsidRPr="0021503D">
              <w:t>–</w:t>
            </w:r>
          </w:p>
        </w:tc>
      </w:tr>
      <w:tr w:rsidR="007222B6" w:rsidRPr="0021503D" w:rsidTr="00372932">
        <w:tc>
          <w:tcPr>
            <w:tcW w:w="1704" w:type="pct"/>
          </w:tcPr>
          <w:p w:rsidR="007222B6" w:rsidRPr="0021503D" w:rsidRDefault="007222B6" w:rsidP="00372932">
            <w:pPr>
              <w:pStyle w:val="TableBodyText"/>
              <w:ind w:left="284"/>
              <w:jc w:val="left"/>
            </w:pPr>
            <w:r w:rsidRPr="0021503D">
              <w:t>Non-Indigenous</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 xml:space="preserve">  18.0</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w:t>
            </w:r>
          </w:p>
        </w:tc>
        <w:tc>
          <w:tcPr>
            <w:tcW w:w="412" w:type="pct"/>
            <w:vAlign w:val="center"/>
          </w:tcPr>
          <w:p w:rsidR="007222B6" w:rsidRPr="0021503D" w:rsidRDefault="007222B6" w:rsidP="00372932">
            <w:pPr>
              <w:pStyle w:val="TableBodyText"/>
            </w:pPr>
            <w:r w:rsidRPr="0021503D">
              <w:t xml:space="preserve">  2.0</w:t>
            </w:r>
          </w:p>
        </w:tc>
        <w:tc>
          <w:tcPr>
            <w:tcW w:w="412" w:type="pct"/>
            <w:vAlign w:val="center"/>
          </w:tcPr>
          <w:p w:rsidR="007222B6" w:rsidRPr="0021503D" w:rsidRDefault="007222B6" w:rsidP="00372932">
            <w:pPr>
              <w:pStyle w:val="TableBodyText"/>
            </w:pPr>
            <w:r w:rsidRPr="0021503D">
              <w:t xml:space="preserve">  2.0</w:t>
            </w:r>
          </w:p>
        </w:tc>
      </w:tr>
      <w:tr w:rsidR="007222B6" w:rsidRPr="0021503D" w:rsidTr="00372932">
        <w:tc>
          <w:tcPr>
            <w:tcW w:w="1704" w:type="pct"/>
          </w:tcPr>
          <w:p w:rsidR="007222B6" w:rsidRPr="0021503D" w:rsidRDefault="007222B6" w:rsidP="00372932">
            <w:pPr>
              <w:pStyle w:val="TableBodyText"/>
              <w:ind w:left="284"/>
              <w:jc w:val="left"/>
            </w:pPr>
            <w:r w:rsidRPr="0021503D">
              <w:t>Unknown</w:t>
            </w:r>
          </w:p>
        </w:tc>
        <w:tc>
          <w:tcPr>
            <w:tcW w:w="412" w:type="pct"/>
            <w:vAlign w:val="center"/>
          </w:tcPr>
          <w:p w:rsidR="007222B6" w:rsidRPr="0021503D" w:rsidRDefault="007222B6" w:rsidP="00372932">
            <w:pPr>
              <w:pStyle w:val="TableBodyText"/>
            </w:pPr>
            <w:r w:rsidRPr="0021503D">
              <w:t xml:space="preserve">  17.0</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np</w:t>
            </w:r>
          </w:p>
        </w:tc>
        <w:tc>
          <w:tcPr>
            <w:tcW w:w="412" w:type="pct"/>
            <w:vAlign w:val="center"/>
          </w:tcPr>
          <w:p w:rsidR="007222B6" w:rsidRPr="0021503D" w:rsidRDefault="007222B6" w:rsidP="00372932">
            <w:pPr>
              <w:pStyle w:val="TableBodyText"/>
            </w:pPr>
            <w:r w:rsidRPr="0021503D">
              <w:t>–</w:t>
            </w:r>
          </w:p>
        </w:tc>
        <w:tc>
          <w:tcPr>
            <w:tcW w:w="412" w:type="pct"/>
            <w:vAlign w:val="center"/>
          </w:tcPr>
          <w:p w:rsidR="007222B6" w:rsidRPr="0021503D" w:rsidRDefault="007222B6" w:rsidP="00372932">
            <w:pPr>
              <w:pStyle w:val="TableBodyText"/>
            </w:pPr>
            <w:r w:rsidRPr="0021503D">
              <w:t>–</w:t>
            </w:r>
          </w:p>
        </w:tc>
      </w:tr>
      <w:tr w:rsidR="007222B6" w:rsidRPr="0021503D" w:rsidTr="00372932">
        <w:tc>
          <w:tcPr>
            <w:tcW w:w="1704" w:type="pct"/>
          </w:tcPr>
          <w:p w:rsidR="007222B6" w:rsidRPr="0021503D" w:rsidRDefault="007222B6" w:rsidP="00372932">
            <w:pPr>
              <w:pStyle w:val="TableBodyText"/>
              <w:ind w:left="284"/>
              <w:jc w:val="left"/>
            </w:pPr>
            <w:r w:rsidRPr="0021503D">
              <w:t>Total</w:t>
            </w:r>
          </w:p>
        </w:tc>
        <w:tc>
          <w:tcPr>
            <w:tcW w:w="412" w:type="pct"/>
            <w:vAlign w:val="center"/>
          </w:tcPr>
          <w:p w:rsidR="007222B6" w:rsidRPr="0021503D" w:rsidRDefault="007222B6" w:rsidP="00372932">
            <w:pPr>
              <w:pStyle w:val="TableBodyText"/>
            </w:pPr>
            <w:r w:rsidRPr="0021503D">
              <w:t xml:space="preserve">  17.0</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 xml:space="preserve">  26.0</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np</w:t>
            </w:r>
          </w:p>
        </w:tc>
        <w:tc>
          <w:tcPr>
            <w:tcW w:w="412" w:type="pct"/>
            <w:vAlign w:val="center"/>
          </w:tcPr>
          <w:p w:rsidR="007222B6" w:rsidRPr="0021503D" w:rsidRDefault="007222B6" w:rsidP="00372932">
            <w:pPr>
              <w:pStyle w:val="TableBodyText"/>
            </w:pPr>
            <w:r w:rsidRPr="0021503D">
              <w:t xml:space="preserve">  2.0</w:t>
            </w:r>
          </w:p>
        </w:tc>
        <w:tc>
          <w:tcPr>
            <w:tcW w:w="412" w:type="pct"/>
            <w:vAlign w:val="center"/>
          </w:tcPr>
          <w:p w:rsidR="007222B6" w:rsidRPr="0021503D" w:rsidRDefault="007222B6" w:rsidP="00372932">
            <w:pPr>
              <w:pStyle w:val="TableBodyText"/>
            </w:pPr>
            <w:r w:rsidRPr="0021503D">
              <w:t xml:space="preserve">  2.0</w:t>
            </w:r>
          </w:p>
        </w:tc>
      </w:tr>
      <w:tr w:rsidR="007222B6" w:rsidRPr="0021503D" w:rsidTr="00372932">
        <w:tc>
          <w:tcPr>
            <w:tcW w:w="1704" w:type="pct"/>
          </w:tcPr>
          <w:p w:rsidR="007222B6" w:rsidRPr="0021503D" w:rsidRDefault="007222B6" w:rsidP="00372932">
            <w:pPr>
              <w:pStyle w:val="TableBodyText"/>
              <w:ind w:right="0"/>
              <w:jc w:val="left"/>
              <w:rPr>
                <w:b/>
              </w:rPr>
            </w:pPr>
            <w:r w:rsidRPr="0021503D">
              <w:rPr>
                <w:b/>
              </w:rPr>
              <w:t>Rate per 10 000 custody nights</w:t>
            </w:r>
          </w:p>
        </w:tc>
        <w:tc>
          <w:tcPr>
            <w:tcW w:w="412" w:type="pct"/>
            <w:vAlign w:val="center"/>
          </w:tcPr>
          <w:p w:rsidR="007222B6" w:rsidRPr="0021503D" w:rsidRDefault="007222B6" w:rsidP="00372932">
            <w:pPr>
              <w:pStyle w:val="TableBodyText"/>
            </w:pPr>
          </w:p>
        </w:tc>
        <w:tc>
          <w:tcPr>
            <w:tcW w:w="412" w:type="pct"/>
            <w:vAlign w:val="center"/>
          </w:tcPr>
          <w:p w:rsidR="007222B6" w:rsidRPr="0021503D" w:rsidRDefault="007222B6" w:rsidP="00372932">
            <w:pPr>
              <w:pStyle w:val="TableBodyText"/>
            </w:pPr>
          </w:p>
        </w:tc>
        <w:tc>
          <w:tcPr>
            <w:tcW w:w="412" w:type="pct"/>
            <w:vAlign w:val="center"/>
          </w:tcPr>
          <w:p w:rsidR="007222B6" w:rsidRPr="0021503D" w:rsidRDefault="007222B6" w:rsidP="00372932">
            <w:pPr>
              <w:pStyle w:val="TableBodyText"/>
            </w:pPr>
          </w:p>
        </w:tc>
        <w:tc>
          <w:tcPr>
            <w:tcW w:w="412" w:type="pct"/>
            <w:vAlign w:val="center"/>
          </w:tcPr>
          <w:p w:rsidR="007222B6" w:rsidRPr="0021503D" w:rsidRDefault="007222B6" w:rsidP="00372932">
            <w:pPr>
              <w:pStyle w:val="TableBodyText"/>
            </w:pPr>
          </w:p>
        </w:tc>
        <w:tc>
          <w:tcPr>
            <w:tcW w:w="412" w:type="pct"/>
            <w:vAlign w:val="center"/>
          </w:tcPr>
          <w:p w:rsidR="007222B6" w:rsidRPr="0021503D" w:rsidRDefault="007222B6" w:rsidP="00372932">
            <w:pPr>
              <w:pStyle w:val="TableBodyText"/>
            </w:pPr>
          </w:p>
        </w:tc>
        <w:tc>
          <w:tcPr>
            <w:tcW w:w="412" w:type="pct"/>
            <w:vAlign w:val="center"/>
          </w:tcPr>
          <w:p w:rsidR="007222B6" w:rsidRPr="0021503D" w:rsidRDefault="007222B6" w:rsidP="00372932">
            <w:pPr>
              <w:pStyle w:val="TableBodyText"/>
            </w:pPr>
          </w:p>
        </w:tc>
        <w:tc>
          <w:tcPr>
            <w:tcW w:w="412" w:type="pct"/>
            <w:vAlign w:val="center"/>
          </w:tcPr>
          <w:p w:rsidR="007222B6" w:rsidRPr="0021503D" w:rsidRDefault="007222B6" w:rsidP="00372932">
            <w:pPr>
              <w:pStyle w:val="TableBodyText"/>
            </w:pPr>
          </w:p>
        </w:tc>
        <w:tc>
          <w:tcPr>
            <w:tcW w:w="412" w:type="pct"/>
            <w:vAlign w:val="center"/>
          </w:tcPr>
          <w:p w:rsidR="007222B6" w:rsidRPr="0021503D" w:rsidRDefault="007222B6" w:rsidP="00372932">
            <w:pPr>
              <w:pStyle w:val="TableBodyText"/>
            </w:pPr>
          </w:p>
        </w:tc>
      </w:tr>
      <w:tr w:rsidR="007222B6" w:rsidRPr="0021503D" w:rsidTr="00372932">
        <w:tc>
          <w:tcPr>
            <w:tcW w:w="1704" w:type="pct"/>
          </w:tcPr>
          <w:p w:rsidR="007222B6" w:rsidRPr="0021503D" w:rsidRDefault="007222B6" w:rsidP="00372932">
            <w:pPr>
              <w:pStyle w:val="TableBodyText"/>
              <w:ind w:left="284"/>
              <w:jc w:val="left"/>
            </w:pPr>
            <w:r w:rsidRPr="0021503D">
              <w:t>Indigenous</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 xml:space="preserve">  2.6</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w:t>
            </w:r>
          </w:p>
        </w:tc>
        <w:tc>
          <w:tcPr>
            <w:tcW w:w="412" w:type="pct"/>
            <w:vAlign w:val="center"/>
          </w:tcPr>
          <w:p w:rsidR="007222B6" w:rsidRPr="0021503D" w:rsidRDefault="007222B6" w:rsidP="00372932">
            <w:pPr>
              <w:pStyle w:val="TableBodyText"/>
            </w:pPr>
            <w:r w:rsidRPr="0021503D">
              <w:t>–</w:t>
            </w:r>
          </w:p>
        </w:tc>
        <w:tc>
          <w:tcPr>
            <w:tcW w:w="412" w:type="pct"/>
            <w:vAlign w:val="center"/>
          </w:tcPr>
          <w:p w:rsidR="007222B6" w:rsidRPr="0021503D" w:rsidRDefault="007222B6" w:rsidP="00372932">
            <w:pPr>
              <w:pStyle w:val="TableBodyText"/>
            </w:pPr>
            <w:r w:rsidRPr="0021503D">
              <w:t>–</w:t>
            </w:r>
          </w:p>
        </w:tc>
      </w:tr>
      <w:tr w:rsidR="007222B6" w:rsidRPr="0021503D" w:rsidTr="00372932">
        <w:tc>
          <w:tcPr>
            <w:tcW w:w="1704" w:type="pct"/>
          </w:tcPr>
          <w:p w:rsidR="007222B6" w:rsidRPr="0021503D" w:rsidRDefault="007222B6" w:rsidP="00372932">
            <w:pPr>
              <w:pStyle w:val="TableBodyText"/>
              <w:ind w:left="284"/>
              <w:jc w:val="left"/>
            </w:pPr>
            <w:r w:rsidRPr="0021503D">
              <w:t>Non-Indigenous</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 xml:space="preserve">  9.7</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w:t>
            </w:r>
          </w:p>
        </w:tc>
        <w:tc>
          <w:tcPr>
            <w:tcW w:w="412" w:type="pct"/>
            <w:vAlign w:val="center"/>
          </w:tcPr>
          <w:p w:rsidR="007222B6" w:rsidRPr="0021503D" w:rsidRDefault="007222B6" w:rsidP="00372932">
            <w:pPr>
              <w:pStyle w:val="TableBodyText"/>
            </w:pPr>
            <w:r w:rsidRPr="0021503D">
              <w:t xml:space="preserve">  3.8</w:t>
            </w:r>
          </w:p>
        </w:tc>
        <w:tc>
          <w:tcPr>
            <w:tcW w:w="412" w:type="pct"/>
            <w:vAlign w:val="center"/>
          </w:tcPr>
          <w:p w:rsidR="007222B6" w:rsidRPr="0021503D" w:rsidRDefault="007222B6" w:rsidP="00372932">
            <w:pPr>
              <w:pStyle w:val="TableBodyText"/>
            </w:pPr>
            <w:r w:rsidRPr="0021503D">
              <w:t xml:space="preserve">  66.0</w:t>
            </w:r>
          </w:p>
        </w:tc>
      </w:tr>
      <w:tr w:rsidR="007222B6" w:rsidRPr="0021503D" w:rsidTr="00372932">
        <w:tc>
          <w:tcPr>
            <w:tcW w:w="1704" w:type="pct"/>
          </w:tcPr>
          <w:p w:rsidR="007222B6" w:rsidRPr="0021503D" w:rsidRDefault="007222B6" w:rsidP="00372932">
            <w:pPr>
              <w:pStyle w:val="TableBodyText"/>
              <w:ind w:left="284"/>
              <w:jc w:val="left"/>
            </w:pPr>
            <w:r w:rsidRPr="0021503D">
              <w:t>Unknown</w:t>
            </w:r>
          </w:p>
        </w:tc>
        <w:tc>
          <w:tcPr>
            <w:tcW w:w="412" w:type="pct"/>
            <w:vAlign w:val="center"/>
          </w:tcPr>
          <w:p w:rsidR="007222B6" w:rsidRPr="0021503D" w:rsidRDefault="007222B6" w:rsidP="00372932">
            <w:pPr>
              <w:pStyle w:val="TableBodyText"/>
            </w:pPr>
            <w:r w:rsidRPr="0021503D">
              <w:t xml:space="preserve">  71.7</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na</w:t>
            </w:r>
          </w:p>
        </w:tc>
        <w:tc>
          <w:tcPr>
            <w:tcW w:w="412" w:type="pct"/>
            <w:vAlign w:val="center"/>
          </w:tcPr>
          <w:p w:rsidR="007222B6" w:rsidRPr="0021503D" w:rsidRDefault="007222B6" w:rsidP="00372932">
            <w:pPr>
              <w:pStyle w:val="TableBodyText"/>
            </w:pPr>
            <w:r w:rsidRPr="0021503D">
              <w:t>np</w:t>
            </w:r>
          </w:p>
        </w:tc>
        <w:tc>
          <w:tcPr>
            <w:tcW w:w="412" w:type="pct"/>
            <w:vAlign w:val="center"/>
          </w:tcPr>
          <w:p w:rsidR="007222B6" w:rsidRPr="0021503D" w:rsidRDefault="007222B6" w:rsidP="00372932">
            <w:pPr>
              <w:pStyle w:val="TableBodyText"/>
            </w:pPr>
            <w:r w:rsidRPr="0021503D">
              <w:t>–</w:t>
            </w:r>
          </w:p>
        </w:tc>
        <w:tc>
          <w:tcPr>
            <w:tcW w:w="412" w:type="pct"/>
            <w:vAlign w:val="center"/>
          </w:tcPr>
          <w:p w:rsidR="007222B6" w:rsidRPr="0021503D" w:rsidRDefault="007222B6" w:rsidP="00372932">
            <w:pPr>
              <w:pStyle w:val="TableBodyText"/>
            </w:pPr>
            <w:r w:rsidRPr="0021503D">
              <w:t>–</w:t>
            </w:r>
          </w:p>
        </w:tc>
      </w:tr>
      <w:tr w:rsidR="007222B6" w:rsidRPr="0021503D" w:rsidTr="00372932">
        <w:tc>
          <w:tcPr>
            <w:tcW w:w="1704" w:type="pct"/>
            <w:tcBorders>
              <w:bottom w:val="single" w:sz="4" w:space="0" w:color="auto"/>
            </w:tcBorders>
          </w:tcPr>
          <w:p w:rsidR="007222B6" w:rsidRPr="0021503D" w:rsidRDefault="007222B6" w:rsidP="00372932">
            <w:pPr>
              <w:pStyle w:val="TableBodyText"/>
              <w:ind w:left="284"/>
              <w:jc w:val="left"/>
            </w:pPr>
            <w:r w:rsidRPr="0021503D">
              <w:t>Total</w:t>
            </w:r>
          </w:p>
        </w:tc>
        <w:tc>
          <w:tcPr>
            <w:tcW w:w="412" w:type="pct"/>
            <w:tcBorders>
              <w:bottom w:val="single" w:sz="4" w:space="0" w:color="auto"/>
            </w:tcBorders>
            <w:vAlign w:val="center"/>
          </w:tcPr>
          <w:p w:rsidR="007222B6" w:rsidRPr="0021503D" w:rsidRDefault="007222B6" w:rsidP="00372932">
            <w:pPr>
              <w:pStyle w:val="TableBodyText"/>
            </w:pPr>
            <w:r w:rsidRPr="0021503D">
              <w:t xml:space="preserve">  1.3</w:t>
            </w:r>
          </w:p>
        </w:tc>
        <w:tc>
          <w:tcPr>
            <w:tcW w:w="412" w:type="pct"/>
            <w:tcBorders>
              <w:bottom w:val="single" w:sz="4" w:space="0" w:color="auto"/>
            </w:tcBorders>
            <w:vAlign w:val="center"/>
          </w:tcPr>
          <w:p w:rsidR="007222B6" w:rsidRPr="0021503D" w:rsidRDefault="007222B6" w:rsidP="00372932">
            <w:pPr>
              <w:pStyle w:val="TableBodyText"/>
            </w:pPr>
            <w:r w:rsidRPr="0021503D">
              <w:t>na</w:t>
            </w:r>
          </w:p>
        </w:tc>
        <w:tc>
          <w:tcPr>
            <w:tcW w:w="412" w:type="pct"/>
            <w:tcBorders>
              <w:bottom w:val="single" w:sz="4" w:space="0" w:color="auto"/>
            </w:tcBorders>
            <w:vAlign w:val="center"/>
          </w:tcPr>
          <w:p w:rsidR="007222B6" w:rsidRPr="0021503D" w:rsidRDefault="007222B6" w:rsidP="00372932">
            <w:pPr>
              <w:pStyle w:val="TableBodyText"/>
            </w:pPr>
            <w:r w:rsidRPr="0021503D">
              <w:t xml:space="preserve">  5.2</w:t>
            </w:r>
          </w:p>
        </w:tc>
        <w:tc>
          <w:tcPr>
            <w:tcW w:w="412" w:type="pct"/>
            <w:tcBorders>
              <w:bottom w:val="single" w:sz="4" w:space="0" w:color="auto"/>
            </w:tcBorders>
            <w:vAlign w:val="center"/>
          </w:tcPr>
          <w:p w:rsidR="007222B6" w:rsidRPr="0021503D" w:rsidRDefault="007222B6" w:rsidP="00372932">
            <w:pPr>
              <w:pStyle w:val="TableBodyText"/>
            </w:pPr>
            <w:r w:rsidRPr="0021503D">
              <w:t>na</w:t>
            </w:r>
          </w:p>
        </w:tc>
        <w:tc>
          <w:tcPr>
            <w:tcW w:w="412" w:type="pct"/>
            <w:tcBorders>
              <w:bottom w:val="single" w:sz="4" w:space="0" w:color="auto"/>
            </w:tcBorders>
            <w:vAlign w:val="center"/>
          </w:tcPr>
          <w:p w:rsidR="007222B6" w:rsidRPr="0021503D" w:rsidRDefault="007222B6" w:rsidP="00372932">
            <w:pPr>
              <w:pStyle w:val="TableBodyText"/>
            </w:pPr>
            <w:r w:rsidRPr="0021503D">
              <w:t>na</w:t>
            </w:r>
          </w:p>
        </w:tc>
        <w:tc>
          <w:tcPr>
            <w:tcW w:w="412" w:type="pct"/>
            <w:tcBorders>
              <w:bottom w:val="single" w:sz="4" w:space="0" w:color="auto"/>
            </w:tcBorders>
            <w:vAlign w:val="center"/>
          </w:tcPr>
          <w:p w:rsidR="007222B6" w:rsidRPr="0021503D" w:rsidRDefault="007222B6" w:rsidP="00372932">
            <w:pPr>
              <w:pStyle w:val="TableBodyText"/>
            </w:pPr>
            <w:r w:rsidRPr="0021503D">
              <w:t>np</w:t>
            </w:r>
          </w:p>
        </w:tc>
        <w:tc>
          <w:tcPr>
            <w:tcW w:w="412" w:type="pct"/>
            <w:tcBorders>
              <w:bottom w:val="single" w:sz="4" w:space="0" w:color="auto"/>
            </w:tcBorders>
            <w:vAlign w:val="center"/>
          </w:tcPr>
          <w:p w:rsidR="007222B6" w:rsidRPr="0021503D" w:rsidRDefault="007222B6" w:rsidP="00372932">
            <w:pPr>
              <w:pStyle w:val="TableBodyText"/>
            </w:pPr>
            <w:r w:rsidRPr="0021503D">
              <w:t xml:space="preserve">  2.4</w:t>
            </w:r>
          </w:p>
        </w:tc>
        <w:tc>
          <w:tcPr>
            <w:tcW w:w="412" w:type="pct"/>
            <w:tcBorders>
              <w:bottom w:val="single" w:sz="4" w:space="0" w:color="auto"/>
            </w:tcBorders>
            <w:vAlign w:val="center"/>
          </w:tcPr>
          <w:p w:rsidR="007222B6" w:rsidRPr="0021503D" w:rsidRDefault="007222B6" w:rsidP="00372932">
            <w:pPr>
              <w:pStyle w:val="TableBodyText"/>
            </w:pPr>
            <w:r w:rsidRPr="0021503D">
              <w:t xml:space="preserve">  1.4</w:t>
            </w:r>
          </w:p>
        </w:tc>
      </w:tr>
    </w:tbl>
    <w:p w:rsidR="007222B6" w:rsidRPr="0021503D" w:rsidRDefault="007222B6" w:rsidP="007222B6">
      <w:pPr>
        <w:pStyle w:val="Note"/>
      </w:pPr>
      <w:r w:rsidRPr="0021503D">
        <w:rPr>
          <w:rStyle w:val="NoteLabel"/>
        </w:rPr>
        <w:t xml:space="preserve">a </w:t>
      </w:r>
      <w:r w:rsidRPr="0021503D">
        <w:t xml:space="preserve">Data reported for this indicator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documented. </w:t>
      </w:r>
      <w:r w:rsidRPr="0021503D">
        <w:rPr>
          <w:rStyle w:val="NoteLabel"/>
        </w:rPr>
        <w:t>b</w:t>
      </w:r>
      <w:r w:rsidRPr="0021503D">
        <w:t xml:space="preserve"> Data report the Indigenous status of staff who were reported as injured due to an assault.</w:t>
      </w:r>
      <w:r w:rsidRPr="0021503D">
        <w:rPr>
          <w:rStyle w:val="NoteLabel"/>
        </w:rPr>
        <w:t xml:space="preserve"> c </w:t>
      </w:r>
      <w:r w:rsidRPr="0021503D">
        <w:t xml:space="preserve">Data were not available for Victoria, WA, and SA. </w:t>
      </w:r>
      <w:r w:rsidRPr="0021503D">
        <w:rPr>
          <w:b/>
        </w:rPr>
        <w:t>na</w:t>
      </w:r>
      <w:r w:rsidRPr="0021503D">
        <w:t xml:space="preserve"> Not available. </w:t>
      </w:r>
      <w:r w:rsidRPr="0021503D">
        <w:rPr>
          <w:b/>
        </w:rPr>
        <w:t>np</w:t>
      </w:r>
      <w:r w:rsidRPr="0021503D">
        <w:t xml:space="preserve"> Not published. – Nil or rounded to zero.</w:t>
      </w:r>
    </w:p>
    <w:p w:rsidR="007222B6" w:rsidRPr="0021503D" w:rsidRDefault="007222B6" w:rsidP="007222B6">
      <w:pPr>
        <w:pStyle w:val="Source"/>
      </w:pPr>
      <w:r w:rsidRPr="0021503D">
        <w:rPr>
          <w:i/>
        </w:rPr>
        <w:t>Source</w:t>
      </w:r>
      <w:r w:rsidRPr="0021503D">
        <w:t>: State and Territory governments (unpublished); table 15A.197; 2013 Report, table 15.12, p. 15.84.</w:t>
      </w:r>
    </w:p>
    <w:p w:rsidR="00AB1DAE" w:rsidRPr="0021503D" w:rsidRDefault="00AB1DAE" w:rsidP="00AB1DAE">
      <w:pPr>
        <w:keepNext/>
        <w:spacing w:before="480" w:line="320" w:lineRule="exact"/>
        <w:outlineLvl w:val="3"/>
        <w:rPr>
          <w:rFonts w:ascii="Arial" w:hAnsi="Arial"/>
          <w:i/>
          <w:sz w:val="24"/>
          <w:szCs w:val="20"/>
        </w:rPr>
      </w:pPr>
      <w:bookmarkStart w:id="130" w:name="_Toc320770837"/>
      <w:bookmarkStart w:id="131" w:name="_Toc348449380"/>
      <w:bookmarkStart w:id="132" w:name="_Toc348952927"/>
      <w:bookmarkStart w:id="133" w:name="_Toc351361368"/>
      <w:r w:rsidRPr="0021503D">
        <w:rPr>
          <w:rFonts w:ascii="Arial" w:hAnsi="Arial"/>
          <w:i/>
          <w:sz w:val="24"/>
          <w:szCs w:val="20"/>
        </w:rPr>
        <w:lastRenderedPageBreak/>
        <w:t>Safe and secure environment — self-harm and attempted suicide in custody</w:t>
      </w:r>
      <w:bookmarkEnd w:id="130"/>
      <w:bookmarkEnd w:id="131"/>
      <w:bookmarkEnd w:id="132"/>
      <w:bookmarkEnd w:id="133"/>
    </w:p>
    <w:p w:rsidR="00691800" w:rsidRPr="0021503D" w:rsidRDefault="00691800" w:rsidP="00691800">
      <w:pPr>
        <w:pStyle w:val="BodyText"/>
      </w:pPr>
      <w:r w:rsidRPr="0021503D">
        <w:t>‘Self-harm and attempted suicide in custody’ is an indicator of governments’ objective to provide a custodial environment that is safe and secure in order to rehabilitate young offenders and reintegrate them</w:t>
      </w:r>
      <w:r w:rsidR="009F41E6" w:rsidRPr="0021503D">
        <w:t xml:space="preserve"> into their community (box 15.11</w:t>
      </w:r>
      <w:r w:rsidRPr="0021503D">
        <w:t>).</w:t>
      </w:r>
    </w:p>
    <w:p w:rsidR="00D103EE" w:rsidRPr="0021503D" w:rsidRDefault="00D103EE" w:rsidP="00D103EE">
      <w:pPr>
        <w:pStyle w:val="BoxSpace"/>
      </w:pP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771"/>
      </w:tblGrid>
      <w:tr w:rsidR="00AB1DAE" w:rsidRPr="0021503D" w:rsidTr="006877C0">
        <w:tc>
          <w:tcPr>
            <w:tcW w:w="8771" w:type="dxa"/>
          </w:tcPr>
          <w:p w:rsidR="00AB1DAE" w:rsidRPr="0021503D" w:rsidRDefault="00691800" w:rsidP="009552F0">
            <w:pPr>
              <w:pStyle w:val="BoxTitle"/>
              <w:rPr>
                <w:b w:val="0"/>
              </w:rPr>
            </w:pPr>
            <w:r w:rsidRPr="0021503D">
              <w:rPr>
                <w:b w:val="0"/>
              </w:rPr>
              <w:t xml:space="preserve">Box </w:t>
            </w:r>
            <w:r w:rsidR="009F41E6" w:rsidRPr="0021503D">
              <w:rPr>
                <w:b w:val="0"/>
              </w:rPr>
              <w:t>15.11</w:t>
            </w:r>
            <w:r w:rsidRPr="0021503D">
              <w:rPr>
                <w:b w:val="0"/>
              </w:rPr>
              <w:tab/>
            </w:r>
            <w:r w:rsidRPr="0021503D">
              <w:t>Self-harm and attempted suicide in custody</w:t>
            </w:r>
          </w:p>
        </w:tc>
      </w:tr>
      <w:tr w:rsidR="00AB1DAE" w:rsidRPr="0021503D" w:rsidTr="006877C0">
        <w:trPr>
          <w:cantSplit/>
        </w:trPr>
        <w:tc>
          <w:tcPr>
            <w:tcW w:w="8771" w:type="dxa"/>
          </w:tcPr>
          <w:p w:rsidR="00691800" w:rsidRPr="0021503D" w:rsidRDefault="00691800" w:rsidP="00691800">
            <w:pPr>
              <w:keepNext/>
              <w:spacing w:before="120" w:line="280" w:lineRule="atLeast"/>
              <w:jc w:val="both"/>
              <w:rPr>
                <w:rFonts w:ascii="Arial" w:hAnsi="Arial"/>
                <w:sz w:val="22"/>
                <w:szCs w:val="20"/>
              </w:rPr>
            </w:pPr>
            <w:r w:rsidRPr="0021503D">
              <w:rPr>
                <w:rFonts w:ascii="Arial" w:hAnsi="Arial"/>
                <w:sz w:val="22"/>
                <w:szCs w:val="20"/>
              </w:rPr>
              <w:t>‘Self-harm and attempted suicide in custody’ is defined by four measures:</w:t>
            </w:r>
          </w:p>
          <w:p w:rsidR="00691800" w:rsidRPr="0021503D" w:rsidRDefault="00691800" w:rsidP="00691800">
            <w:pPr>
              <w:pStyle w:val="BoxListBullet"/>
              <w:numPr>
                <w:ilvl w:val="0"/>
                <w:numId w:val="17"/>
              </w:numPr>
            </w:pPr>
            <w:r w:rsidRPr="0021503D">
              <w:t>the number of incidents of self-harm or attempted suicide in custody requiring hospitalisation</w:t>
            </w:r>
          </w:p>
          <w:p w:rsidR="00691800" w:rsidRPr="0021503D" w:rsidRDefault="00691800" w:rsidP="00691800">
            <w:pPr>
              <w:pStyle w:val="BoxListBullet"/>
              <w:numPr>
                <w:ilvl w:val="0"/>
                <w:numId w:val="17"/>
              </w:numPr>
            </w:pPr>
            <w:r w:rsidRPr="0021503D">
              <w:t>the number of incidents of self-harm or attempted suicide in custody not requiring hospitalisation</w:t>
            </w:r>
          </w:p>
          <w:p w:rsidR="00691800" w:rsidRPr="0021503D" w:rsidRDefault="00691800" w:rsidP="00691800">
            <w:pPr>
              <w:pStyle w:val="BoxListBullet"/>
              <w:numPr>
                <w:ilvl w:val="0"/>
                <w:numId w:val="17"/>
              </w:numPr>
            </w:pPr>
            <w:r w:rsidRPr="0021503D">
              <w:t>the number of detainees who self-harmed or attempted suicide in custody requiring hospitalisation</w:t>
            </w:r>
          </w:p>
          <w:p w:rsidR="00691800" w:rsidRPr="0021503D" w:rsidRDefault="00691800" w:rsidP="00691800">
            <w:pPr>
              <w:pStyle w:val="BoxListBullet"/>
              <w:numPr>
                <w:ilvl w:val="0"/>
                <w:numId w:val="17"/>
              </w:numPr>
            </w:pPr>
            <w:r w:rsidRPr="0021503D">
              <w:t>the number of detainees who self-harmed or attempted suicide in custody not requiring hospitalisation.</w:t>
            </w:r>
          </w:p>
          <w:p w:rsidR="00691800" w:rsidRPr="0021503D" w:rsidRDefault="00691800" w:rsidP="00691800">
            <w:pPr>
              <w:pStyle w:val="Box"/>
            </w:pPr>
            <w:r w:rsidRPr="0021503D">
              <w:t>An incident of self-harm or attempted suicide is counted each time a young person self</w:t>
            </w:r>
            <w:r w:rsidRPr="0021503D">
              <w:noBreakHyphen/>
              <w:t>harms or attempts suicide. For example, if one young person self-harms or attempts suicide three times in a counting period, three incidents are recorded. Therefore, the number of incidents of self-harm or attempted suicide and the number of detainees who self-harm or attempt suicide will differ when one detainee has self</w:t>
            </w:r>
            <w:r w:rsidRPr="0021503D">
              <w:noBreakHyphen/>
              <w:t>harmed on two or more occasions, as each occasion will be counted as a separate incident.</w:t>
            </w:r>
          </w:p>
          <w:p w:rsidR="00691800" w:rsidRPr="0021503D" w:rsidRDefault="00691800" w:rsidP="00691800">
            <w:pPr>
              <w:pStyle w:val="Box"/>
            </w:pPr>
            <w:r w:rsidRPr="0021503D">
              <w:t>A zero, low, or decreasing self-harm and attempted suicide in custody rate is desirable.</w:t>
            </w:r>
          </w:p>
          <w:p w:rsidR="00691800" w:rsidRPr="0021503D" w:rsidRDefault="00691800" w:rsidP="00691800">
            <w:pPr>
              <w:pStyle w:val="Box"/>
            </w:pPr>
            <w:r w:rsidRPr="0021503D">
              <w:t>Data reported for this indicator are not complete.</w:t>
            </w:r>
          </w:p>
          <w:p w:rsidR="00AB1DAE" w:rsidRPr="0021503D" w:rsidRDefault="00691800" w:rsidP="00691800">
            <w:pPr>
              <w:pStyle w:val="Box"/>
            </w:pPr>
            <w:r w:rsidRPr="0021503D">
              <w:t>Data quality information for this indicator is at www.pc.gov.au/gsp/reports/rogs/2013.</w:t>
            </w:r>
          </w:p>
        </w:tc>
      </w:tr>
      <w:tr w:rsidR="00AB1DAE" w:rsidRPr="0021503D" w:rsidTr="006877C0">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single" w:sz="6" w:space="0" w:color="auto"/>
              <w:bottom w:val="single" w:sz="6" w:space="0" w:color="auto"/>
              <w:right w:val="single" w:sz="6" w:space="0" w:color="auto"/>
            </w:tcBorders>
          </w:tcPr>
          <w:p w:rsidR="00AB1DAE" w:rsidRPr="0021503D" w:rsidRDefault="00AB1DAE" w:rsidP="00AB1DAE">
            <w:pPr>
              <w:keepNext/>
              <w:spacing w:line="120" w:lineRule="exact"/>
              <w:jc w:val="both"/>
              <w:rPr>
                <w:rFonts w:ascii="Arial" w:hAnsi="Arial"/>
                <w:sz w:val="22"/>
                <w:szCs w:val="20"/>
              </w:rPr>
            </w:pPr>
          </w:p>
        </w:tc>
      </w:tr>
      <w:tr w:rsidR="00AB1DAE" w:rsidRPr="0021503D" w:rsidTr="006877C0">
        <w:tblPrEx>
          <w:tblBorders>
            <w:top w:val="single" w:sz="6" w:space="0" w:color="auto"/>
            <w:left w:val="single" w:sz="6" w:space="0" w:color="auto"/>
            <w:bottom w:val="single" w:sz="6" w:space="0" w:color="auto"/>
            <w:right w:val="single" w:sz="6" w:space="0" w:color="auto"/>
          </w:tblBorders>
        </w:tblPrEx>
        <w:tc>
          <w:tcPr>
            <w:tcW w:w="8771" w:type="dxa"/>
            <w:tcBorders>
              <w:top w:val="nil"/>
              <w:left w:val="nil"/>
              <w:bottom w:val="nil"/>
              <w:right w:val="nil"/>
            </w:tcBorders>
          </w:tcPr>
          <w:p w:rsidR="00AB1DAE" w:rsidRPr="0021503D" w:rsidRDefault="00AB1DAE" w:rsidP="00AB1DAE">
            <w:pPr>
              <w:spacing w:before="60" w:after="60" w:line="80" w:lineRule="exact"/>
              <w:jc w:val="both"/>
              <w:rPr>
                <w:rFonts w:ascii="Arial" w:hAnsi="Arial"/>
                <w:b/>
                <w:color w:val="FF00FF"/>
                <w:sz w:val="14"/>
                <w:szCs w:val="20"/>
              </w:rPr>
            </w:pPr>
          </w:p>
        </w:tc>
      </w:tr>
    </w:tbl>
    <w:p w:rsidR="008E24C8" w:rsidRPr="0021503D" w:rsidRDefault="008E24C8" w:rsidP="008E24C8">
      <w:pPr>
        <w:pStyle w:val="BodyText"/>
      </w:pPr>
      <w:r w:rsidRPr="0021503D">
        <w:t>Nationally, five detainees in five separate incidents were reported as having self</w:t>
      </w:r>
      <w:r w:rsidRPr="0021503D">
        <w:noBreakHyphen/>
        <w:t>harmed or attempted suicide in custody requiring hospitalisation in 2011-12. Proportions varied across jurisdictions (table 15.7).</w:t>
      </w:r>
    </w:p>
    <w:p w:rsidR="008E24C8" w:rsidRPr="0021503D" w:rsidRDefault="008E24C8" w:rsidP="008E24C8">
      <w:pPr>
        <w:pStyle w:val="TableTitle"/>
        <w:rPr>
          <w:bCs/>
        </w:rPr>
      </w:pPr>
      <w:r w:rsidRPr="0021503D">
        <w:rPr>
          <w:b w:val="0"/>
        </w:rPr>
        <w:lastRenderedPageBreak/>
        <w:t xml:space="preserve">Table </w:t>
      </w:r>
      <w:r w:rsidR="009F41E6" w:rsidRPr="0021503D">
        <w:rPr>
          <w:b w:val="0"/>
        </w:rPr>
        <w:t>15.7</w:t>
      </w:r>
      <w:r w:rsidRPr="0021503D">
        <w:tab/>
        <w:t>N</w:t>
      </w:r>
      <w:r w:rsidRPr="0021503D">
        <w:rPr>
          <w:bCs/>
        </w:rPr>
        <w:t>umber and rate of detainees who self-harmed or attempted suicide in custody requiring hospitalisation, by Indigenous status, 2011</w:t>
      </w:r>
      <w:r w:rsidRPr="0021503D">
        <w:rPr>
          <w:bCs/>
        </w:rPr>
        <w:noBreakHyphen/>
        <w:t>12</w:t>
      </w:r>
      <w:r w:rsidRPr="0021503D">
        <w:rPr>
          <w:rStyle w:val="NoteLabel"/>
          <w:b/>
        </w:rPr>
        <w:t>a, b</w:t>
      </w:r>
    </w:p>
    <w:tbl>
      <w:tblPr>
        <w:tblW w:w="5000" w:type="pct"/>
        <w:tblCellMar>
          <w:left w:w="0" w:type="dxa"/>
          <w:right w:w="0" w:type="dxa"/>
        </w:tblCellMar>
        <w:tblLook w:val="0000" w:firstRow="0" w:lastRow="0" w:firstColumn="0" w:lastColumn="0" w:noHBand="0" w:noVBand="0"/>
      </w:tblPr>
      <w:tblGrid>
        <w:gridCol w:w="3045"/>
        <w:gridCol w:w="717"/>
        <w:gridCol w:w="719"/>
        <w:gridCol w:w="717"/>
        <w:gridCol w:w="719"/>
        <w:gridCol w:w="717"/>
        <w:gridCol w:w="719"/>
        <w:gridCol w:w="717"/>
        <w:gridCol w:w="719"/>
      </w:tblGrid>
      <w:tr w:rsidR="008E24C8" w:rsidRPr="0021503D" w:rsidTr="00372932">
        <w:tc>
          <w:tcPr>
            <w:tcW w:w="1732" w:type="pct"/>
            <w:tcBorders>
              <w:top w:val="single" w:sz="6" w:space="0" w:color="auto"/>
              <w:bottom w:val="single" w:sz="6" w:space="0" w:color="auto"/>
            </w:tcBorders>
          </w:tcPr>
          <w:p w:rsidR="008E24C8" w:rsidRPr="0021503D" w:rsidRDefault="008E24C8" w:rsidP="00372932">
            <w:pPr>
              <w:pStyle w:val="TableColumnHeading"/>
              <w:jc w:val="left"/>
            </w:pPr>
          </w:p>
        </w:tc>
        <w:tc>
          <w:tcPr>
            <w:tcW w:w="408" w:type="pct"/>
            <w:tcBorders>
              <w:top w:val="single" w:sz="6" w:space="0" w:color="auto"/>
              <w:bottom w:val="single" w:sz="6" w:space="0" w:color="auto"/>
            </w:tcBorders>
          </w:tcPr>
          <w:p w:rsidR="008E24C8" w:rsidRPr="0021503D" w:rsidRDefault="008E24C8" w:rsidP="00372932">
            <w:pPr>
              <w:pStyle w:val="TableColumnHeading"/>
              <w:rPr>
                <w:rStyle w:val="NoteLabel"/>
              </w:rPr>
            </w:pPr>
            <w:r w:rsidRPr="0021503D">
              <w:t>NSW</w:t>
            </w:r>
          </w:p>
        </w:tc>
        <w:tc>
          <w:tcPr>
            <w:tcW w:w="409" w:type="pct"/>
            <w:tcBorders>
              <w:top w:val="single" w:sz="6" w:space="0" w:color="auto"/>
              <w:bottom w:val="single" w:sz="6" w:space="0" w:color="auto"/>
            </w:tcBorders>
          </w:tcPr>
          <w:p w:rsidR="008E24C8" w:rsidRPr="0021503D" w:rsidRDefault="008E24C8" w:rsidP="00372932">
            <w:pPr>
              <w:pStyle w:val="TableColumnHeading"/>
              <w:rPr>
                <w:rStyle w:val="NoteLabel"/>
              </w:rPr>
            </w:pPr>
            <w:r w:rsidRPr="0021503D">
              <w:t>Vic</w:t>
            </w:r>
          </w:p>
        </w:tc>
        <w:tc>
          <w:tcPr>
            <w:tcW w:w="408" w:type="pct"/>
            <w:tcBorders>
              <w:top w:val="single" w:sz="6" w:space="0" w:color="auto"/>
              <w:bottom w:val="single" w:sz="6" w:space="0" w:color="auto"/>
            </w:tcBorders>
          </w:tcPr>
          <w:p w:rsidR="008E24C8" w:rsidRPr="0021503D" w:rsidRDefault="008E24C8" w:rsidP="00372932">
            <w:pPr>
              <w:pStyle w:val="TableColumnHeading"/>
              <w:rPr>
                <w:rStyle w:val="NoteLabel"/>
              </w:rPr>
            </w:pPr>
            <w:r w:rsidRPr="0021503D">
              <w:t>Qld</w:t>
            </w:r>
          </w:p>
        </w:tc>
        <w:tc>
          <w:tcPr>
            <w:tcW w:w="409" w:type="pct"/>
            <w:tcBorders>
              <w:top w:val="single" w:sz="6" w:space="0" w:color="auto"/>
              <w:bottom w:val="single" w:sz="6" w:space="0" w:color="auto"/>
            </w:tcBorders>
          </w:tcPr>
          <w:p w:rsidR="008E24C8" w:rsidRPr="0021503D" w:rsidRDefault="008E24C8" w:rsidP="00372932">
            <w:pPr>
              <w:pStyle w:val="TableColumnHeading"/>
              <w:rPr>
                <w:rStyle w:val="NoteLabel"/>
              </w:rPr>
            </w:pPr>
            <w:r w:rsidRPr="0021503D">
              <w:t>WA</w:t>
            </w:r>
          </w:p>
        </w:tc>
        <w:tc>
          <w:tcPr>
            <w:tcW w:w="408" w:type="pct"/>
            <w:tcBorders>
              <w:top w:val="single" w:sz="6" w:space="0" w:color="auto"/>
              <w:bottom w:val="single" w:sz="6" w:space="0" w:color="auto"/>
            </w:tcBorders>
          </w:tcPr>
          <w:p w:rsidR="008E24C8" w:rsidRPr="0021503D" w:rsidRDefault="008E24C8" w:rsidP="00372932">
            <w:pPr>
              <w:pStyle w:val="TableColumnHeading"/>
              <w:rPr>
                <w:rStyle w:val="NoteLabel"/>
              </w:rPr>
            </w:pPr>
            <w:r w:rsidRPr="0021503D">
              <w:t>SA</w:t>
            </w:r>
          </w:p>
        </w:tc>
        <w:tc>
          <w:tcPr>
            <w:tcW w:w="409" w:type="pct"/>
            <w:tcBorders>
              <w:top w:val="single" w:sz="6" w:space="0" w:color="auto"/>
              <w:bottom w:val="single" w:sz="6" w:space="0" w:color="auto"/>
            </w:tcBorders>
          </w:tcPr>
          <w:p w:rsidR="008E24C8" w:rsidRPr="0021503D" w:rsidRDefault="008E24C8" w:rsidP="00372932">
            <w:pPr>
              <w:pStyle w:val="TableColumnHeading"/>
              <w:rPr>
                <w:rStyle w:val="NoteLabel"/>
              </w:rPr>
            </w:pPr>
            <w:r w:rsidRPr="0021503D">
              <w:t>Tas</w:t>
            </w:r>
          </w:p>
        </w:tc>
        <w:tc>
          <w:tcPr>
            <w:tcW w:w="408" w:type="pct"/>
            <w:tcBorders>
              <w:top w:val="single" w:sz="6" w:space="0" w:color="auto"/>
              <w:bottom w:val="single" w:sz="6" w:space="0" w:color="auto"/>
            </w:tcBorders>
          </w:tcPr>
          <w:p w:rsidR="008E24C8" w:rsidRPr="0021503D" w:rsidRDefault="008E24C8" w:rsidP="00372932">
            <w:pPr>
              <w:pStyle w:val="TableColumnHeading"/>
              <w:rPr>
                <w:rStyle w:val="NoteLabel"/>
              </w:rPr>
            </w:pPr>
            <w:r w:rsidRPr="0021503D">
              <w:t>ACT</w:t>
            </w:r>
          </w:p>
        </w:tc>
        <w:tc>
          <w:tcPr>
            <w:tcW w:w="409" w:type="pct"/>
            <w:tcBorders>
              <w:top w:val="single" w:sz="6" w:space="0" w:color="auto"/>
              <w:bottom w:val="single" w:sz="6" w:space="0" w:color="auto"/>
            </w:tcBorders>
          </w:tcPr>
          <w:p w:rsidR="008E24C8" w:rsidRPr="0021503D" w:rsidRDefault="008E24C8" w:rsidP="00372932">
            <w:pPr>
              <w:pStyle w:val="TableColumnHeading"/>
              <w:rPr>
                <w:rStyle w:val="NoteLabel"/>
              </w:rPr>
            </w:pPr>
            <w:r w:rsidRPr="0021503D">
              <w:t>NT</w:t>
            </w:r>
          </w:p>
        </w:tc>
      </w:tr>
      <w:tr w:rsidR="008E24C8" w:rsidRPr="0021503D" w:rsidTr="00372932">
        <w:tc>
          <w:tcPr>
            <w:tcW w:w="1732" w:type="pct"/>
          </w:tcPr>
          <w:p w:rsidR="008E24C8" w:rsidRPr="0021503D" w:rsidRDefault="008E24C8" w:rsidP="00372932">
            <w:pPr>
              <w:pStyle w:val="TableBodyText"/>
              <w:jc w:val="left"/>
              <w:rPr>
                <w:b/>
              </w:rPr>
            </w:pPr>
            <w:r w:rsidRPr="0021503D">
              <w:rPr>
                <w:b/>
              </w:rPr>
              <w:t>Number of detainees who self</w:t>
            </w:r>
            <w:r w:rsidRPr="0021503D">
              <w:rPr>
                <w:b/>
              </w:rPr>
              <w:noBreakHyphen/>
              <w:t>harmed or attempted suicide in custody requiring hospitalisation</w:t>
            </w:r>
          </w:p>
        </w:tc>
        <w:tc>
          <w:tcPr>
            <w:tcW w:w="408" w:type="pct"/>
            <w:vAlign w:val="center"/>
          </w:tcPr>
          <w:p w:rsidR="008E24C8" w:rsidRPr="0021503D" w:rsidRDefault="008E24C8" w:rsidP="00372932">
            <w:pPr>
              <w:pStyle w:val="TableBodyText"/>
            </w:pPr>
          </w:p>
        </w:tc>
        <w:tc>
          <w:tcPr>
            <w:tcW w:w="409" w:type="pct"/>
            <w:vAlign w:val="center"/>
          </w:tcPr>
          <w:p w:rsidR="008E24C8" w:rsidRPr="0021503D" w:rsidRDefault="008E24C8" w:rsidP="00372932">
            <w:pPr>
              <w:pStyle w:val="TableBodyText"/>
            </w:pPr>
          </w:p>
        </w:tc>
        <w:tc>
          <w:tcPr>
            <w:tcW w:w="408" w:type="pct"/>
            <w:vAlign w:val="center"/>
          </w:tcPr>
          <w:p w:rsidR="008E24C8" w:rsidRPr="0021503D" w:rsidRDefault="008E24C8" w:rsidP="00372932">
            <w:pPr>
              <w:pStyle w:val="TableBodyText"/>
            </w:pPr>
          </w:p>
        </w:tc>
        <w:tc>
          <w:tcPr>
            <w:tcW w:w="409" w:type="pct"/>
            <w:vAlign w:val="center"/>
          </w:tcPr>
          <w:p w:rsidR="008E24C8" w:rsidRPr="0021503D" w:rsidRDefault="008E24C8" w:rsidP="00372932">
            <w:pPr>
              <w:pStyle w:val="TableBodyText"/>
            </w:pPr>
          </w:p>
        </w:tc>
        <w:tc>
          <w:tcPr>
            <w:tcW w:w="408" w:type="pct"/>
            <w:vAlign w:val="center"/>
          </w:tcPr>
          <w:p w:rsidR="008E24C8" w:rsidRPr="0021503D" w:rsidRDefault="008E24C8" w:rsidP="00372932">
            <w:pPr>
              <w:pStyle w:val="TableBodyText"/>
            </w:pPr>
          </w:p>
        </w:tc>
        <w:tc>
          <w:tcPr>
            <w:tcW w:w="409" w:type="pct"/>
            <w:vAlign w:val="center"/>
          </w:tcPr>
          <w:p w:rsidR="008E24C8" w:rsidRPr="0021503D" w:rsidRDefault="008E24C8" w:rsidP="00372932">
            <w:pPr>
              <w:pStyle w:val="TableBodyText"/>
            </w:pPr>
          </w:p>
        </w:tc>
        <w:tc>
          <w:tcPr>
            <w:tcW w:w="408" w:type="pct"/>
            <w:vAlign w:val="center"/>
          </w:tcPr>
          <w:p w:rsidR="008E24C8" w:rsidRPr="0021503D" w:rsidRDefault="008E24C8" w:rsidP="00372932">
            <w:pPr>
              <w:pStyle w:val="TableBodyText"/>
            </w:pPr>
          </w:p>
        </w:tc>
        <w:tc>
          <w:tcPr>
            <w:tcW w:w="409" w:type="pct"/>
            <w:vAlign w:val="center"/>
          </w:tcPr>
          <w:p w:rsidR="008E24C8" w:rsidRPr="0021503D" w:rsidRDefault="008E24C8" w:rsidP="00372932">
            <w:pPr>
              <w:pStyle w:val="TableBodyText"/>
            </w:pPr>
          </w:p>
        </w:tc>
      </w:tr>
      <w:tr w:rsidR="008E24C8" w:rsidRPr="0021503D" w:rsidTr="00372932">
        <w:tc>
          <w:tcPr>
            <w:tcW w:w="1732" w:type="pct"/>
          </w:tcPr>
          <w:p w:rsidR="008E24C8" w:rsidRPr="0021503D" w:rsidRDefault="008E24C8" w:rsidP="00372932">
            <w:pPr>
              <w:pStyle w:val="TableBodyText"/>
              <w:ind w:left="284"/>
              <w:jc w:val="left"/>
            </w:pPr>
            <w:r w:rsidRPr="0021503D">
              <w:t>Indigenous</w:t>
            </w:r>
          </w:p>
        </w:tc>
        <w:tc>
          <w:tcPr>
            <w:tcW w:w="408" w:type="pct"/>
            <w:vAlign w:val="center"/>
          </w:tcPr>
          <w:p w:rsidR="008E24C8" w:rsidRPr="0021503D" w:rsidRDefault="008E24C8" w:rsidP="00372932">
            <w:pPr>
              <w:pStyle w:val="TableBodyText"/>
            </w:pPr>
            <w:r w:rsidRPr="0021503D">
              <w:t xml:space="preserve">  1.0</w:t>
            </w:r>
          </w:p>
        </w:tc>
        <w:tc>
          <w:tcPr>
            <w:tcW w:w="409" w:type="pct"/>
            <w:vAlign w:val="center"/>
          </w:tcPr>
          <w:p w:rsidR="008E24C8" w:rsidRPr="0021503D" w:rsidRDefault="008E24C8" w:rsidP="00372932">
            <w:pPr>
              <w:pStyle w:val="TableBodyText"/>
            </w:pPr>
            <w:r w:rsidRPr="0021503D">
              <w:t>–</w:t>
            </w:r>
          </w:p>
        </w:tc>
        <w:tc>
          <w:tcPr>
            <w:tcW w:w="408" w:type="pct"/>
            <w:vAlign w:val="center"/>
          </w:tcPr>
          <w:p w:rsidR="008E24C8" w:rsidRPr="0021503D" w:rsidRDefault="008E24C8" w:rsidP="00372932">
            <w:pPr>
              <w:pStyle w:val="TableBodyText"/>
            </w:pPr>
            <w:r w:rsidRPr="0021503D">
              <w:t>–</w:t>
            </w:r>
          </w:p>
        </w:tc>
        <w:tc>
          <w:tcPr>
            <w:tcW w:w="409" w:type="pct"/>
            <w:vAlign w:val="center"/>
          </w:tcPr>
          <w:p w:rsidR="008E24C8" w:rsidRPr="0021503D" w:rsidRDefault="008E24C8" w:rsidP="00372932">
            <w:pPr>
              <w:pStyle w:val="TableBodyText"/>
            </w:pPr>
            <w:r w:rsidRPr="0021503D">
              <w:t>na</w:t>
            </w:r>
          </w:p>
        </w:tc>
        <w:tc>
          <w:tcPr>
            <w:tcW w:w="408" w:type="pct"/>
            <w:vAlign w:val="center"/>
          </w:tcPr>
          <w:p w:rsidR="008E24C8" w:rsidRPr="0021503D" w:rsidRDefault="008E24C8" w:rsidP="00372932">
            <w:pPr>
              <w:pStyle w:val="TableBodyText"/>
            </w:pPr>
            <w:r w:rsidRPr="0021503D">
              <w:t>na</w:t>
            </w:r>
          </w:p>
        </w:tc>
        <w:tc>
          <w:tcPr>
            <w:tcW w:w="409" w:type="pct"/>
            <w:vAlign w:val="center"/>
          </w:tcPr>
          <w:p w:rsidR="008E24C8" w:rsidRPr="0021503D" w:rsidRDefault="008E24C8" w:rsidP="00372932">
            <w:pPr>
              <w:pStyle w:val="TableBodyText"/>
            </w:pPr>
            <w:r w:rsidRPr="0021503D">
              <w:t>–</w:t>
            </w:r>
          </w:p>
        </w:tc>
        <w:tc>
          <w:tcPr>
            <w:tcW w:w="408" w:type="pct"/>
            <w:vAlign w:val="center"/>
          </w:tcPr>
          <w:p w:rsidR="008E24C8" w:rsidRPr="0021503D" w:rsidRDefault="008E24C8" w:rsidP="00372932">
            <w:pPr>
              <w:pStyle w:val="TableBodyText"/>
            </w:pPr>
            <w:r w:rsidRPr="0021503D">
              <w:t>–</w:t>
            </w:r>
          </w:p>
        </w:tc>
        <w:tc>
          <w:tcPr>
            <w:tcW w:w="409" w:type="pct"/>
            <w:vAlign w:val="center"/>
          </w:tcPr>
          <w:p w:rsidR="008E24C8" w:rsidRPr="0021503D" w:rsidRDefault="008E24C8" w:rsidP="00372932">
            <w:pPr>
              <w:pStyle w:val="TableBodyText"/>
            </w:pPr>
            <w:r w:rsidRPr="0021503D">
              <w:t xml:space="preserve">  1.0</w:t>
            </w:r>
          </w:p>
        </w:tc>
      </w:tr>
      <w:tr w:rsidR="008E24C8" w:rsidRPr="0021503D" w:rsidTr="00372932">
        <w:tc>
          <w:tcPr>
            <w:tcW w:w="1732" w:type="pct"/>
          </w:tcPr>
          <w:p w:rsidR="008E24C8" w:rsidRPr="0021503D" w:rsidRDefault="008E24C8" w:rsidP="00372932">
            <w:pPr>
              <w:pStyle w:val="TableBodyText"/>
              <w:ind w:left="284"/>
              <w:jc w:val="left"/>
            </w:pPr>
            <w:r w:rsidRPr="0021503D">
              <w:t>Non-Indigenous</w:t>
            </w:r>
          </w:p>
        </w:tc>
        <w:tc>
          <w:tcPr>
            <w:tcW w:w="408" w:type="pct"/>
            <w:vAlign w:val="center"/>
          </w:tcPr>
          <w:p w:rsidR="008E24C8" w:rsidRPr="0021503D" w:rsidRDefault="008E24C8" w:rsidP="00372932">
            <w:pPr>
              <w:pStyle w:val="TableBodyText"/>
            </w:pPr>
            <w:r w:rsidRPr="0021503D">
              <w:t xml:space="preserve">  1.0</w:t>
            </w:r>
          </w:p>
        </w:tc>
        <w:tc>
          <w:tcPr>
            <w:tcW w:w="409" w:type="pct"/>
            <w:vAlign w:val="center"/>
          </w:tcPr>
          <w:p w:rsidR="008E24C8" w:rsidRPr="0021503D" w:rsidRDefault="008E24C8" w:rsidP="00372932">
            <w:pPr>
              <w:pStyle w:val="TableBodyText"/>
            </w:pPr>
            <w:r w:rsidRPr="0021503D">
              <w:t xml:space="preserve">  1.0</w:t>
            </w:r>
          </w:p>
        </w:tc>
        <w:tc>
          <w:tcPr>
            <w:tcW w:w="408" w:type="pct"/>
            <w:vAlign w:val="center"/>
          </w:tcPr>
          <w:p w:rsidR="008E24C8" w:rsidRPr="0021503D" w:rsidRDefault="008E24C8" w:rsidP="00372932">
            <w:pPr>
              <w:pStyle w:val="TableBodyText"/>
            </w:pPr>
            <w:r w:rsidRPr="0021503D">
              <w:t>–</w:t>
            </w:r>
          </w:p>
        </w:tc>
        <w:tc>
          <w:tcPr>
            <w:tcW w:w="409" w:type="pct"/>
            <w:vAlign w:val="center"/>
          </w:tcPr>
          <w:p w:rsidR="008E24C8" w:rsidRPr="0021503D" w:rsidRDefault="008E24C8" w:rsidP="00372932">
            <w:pPr>
              <w:pStyle w:val="TableBodyText"/>
            </w:pPr>
            <w:r w:rsidRPr="0021503D">
              <w:t>na</w:t>
            </w:r>
          </w:p>
        </w:tc>
        <w:tc>
          <w:tcPr>
            <w:tcW w:w="408" w:type="pct"/>
            <w:vAlign w:val="center"/>
          </w:tcPr>
          <w:p w:rsidR="008E24C8" w:rsidRPr="0021503D" w:rsidRDefault="008E24C8" w:rsidP="00372932">
            <w:pPr>
              <w:pStyle w:val="TableBodyText"/>
            </w:pPr>
            <w:r w:rsidRPr="0021503D">
              <w:t>na</w:t>
            </w:r>
          </w:p>
        </w:tc>
        <w:tc>
          <w:tcPr>
            <w:tcW w:w="409" w:type="pct"/>
            <w:vAlign w:val="center"/>
          </w:tcPr>
          <w:p w:rsidR="008E24C8" w:rsidRPr="0021503D" w:rsidRDefault="008E24C8" w:rsidP="00372932">
            <w:pPr>
              <w:pStyle w:val="TableBodyText"/>
            </w:pPr>
            <w:r w:rsidRPr="0021503D">
              <w:t>–</w:t>
            </w:r>
          </w:p>
        </w:tc>
        <w:tc>
          <w:tcPr>
            <w:tcW w:w="408" w:type="pct"/>
            <w:vAlign w:val="center"/>
          </w:tcPr>
          <w:p w:rsidR="008E24C8" w:rsidRPr="0021503D" w:rsidRDefault="008E24C8" w:rsidP="00372932">
            <w:pPr>
              <w:pStyle w:val="TableBodyText"/>
            </w:pPr>
            <w:r w:rsidRPr="0021503D">
              <w:t>–</w:t>
            </w:r>
          </w:p>
        </w:tc>
        <w:tc>
          <w:tcPr>
            <w:tcW w:w="409" w:type="pct"/>
            <w:vAlign w:val="center"/>
          </w:tcPr>
          <w:p w:rsidR="008E24C8" w:rsidRPr="0021503D" w:rsidRDefault="008E24C8" w:rsidP="00372932">
            <w:pPr>
              <w:pStyle w:val="TableBodyText"/>
            </w:pPr>
            <w:r w:rsidRPr="0021503D">
              <w:t>–</w:t>
            </w:r>
          </w:p>
        </w:tc>
      </w:tr>
      <w:tr w:rsidR="008E24C8" w:rsidRPr="0021503D" w:rsidTr="00372932">
        <w:tc>
          <w:tcPr>
            <w:tcW w:w="1732" w:type="pct"/>
          </w:tcPr>
          <w:p w:rsidR="008E24C8" w:rsidRPr="0021503D" w:rsidRDefault="008E24C8" w:rsidP="00372932">
            <w:pPr>
              <w:pStyle w:val="TableBodyText"/>
              <w:ind w:left="284"/>
              <w:jc w:val="left"/>
            </w:pPr>
            <w:r w:rsidRPr="0021503D">
              <w:t>Unknown</w:t>
            </w:r>
          </w:p>
        </w:tc>
        <w:tc>
          <w:tcPr>
            <w:tcW w:w="408" w:type="pct"/>
            <w:vAlign w:val="center"/>
          </w:tcPr>
          <w:p w:rsidR="008E24C8" w:rsidRPr="0021503D" w:rsidRDefault="008E24C8" w:rsidP="00372932">
            <w:pPr>
              <w:pStyle w:val="TableBodyText"/>
            </w:pPr>
            <w:r w:rsidRPr="0021503D">
              <w:t xml:space="preserve">  1.0</w:t>
            </w:r>
          </w:p>
        </w:tc>
        <w:tc>
          <w:tcPr>
            <w:tcW w:w="409" w:type="pct"/>
            <w:vAlign w:val="center"/>
          </w:tcPr>
          <w:p w:rsidR="008E24C8" w:rsidRPr="0021503D" w:rsidRDefault="008E24C8" w:rsidP="00372932">
            <w:pPr>
              <w:pStyle w:val="TableBodyText"/>
            </w:pPr>
            <w:r w:rsidRPr="0021503D">
              <w:t>na</w:t>
            </w:r>
          </w:p>
        </w:tc>
        <w:tc>
          <w:tcPr>
            <w:tcW w:w="408" w:type="pct"/>
            <w:vAlign w:val="center"/>
          </w:tcPr>
          <w:p w:rsidR="008E24C8" w:rsidRPr="0021503D" w:rsidRDefault="008E24C8" w:rsidP="00372932">
            <w:pPr>
              <w:pStyle w:val="TableBodyText"/>
            </w:pPr>
            <w:r w:rsidRPr="0021503D">
              <w:t>–</w:t>
            </w:r>
          </w:p>
        </w:tc>
        <w:tc>
          <w:tcPr>
            <w:tcW w:w="409" w:type="pct"/>
            <w:vAlign w:val="center"/>
          </w:tcPr>
          <w:p w:rsidR="008E24C8" w:rsidRPr="0021503D" w:rsidRDefault="008E24C8" w:rsidP="00372932">
            <w:pPr>
              <w:pStyle w:val="TableBodyText"/>
            </w:pPr>
            <w:r w:rsidRPr="0021503D">
              <w:t>na</w:t>
            </w:r>
          </w:p>
        </w:tc>
        <w:tc>
          <w:tcPr>
            <w:tcW w:w="408" w:type="pct"/>
            <w:vAlign w:val="center"/>
          </w:tcPr>
          <w:p w:rsidR="008E24C8" w:rsidRPr="0021503D" w:rsidRDefault="008E24C8" w:rsidP="00372932">
            <w:pPr>
              <w:pStyle w:val="TableBodyText"/>
            </w:pPr>
            <w:r w:rsidRPr="0021503D">
              <w:t>na</w:t>
            </w:r>
          </w:p>
        </w:tc>
        <w:tc>
          <w:tcPr>
            <w:tcW w:w="409" w:type="pct"/>
            <w:vAlign w:val="center"/>
          </w:tcPr>
          <w:p w:rsidR="008E24C8" w:rsidRPr="0021503D" w:rsidRDefault="008E24C8" w:rsidP="00372932">
            <w:pPr>
              <w:pStyle w:val="TableBodyText"/>
            </w:pPr>
            <w:r w:rsidRPr="0021503D">
              <w:t>–</w:t>
            </w:r>
          </w:p>
        </w:tc>
        <w:tc>
          <w:tcPr>
            <w:tcW w:w="408" w:type="pct"/>
            <w:vAlign w:val="center"/>
          </w:tcPr>
          <w:p w:rsidR="008E24C8" w:rsidRPr="0021503D" w:rsidRDefault="008E24C8" w:rsidP="00372932">
            <w:pPr>
              <w:pStyle w:val="TableBodyText"/>
            </w:pPr>
            <w:r w:rsidRPr="0021503D">
              <w:t>–</w:t>
            </w:r>
          </w:p>
        </w:tc>
        <w:tc>
          <w:tcPr>
            <w:tcW w:w="409" w:type="pct"/>
            <w:vAlign w:val="center"/>
          </w:tcPr>
          <w:p w:rsidR="008E24C8" w:rsidRPr="0021503D" w:rsidRDefault="008E24C8" w:rsidP="00372932">
            <w:pPr>
              <w:pStyle w:val="TableBodyText"/>
            </w:pPr>
            <w:r w:rsidRPr="0021503D">
              <w:t>–</w:t>
            </w:r>
          </w:p>
        </w:tc>
      </w:tr>
      <w:tr w:rsidR="008E24C8" w:rsidRPr="0021503D" w:rsidTr="00372932">
        <w:tc>
          <w:tcPr>
            <w:tcW w:w="1732" w:type="pct"/>
          </w:tcPr>
          <w:p w:rsidR="008E24C8" w:rsidRPr="0021503D" w:rsidRDefault="008E24C8" w:rsidP="00372932">
            <w:pPr>
              <w:pStyle w:val="TableBodyText"/>
              <w:ind w:left="284"/>
              <w:jc w:val="left"/>
            </w:pPr>
            <w:r w:rsidRPr="0021503D">
              <w:t>Total</w:t>
            </w:r>
          </w:p>
        </w:tc>
        <w:tc>
          <w:tcPr>
            <w:tcW w:w="408" w:type="pct"/>
            <w:vAlign w:val="center"/>
          </w:tcPr>
          <w:p w:rsidR="008E24C8" w:rsidRPr="0021503D" w:rsidRDefault="008E24C8" w:rsidP="00372932">
            <w:pPr>
              <w:pStyle w:val="TableBodyText"/>
            </w:pPr>
            <w:r w:rsidRPr="0021503D">
              <w:t xml:space="preserve">  3.0</w:t>
            </w:r>
          </w:p>
        </w:tc>
        <w:tc>
          <w:tcPr>
            <w:tcW w:w="409" w:type="pct"/>
            <w:vAlign w:val="center"/>
          </w:tcPr>
          <w:p w:rsidR="008E24C8" w:rsidRPr="0021503D" w:rsidRDefault="008E24C8" w:rsidP="00372932">
            <w:pPr>
              <w:pStyle w:val="TableBodyText"/>
            </w:pPr>
            <w:r w:rsidRPr="0021503D">
              <w:t xml:space="preserve">  1.0</w:t>
            </w:r>
          </w:p>
        </w:tc>
        <w:tc>
          <w:tcPr>
            <w:tcW w:w="408" w:type="pct"/>
            <w:vAlign w:val="center"/>
          </w:tcPr>
          <w:p w:rsidR="008E24C8" w:rsidRPr="0021503D" w:rsidRDefault="008E24C8" w:rsidP="00372932">
            <w:pPr>
              <w:pStyle w:val="TableBodyText"/>
            </w:pPr>
            <w:r w:rsidRPr="0021503D">
              <w:t>–</w:t>
            </w:r>
          </w:p>
        </w:tc>
        <w:tc>
          <w:tcPr>
            <w:tcW w:w="409" w:type="pct"/>
            <w:vAlign w:val="center"/>
          </w:tcPr>
          <w:p w:rsidR="008E24C8" w:rsidRPr="0021503D" w:rsidRDefault="008E24C8" w:rsidP="00372932">
            <w:pPr>
              <w:pStyle w:val="TableBodyText"/>
            </w:pPr>
            <w:r w:rsidRPr="0021503D">
              <w:t>na</w:t>
            </w:r>
          </w:p>
        </w:tc>
        <w:tc>
          <w:tcPr>
            <w:tcW w:w="408" w:type="pct"/>
            <w:vAlign w:val="center"/>
          </w:tcPr>
          <w:p w:rsidR="008E24C8" w:rsidRPr="0021503D" w:rsidRDefault="008E24C8" w:rsidP="00372932">
            <w:pPr>
              <w:pStyle w:val="TableBodyText"/>
            </w:pPr>
            <w:r w:rsidRPr="0021503D">
              <w:t>na</w:t>
            </w:r>
          </w:p>
        </w:tc>
        <w:tc>
          <w:tcPr>
            <w:tcW w:w="409" w:type="pct"/>
            <w:vAlign w:val="center"/>
          </w:tcPr>
          <w:p w:rsidR="008E24C8" w:rsidRPr="0021503D" w:rsidRDefault="008E24C8" w:rsidP="00372932">
            <w:pPr>
              <w:pStyle w:val="TableBodyText"/>
            </w:pPr>
            <w:r w:rsidRPr="0021503D">
              <w:t>–</w:t>
            </w:r>
          </w:p>
        </w:tc>
        <w:tc>
          <w:tcPr>
            <w:tcW w:w="408" w:type="pct"/>
            <w:vAlign w:val="center"/>
          </w:tcPr>
          <w:p w:rsidR="008E24C8" w:rsidRPr="0021503D" w:rsidRDefault="008E24C8" w:rsidP="00372932">
            <w:pPr>
              <w:pStyle w:val="TableBodyText"/>
            </w:pPr>
            <w:r w:rsidRPr="0021503D">
              <w:t>–</w:t>
            </w:r>
          </w:p>
        </w:tc>
        <w:tc>
          <w:tcPr>
            <w:tcW w:w="409" w:type="pct"/>
            <w:vAlign w:val="center"/>
          </w:tcPr>
          <w:p w:rsidR="008E24C8" w:rsidRPr="0021503D" w:rsidRDefault="008E24C8" w:rsidP="00372932">
            <w:pPr>
              <w:pStyle w:val="TableBodyText"/>
            </w:pPr>
            <w:r w:rsidRPr="0021503D">
              <w:t xml:space="preserve">  1.0</w:t>
            </w:r>
          </w:p>
        </w:tc>
      </w:tr>
      <w:tr w:rsidR="008E24C8" w:rsidRPr="0021503D" w:rsidTr="00372932">
        <w:tc>
          <w:tcPr>
            <w:tcW w:w="1732" w:type="pct"/>
          </w:tcPr>
          <w:p w:rsidR="008E24C8" w:rsidRPr="0021503D" w:rsidRDefault="008E24C8" w:rsidP="00372932">
            <w:pPr>
              <w:pStyle w:val="TableBodyText"/>
              <w:ind w:right="0"/>
              <w:jc w:val="left"/>
              <w:rPr>
                <w:b/>
              </w:rPr>
            </w:pPr>
            <w:r w:rsidRPr="0021503D">
              <w:rPr>
                <w:b/>
              </w:rPr>
              <w:t>Rate per 10 000 custody nights</w:t>
            </w:r>
          </w:p>
        </w:tc>
        <w:tc>
          <w:tcPr>
            <w:tcW w:w="408" w:type="pct"/>
            <w:vAlign w:val="center"/>
          </w:tcPr>
          <w:p w:rsidR="008E24C8" w:rsidRPr="0021503D" w:rsidRDefault="008E24C8" w:rsidP="00372932">
            <w:pPr>
              <w:pStyle w:val="TableBodyText"/>
            </w:pPr>
          </w:p>
        </w:tc>
        <w:tc>
          <w:tcPr>
            <w:tcW w:w="409" w:type="pct"/>
            <w:vAlign w:val="center"/>
          </w:tcPr>
          <w:p w:rsidR="008E24C8" w:rsidRPr="0021503D" w:rsidRDefault="008E24C8" w:rsidP="00372932">
            <w:pPr>
              <w:pStyle w:val="TableBodyText"/>
            </w:pPr>
          </w:p>
        </w:tc>
        <w:tc>
          <w:tcPr>
            <w:tcW w:w="408" w:type="pct"/>
            <w:vAlign w:val="center"/>
          </w:tcPr>
          <w:p w:rsidR="008E24C8" w:rsidRPr="0021503D" w:rsidRDefault="008E24C8" w:rsidP="00372932">
            <w:pPr>
              <w:pStyle w:val="TableBodyText"/>
            </w:pPr>
          </w:p>
        </w:tc>
        <w:tc>
          <w:tcPr>
            <w:tcW w:w="409" w:type="pct"/>
            <w:vAlign w:val="center"/>
          </w:tcPr>
          <w:p w:rsidR="008E24C8" w:rsidRPr="0021503D" w:rsidRDefault="008E24C8" w:rsidP="00372932">
            <w:pPr>
              <w:pStyle w:val="TableBodyText"/>
            </w:pPr>
          </w:p>
        </w:tc>
        <w:tc>
          <w:tcPr>
            <w:tcW w:w="408" w:type="pct"/>
            <w:vAlign w:val="center"/>
          </w:tcPr>
          <w:p w:rsidR="008E24C8" w:rsidRPr="0021503D" w:rsidRDefault="008E24C8" w:rsidP="00372932">
            <w:pPr>
              <w:pStyle w:val="TableBodyText"/>
            </w:pPr>
          </w:p>
        </w:tc>
        <w:tc>
          <w:tcPr>
            <w:tcW w:w="409" w:type="pct"/>
            <w:vAlign w:val="center"/>
          </w:tcPr>
          <w:p w:rsidR="008E24C8" w:rsidRPr="0021503D" w:rsidRDefault="008E24C8" w:rsidP="00372932">
            <w:pPr>
              <w:pStyle w:val="TableBodyText"/>
            </w:pPr>
          </w:p>
        </w:tc>
        <w:tc>
          <w:tcPr>
            <w:tcW w:w="408" w:type="pct"/>
            <w:vAlign w:val="center"/>
          </w:tcPr>
          <w:p w:rsidR="008E24C8" w:rsidRPr="0021503D" w:rsidRDefault="008E24C8" w:rsidP="00372932">
            <w:pPr>
              <w:pStyle w:val="TableBodyText"/>
            </w:pPr>
          </w:p>
        </w:tc>
        <w:tc>
          <w:tcPr>
            <w:tcW w:w="409" w:type="pct"/>
            <w:vAlign w:val="center"/>
          </w:tcPr>
          <w:p w:rsidR="008E24C8" w:rsidRPr="0021503D" w:rsidRDefault="008E24C8" w:rsidP="00372932">
            <w:pPr>
              <w:pStyle w:val="TableBodyText"/>
            </w:pPr>
          </w:p>
        </w:tc>
      </w:tr>
      <w:tr w:rsidR="008E24C8" w:rsidRPr="0021503D" w:rsidTr="00372932">
        <w:tc>
          <w:tcPr>
            <w:tcW w:w="1732" w:type="pct"/>
          </w:tcPr>
          <w:p w:rsidR="008E24C8" w:rsidRPr="0021503D" w:rsidRDefault="008E24C8" w:rsidP="00372932">
            <w:pPr>
              <w:pStyle w:val="TableBodyText"/>
              <w:ind w:left="284"/>
              <w:jc w:val="left"/>
            </w:pPr>
            <w:r w:rsidRPr="0021503D">
              <w:t>Indigenous</w:t>
            </w:r>
          </w:p>
        </w:tc>
        <w:tc>
          <w:tcPr>
            <w:tcW w:w="408" w:type="pct"/>
            <w:vAlign w:val="center"/>
          </w:tcPr>
          <w:p w:rsidR="008E24C8" w:rsidRPr="0021503D" w:rsidRDefault="008E24C8" w:rsidP="00372932">
            <w:pPr>
              <w:pStyle w:val="TableBodyText"/>
            </w:pPr>
            <w:r w:rsidRPr="0021503D">
              <w:t xml:space="preserve">  0.2</w:t>
            </w:r>
          </w:p>
        </w:tc>
        <w:tc>
          <w:tcPr>
            <w:tcW w:w="409" w:type="pct"/>
            <w:vAlign w:val="center"/>
          </w:tcPr>
          <w:p w:rsidR="008E24C8" w:rsidRPr="0021503D" w:rsidRDefault="008E24C8" w:rsidP="00372932">
            <w:pPr>
              <w:pStyle w:val="TableBodyText"/>
            </w:pPr>
            <w:r w:rsidRPr="0021503D">
              <w:t>–</w:t>
            </w:r>
          </w:p>
        </w:tc>
        <w:tc>
          <w:tcPr>
            <w:tcW w:w="408" w:type="pct"/>
            <w:vAlign w:val="center"/>
          </w:tcPr>
          <w:p w:rsidR="008E24C8" w:rsidRPr="0021503D" w:rsidRDefault="008E24C8" w:rsidP="00372932">
            <w:pPr>
              <w:pStyle w:val="TableBodyText"/>
            </w:pPr>
            <w:r w:rsidRPr="0021503D">
              <w:t>–</w:t>
            </w:r>
          </w:p>
        </w:tc>
        <w:tc>
          <w:tcPr>
            <w:tcW w:w="409" w:type="pct"/>
            <w:vAlign w:val="center"/>
          </w:tcPr>
          <w:p w:rsidR="008E24C8" w:rsidRPr="0021503D" w:rsidRDefault="008E24C8" w:rsidP="00372932">
            <w:pPr>
              <w:pStyle w:val="TableBodyText"/>
            </w:pPr>
            <w:r w:rsidRPr="0021503D">
              <w:t>na</w:t>
            </w:r>
          </w:p>
        </w:tc>
        <w:tc>
          <w:tcPr>
            <w:tcW w:w="408" w:type="pct"/>
            <w:vAlign w:val="center"/>
          </w:tcPr>
          <w:p w:rsidR="008E24C8" w:rsidRPr="0021503D" w:rsidRDefault="008E24C8" w:rsidP="00372932">
            <w:pPr>
              <w:pStyle w:val="TableBodyText"/>
            </w:pPr>
            <w:r w:rsidRPr="0021503D">
              <w:t>na</w:t>
            </w:r>
          </w:p>
        </w:tc>
        <w:tc>
          <w:tcPr>
            <w:tcW w:w="409" w:type="pct"/>
            <w:vAlign w:val="center"/>
          </w:tcPr>
          <w:p w:rsidR="008E24C8" w:rsidRPr="0021503D" w:rsidRDefault="008E24C8" w:rsidP="00372932">
            <w:pPr>
              <w:pStyle w:val="TableBodyText"/>
            </w:pPr>
            <w:r w:rsidRPr="0021503D">
              <w:t>–</w:t>
            </w:r>
          </w:p>
        </w:tc>
        <w:tc>
          <w:tcPr>
            <w:tcW w:w="408" w:type="pct"/>
            <w:vAlign w:val="center"/>
          </w:tcPr>
          <w:p w:rsidR="008E24C8" w:rsidRPr="0021503D" w:rsidRDefault="008E24C8" w:rsidP="00372932">
            <w:pPr>
              <w:pStyle w:val="TableBodyText"/>
            </w:pPr>
            <w:r w:rsidRPr="0021503D">
              <w:t>–</w:t>
            </w:r>
          </w:p>
        </w:tc>
        <w:tc>
          <w:tcPr>
            <w:tcW w:w="409" w:type="pct"/>
            <w:vAlign w:val="center"/>
          </w:tcPr>
          <w:p w:rsidR="008E24C8" w:rsidRPr="0021503D" w:rsidRDefault="008E24C8" w:rsidP="00372932">
            <w:pPr>
              <w:pStyle w:val="TableBodyText"/>
            </w:pPr>
            <w:r w:rsidRPr="0021503D">
              <w:t xml:space="preserve">  0.7</w:t>
            </w:r>
          </w:p>
        </w:tc>
      </w:tr>
      <w:tr w:rsidR="008E24C8" w:rsidRPr="0021503D" w:rsidTr="00372932">
        <w:tc>
          <w:tcPr>
            <w:tcW w:w="1732" w:type="pct"/>
          </w:tcPr>
          <w:p w:rsidR="008E24C8" w:rsidRPr="0021503D" w:rsidRDefault="008E24C8" w:rsidP="00372932">
            <w:pPr>
              <w:pStyle w:val="TableBodyText"/>
              <w:ind w:left="284"/>
              <w:jc w:val="left"/>
            </w:pPr>
            <w:r w:rsidRPr="0021503D">
              <w:t>Non-Indigenous</w:t>
            </w:r>
          </w:p>
        </w:tc>
        <w:tc>
          <w:tcPr>
            <w:tcW w:w="408" w:type="pct"/>
            <w:vAlign w:val="center"/>
          </w:tcPr>
          <w:p w:rsidR="008E24C8" w:rsidRPr="0021503D" w:rsidRDefault="008E24C8" w:rsidP="00372932">
            <w:pPr>
              <w:pStyle w:val="TableBodyText"/>
            </w:pPr>
            <w:r w:rsidRPr="0021503D">
              <w:t xml:space="preserve">  0.2</w:t>
            </w:r>
          </w:p>
        </w:tc>
        <w:tc>
          <w:tcPr>
            <w:tcW w:w="409" w:type="pct"/>
            <w:vAlign w:val="center"/>
          </w:tcPr>
          <w:p w:rsidR="008E24C8" w:rsidRPr="0021503D" w:rsidRDefault="008E24C8" w:rsidP="00372932">
            <w:pPr>
              <w:pStyle w:val="TableBodyText"/>
            </w:pPr>
            <w:r w:rsidRPr="0021503D">
              <w:t xml:space="preserve">  0.2</w:t>
            </w:r>
          </w:p>
        </w:tc>
        <w:tc>
          <w:tcPr>
            <w:tcW w:w="408" w:type="pct"/>
            <w:vAlign w:val="center"/>
          </w:tcPr>
          <w:p w:rsidR="008E24C8" w:rsidRPr="0021503D" w:rsidRDefault="008E24C8" w:rsidP="00372932">
            <w:pPr>
              <w:pStyle w:val="TableBodyText"/>
            </w:pPr>
            <w:r w:rsidRPr="0021503D">
              <w:t>–</w:t>
            </w:r>
          </w:p>
        </w:tc>
        <w:tc>
          <w:tcPr>
            <w:tcW w:w="409" w:type="pct"/>
            <w:vAlign w:val="center"/>
          </w:tcPr>
          <w:p w:rsidR="008E24C8" w:rsidRPr="0021503D" w:rsidRDefault="008E24C8" w:rsidP="00372932">
            <w:pPr>
              <w:pStyle w:val="TableBodyText"/>
            </w:pPr>
            <w:r w:rsidRPr="0021503D">
              <w:t>na</w:t>
            </w:r>
          </w:p>
        </w:tc>
        <w:tc>
          <w:tcPr>
            <w:tcW w:w="408" w:type="pct"/>
            <w:vAlign w:val="center"/>
          </w:tcPr>
          <w:p w:rsidR="008E24C8" w:rsidRPr="0021503D" w:rsidRDefault="008E24C8" w:rsidP="00372932">
            <w:pPr>
              <w:pStyle w:val="TableBodyText"/>
            </w:pPr>
            <w:r w:rsidRPr="0021503D">
              <w:t>na</w:t>
            </w:r>
          </w:p>
        </w:tc>
        <w:tc>
          <w:tcPr>
            <w:tcW w:w="409" w:type="pct"/>
            <w:vAlign w:val="center"/>
          </w:tcPr>
          <w:p w:rsidR="008E24C8" w:rsidRPr="0021503D" w:rsidRDefault="008E24C8" w:rsidP="00372932">
            <w:pPr>
              <w:pStyle w:val="TableBodyText"/>
            </w:pPr>
            <w:r w:rsidRPr="0021503D">
              <w:t>–</w:t>
            </w:r>
          </w:p>
        </w:tc>
        <w:tc>
          <w:tcPr>
            <w:tcW w:w="408" w:type="pct"/>
            <w:vAlign w:val="center"/>
          </w:tcPr>
          <w:p w:rsidR="008E24C8" w:rsidRPr="0021503D" w:rsidRDefault="008E24C8" w:rsidP="00372932">
            <w:pPr>
              <w:pStyle w:val="TableBodyText"/>
            </w:pPr>
            <w:r w:rsidRPr="0021503D">
              <w:t>–</w:t>
            </w:r>
          </w:p>
        </w:tc>
        <w:tc>
          <w:tcPr>
            <w:tcW w:w="409" w:type="pct"/>
            <w:vAlign w:val="center"/>
          </w:tcPr>
          <w:p w:rsidR="008E24C8" w:rsidRPr="0021503D" w:rsidRDefault="008E24C8" w:rsidP="00372932">
            <w:pPr>
              <w:pStyle w:val="TableBodyText"/>
            </w:pPr>
            <w:r w:rsidRPr="0021503D">
              <w:t>–</w:t>
            </w:r>
          </w:p>
        </w:tc>
      </w:tr>
      <w:tr w:rsidR="008E24C8" w:rsidRPr="0021503D" w:rsidTr="00372932">
        <w:tc>
          <w:tcPr>
            <w:tcW w:w="1732" w:type="pct"/>
          </w:tcPr>
          <w:p w:rsidR="008E24C8" w:rsidRPr="0021503D" w:rsidRDefault="008E24C8" w:rsidP="00372932">
            <w:pPr>
              <w:pStyle w:val="TableBodyText"/>
              <w:ind w:left="284"/>
              <w:jc w:val="left"/>
            </w:pPr>
            <w:r w:rsidRPr="0021503D">
              <w:t>Unknown</w:t>
            </w:r>
          </w:p>
        </w:tc>
        <w:tc>
          <w:tcPr>
            <w:tcW w:w="408" w:type="pct"/>
            <w:vAlign w:val="center"/>
          </w:tcPr>
          <w:p w:rsidR="008E24C8" w:rsidRPr="0021503D" w:rsidRDefault="008E24C8" w:rsidP="00372932">
            <w:pPr>
              <w:pStyle w:val="TableBodyText"/>
            </w:pPr>
            <w:r w:rsidRPr="0021503D">
              <w:t xml:space="preserve">  4.2</w:t>
            </w:r>
          </w:p>
        </w:tc>
        <w:tc>
          <w:tcPr>
            <w:tcW w:w="409" w:type="pct"/>
            <w:vAlign w:val="center"/>
          </w:tcPr>
          <w:p w:rsidR="008E24C8" w:rsidRPr="0021503D" w:rsidRDefault="008E24C8" w:rsidP="00372932">
            <w:pPr>
              <w:pStyle w:val="TableBodyText"/>
            </w:pPr>
            <w:r w:rsidRPr="0021503D">
              <w:t>na</w:t>
            </w:r>
          </w:p>
        </w:tc>
        <w:tc>
          <w:tcPr>
            <w:tcW w:w="408" w:type="pct"/>
            <w:vAlign w:val="center"/>
          </w:tcPr>
          <w:p w:rsidR="008E24C8" w:rsidRPr="0021503D" w:rsidRDefault="008E24C8" w:rsidP="00372932">
            <w:pPr>
              <w:pStyle w:val="TableBodyText"/>
            </w:pPr>
            <w:r w:rsidRPr="0021503D">
              <w:t>–</w:t>
            </w:r>
          </w:p>
        </w:tc>
        <w:tc>
          <w:tcPr>
            <w:tcW w:w="409" w:type="pct"/>
            <w:vAlign w:val="center"/>
          </w:tcPr>
          <w:p w:rsidR="008E24C8" w:rsidRPr="0021503D" w:rsidRDefault="008E24C8" w:rsidP="00372932">
            <w:pPr>
              <w:pStyle w:val="TableBodyText"/>
            </w:pPr>
            <w:r w:rsidRPr="0021503D">
              <w:t>na</w:t>
            </w:r>
          </w:p>
        </w:tc>
        <w:tc>
          <w:tcPr>
            <w:tcW w:w="408" w:type="pct"/>
            <w:vAlign w:val="center"/>
          </w:tcPr>
          <w:p w:rsidR="008E24C8" w:rsidRPr="0021503D" w:rsidRDefault="008E24C8" w:rsidP="00372932">
            <w:pPr>
              <w:pStyle w:val="TableBodyText"/>
            </w:pPr>
            <w:r w:rsidRPr="0021503D">
              <w:t>na</w:t>
            </w:r>
          </w:p>
        </w:tc>
        <w:tc>
          <w:tcPr>
            <w:tcW w:w="409" w:type="pct"/>
            <w:vAlign w:val="center"/>
          </w:tcPr>
          <w:p w:rsidR="008E24C8" w:rsidRPr="0021503D" w:rsidRDefault="008E24C8" w:rsidP="00372932">
            <w:pPr>
              <w:pStyle w:val="TableBodyText"/>
            </w:pPr>
            <w:r w:rsidRPr="0021503D">
              <w:t>–</w:t>
            </w:r>
          </w:p>
        </w:tc>
        <w:tc>
          <w:tcPr>
            <w:tcW w:w="408" w:type="pct"/>
            <w:vAlign w:val="center"/>
          </w:tcPr>
          <w:p w:rsidR="008E24C8" w:rsidRPr="0021503D" w:rsidRDefault="008E24C8" w:rsidP="00372932">
            <w:pPr>
              <w:pStyle w:val="TableBodyText"/>
            </w:pPr>
            <w:r w:rsidRPr="0021503D">
              <w:t>–</w:t>
            </w:r>
          </w:p>
        </w:tc>
        <w:tc>
          <w:tcPr>
            <w:tcW w:w="409" w:type="pct"/>
            <w:vAlign w:val="center"/>
          </w:tcPr>
          <w:p w:rsidR="008E24C8" w:rsidRPr="0021503D" w:rsidRDefault="008E24C8" w:rsidP="00372932">
            <w:pPr>
              <w:pStyle w:val="TableBodyText"/>
            </w:pPr>
            <w:r w:rsidRPr="0021503D">
              <w:t>–</w:t>
            </w:r>
          </w:p>
        </w:tc>
      </w:tr>
      <w:tr w:rsidR="008E24C8" w:rsidRPr="0021503D" w:rsidTr="00372932">
        <w:tc>
          <w:tcPr>
            <w:tcW w:w="1732" w:type="pct"/>
            <w:tcBorders>
              <w:bottom w:val="single" w:sz="4" w:space="0" w:color="auto"/>
            </w:tcBorders>
          </w:tcPr>
          <w:p w:rsidR="008E24C8" w:rsidRPr="0021503D" w:rsidRDefault="008E24C8" w:rsidP="00372932">
            <w:pPr>
              <w:pStyle w:val="TableBodyText"/>
              <w:ind w:left="284"/>
              <w:jc w:val="left"/>
            </w:pPr>
            <w:r w:rsidRPr="0021503D">
              <w:t>Total</w:t>
            </w:r>
          </w:p>
        </w:tc>
        <w:tc>
          <w:tcPr>
            <w:tcW w:w="408" w:type="pct"/>
            <w:tcBorders>
              <w:bottom w:val="single" w:sz="4" w:space="0" w:color="auto"/>
            </w:tcBorders>
            <w:vAlign w:val="center"/>
          </w:tcPr>
          <w:p w:rsidR="008E24C8" w:rsidRPr="0021503D" w:rsidRDefault="008E24C8" w:rsidP="00372932">
            <w:pPr>
              <w:pStyle w:val="TableBodyText"/>
            </w:pPr>
            <w:r w:rsidRPr="0021503D">
              <w:t xml:space="preserve">  0.2</w:t>
            </w:r>
          </w:p>
        </w:tc>
        <w:tc>
          <w:tcPr>
            <w:tcW w:w="409" w:type="pct"/>
            <w:tcBorders>
              <w:bottom w:val="single" w:sz="4" w:space="0" w:color="auto"/>
            </w:tcBorders>
            <w:vAlign w:val="center"/>
          </w:tcPr>
          <w:p w:rsidR="008E24C8" w:rsidRPr="0021503D" w:rsidRDefault="008E24C8" w:rsidP="00372932">
            <w:pPr>
              <w:pStyle w:val="TableBodyText"/>
            </w:pPr>
            <w:r w:rsidRPr="0021503D">
              <w:t xml:space="preserve">  0.2</w:t>
            </w:r>
          </w:p>
        </w:tc>
        <w:tc>
          <w:tcPr>
            <w:tcW w:w="408" w:type="pct"/>
            <w:tcBorders>
              <w:bottom w:val="single" w:sz="4" w:space="0" w:color="auto"/>
            </w:tcBorders>
            <w:vAlign w:val="center"/>
          </w:tcPr>
          <w:p w:rsidR="008E24C8" w:rsidRPr="0021503D" w:rsidRDefault="008E24C8" w:rsidP="00372932">
            <w:pPr>
              <w:pStyle w:val="TableBodyText"/>
            </w:pPr>
            <w:r w:rsidRPr="0021503D">
              <w:t>–</w:t>
            </w:r>
          </w:p>
        </w:tc>
        <w:tc>
          <w:tcPr>
            <w:tcW w:w="409" w:type="pct"/>
            <w:tcBorders>
              <w:bottom w:val="single" w:sz="4" w:space="0" w:color="auto"/>
            </w:tcBorders>
            <w:vAlign w:val="center"/>
          </w:tcPr>
          <w:p w:rsidR="008E24C8" w:rsidRPr="0021503D" w:rsidRDefault="008E24C8" w:rsidP="00372932">
            <w:pPr>
              <w:pStyle w:val="TableBodyText"/>
            </w:pPr>
            <w:r w:rsidRPr="0021503D">
              <w:t>na</w:t>
            </w:r>
          </w:p>
        </w:tc>
        <w:tc>
          <w:tcPr>
            <w:tcW w:w="408" w:type="pct"/>
            <w:tcBorders>
              <w:bottom w:val="single" w:sz="4" w:space="0" w:color="auto"/>
            </w:tcBorders>
            <w:vAlign w:val="center"/>
          </w:tcPr>
          <w:p w:rsidR="008E24C8" w:rsidRPr="0021503D" w:rsidRDefault="008E24C8" w:rsidP="00372932">
            <w:pPr>
              <w:pStyle w:val="TableBodyText"/>
            </w:pPr>
            <w:r w:rsidRPr="0021503D">
              <w:t>na</w:t>
            </w:r>
          </w:p>
        </w:tc>
        <w:tc>
          <w:tcPr>
            <w:tcW w:w="409" w:type="pct"/>
            <w:tcBorders>
              <w:bottom w:val="single" w:sz="4" w:space="0" w:color="auto"/>
            </w:tcBorders>
            <w:vAlign w:val="center"/>
          </w:tcPr>
          <w:p w:rsidR="008E24C8" w:rsidRPr="0021503D" w:rsidRDefault="008E24C8" w:rsidP="00372932">
            <w:pPr>
              <w:pStyle w:val="TableBodyText"/>
            </w:pPr>
            <w:r w:rsidRPr="0021503D">
              <w:t>–</w:t>
            </w:r>
          </w:p>
        </w:tc>
        <w:tc>
          <w:tcPr>
            <w:tcW w:w="408" w:type="pct"/>
            <w:tcBorders>
              <w:bottom w:val="single" w:sz="4" w:space="0" w:color="auto"/>
            </w:tcBorders>
            <w:vAlign w:val="center"/>
          </w:tcPr>
          <w:p w:rsidR="008E24C8" w:rsidRPr="0021503D" w:rsidRDefault="008E24C8" w:rsidP="00372932">
            <w:pPr>
              <w:pStyle w:val="TableBodyText"/>
            </w:pPr>
            <w:r w:rsidRPr="0021503D">
              <w:t>–</w:t>
            </w:r>
          </w:p>
        </w:tc>
        <w:tc>
          <w:tcPr>
            <w:tcW w:w="409" w:type="pct"/>
            <w:tcBorders>
              <w:bottom w:val="single" w:sz="4" w:space="0" w:color="auto"/>
            </w:tcBorders>
            <w:vAlign w:val="center"/>
          </w:tcPr>
          <w:p w:rsidR="008E24C8" w:rsidRPr="0021503D" w:rsidRDefault="008E24C8" w:rsidP="00372932">
            <w:pPr>
              <w:pStyle w:val="TableBodyText"/>
            </w:pPr>
            <w:r w:rsidRPr="0021503D">
              <w:t xml:space="preserve">  0.7</w:t>
            </w:r>
          </w:p>
        </w:tc>
      </w:tr>
    </w:tbl>
    <w:p w:rsidR="008E24C8" w:rsidRPr="0021503D" w:rsidRDefault="008E24C8" w:rsidP="008E24C8">
      <w:pPr>
        <w:pStyle w:val="Note"/>
      </w:pPr>
      <w:r w:rsidRPr="0021503D">
        <w:rPr>
          <w:rStyle w:val="NoteLabel"/>
        </w:rPr>
        <w:t xml:space="preserve">a </w:t>
      </w:r>
      <w:r w:rsidRPr="0021503D">
        <w:t xml:space="preserve">Data were not available for WA and SA. </w:t>
      </w:r>
      <w:r w:rsidRPr="0021503D">
        <w:rPr>
          <w:rStyle w:val="NoteLabel"/>
        </w:rPr>
        <w:t>b</w:t>
      </w:r>
      <w:r w:rsidRPr="0021503D">
        <w:t xml:space="preserve"> Refer to table 15A.198 for detailed footnotes. </w:t>
      </w:r>
      <w:r w:rsidRPr="0021503D">
        <w:rPr>
          <w:b/>
        </w:rPr>
        <w:t>na</w:t>
      </w:r>
      <w:r w:rsidRPr="0021503D">
        <w:t xml:space="preserve"> Not available. </w:t>
      </w:r>
      <w:r w:rsidRPr="0021503D">
        <w:br/>
      </w:r>
      <w:r w:rsidRPr="0021503D">
        <w:noBreakHyphen/>
        <w:t xml:space="preserve"> Nil or rounded to zero. </w:t>
      </w:r>
    </w:p>
    <w:p w:rsidR="008E24C8" w:rsidRPr="0021503D" w:rsidRDefault="008E24C8" w:rsidP="008E24C8">
      <w:pPr>
        <w:pStyle w:val="Source"/>
      </w:pPr>
      <w:r w:rsidRPr="0021503D">
        <w:rPr>
          <w:i/>
        </w:rPr>
        <w:t>Source</w:t>
      </w:r>
      <w:r w:rsidRPr="0021503D">
        <w:t>: State and Territory governments (unpublished); table 15A.198; 2013 Report, table 15.13, p. 15.86.</w:t>
      </w:r>
    </w:p>
    <w:p w:rsidR="00AE07E6" w:rsidRPr="0021503D" w:rsidRDefault="00AE07E6" w:rsidP="00AE07E6">
      <w:pPr>
        <w:pStyle w:val="BodyText"/>
      </w:pPr>
      <w:r w:rsidRPr="0021503D">
        <w:t>Nationally, 49 detainees were reported as having self-harmed or attempted suicide in 65 separate incidents during 2011-12, none of which required hospitalisation (tables 15.8 and 15</w:t>
      </w:r>
      <w:r w:rsidR="009552F0" w:rsidRPr="0021503D">
        <w:t>.</w:t>
      </w:r>
      <w:r w:rsidRPr="0021503D">
        <w:t>9). Proportions varied across jurisdictions.</w:t>
      </w:r>
    </w:p>
    <w:p w:rsidR="00AE07E6" w:rsidRPr="0021503D" w:rsidRDefault="00AE07E6" w:rsidP="00AE07E6">
      <w:pPr>
        <w:pStyle w:val="TableTitle"/>
        <w:rPr>
          <w:bCs/>
        </w:rPr>
      </w:pPr>
      <w:r w:rsidRPr="0021503D">
        <w:rPr>
          <w:b w:val="0"/>
        </w:rPr>
        <w:lastRenderedPageBreak/>
        <w:t xml:space="preserve">Table </w:t>
      </w:r>
      <w:r w:rsidR="009F41E6" w:rsidRPr="0021503D">
        <w:rPr>
          <w:b w:val="0"/>
        </w:rPr>
        <w:t>15.8</w:t>
      </w:r>
      <w:r w:rsidRPr="0021503D">
        <w:tab/>
        <w:t>N</w:t>
      </w:r>
      <w:r w:rsidRPr="0021503D">
        <w:rPr>
          <w:bCs/>
        </w:rPr>
        <w:t xml:space="preserve">umber and rate of detainees who self-harmed or attempted suicide in custody </w:t>
      </w:r>
      <w:r w:rsidRPr="0021503D">
        <w:rPr>
          <w:bCs/>
          <w:u w:val="single"/>
        </w:rPr>
        <w:t>not</w:t>
      </w:r>
      <w:r w:rsidRPr="0021503D">
        <w:rPr>
          <w:bCs/>
        </w:rPr>
        <w:t xml:space="preserve"> requiring hospitalisation, by Indigenous status, 2011</w:t>
      </w:r>
      <w:r w:rsidRPr="0021503D">
        <w:rPr>
          <w:bCs/>
        </w:rPr>
        <w:noBreakHyphen/>
        <w:t>12</w:t>
      </w:r>
      <w:r w:rsidRPr="0021503D">
        <w:rPr>
          <w:rStyle w:val="NoteLabel"/>
          <w:b/>
        </w:rPr>
        <w:t>a, b</w:t>
      </w:r>
    </w:p>
    <w:tbl>
      <w:tblPr>
        <w:tblW w:w="5000" w:type="pct"/>
        <w:tblLayout w:type="fixed"/>
        <w:tblCellMar>
          <w:left w:w="0" w:type="dxa"/>
          <w:right w:w="0" w:type="dxa"/>
        </w:tblCellMar>
        <w:tblLook w:val="0000" w:firstRow="0" w:lastRow="0" w:firstColumn="0" w:lastColumn="0" w:noHBand="0" w:noVBand="0"/>
      </w:tblPr>
      <w:tblGrid>
        <w:gridCol w:w="3119"/>
        <w:gridCol w:w="709"/>
        <w:gridCol w:w="709"/>
        <w:gridCol w:w="708"/>
        <w:gridCol w:w="710"/>
        <w:gridCol w:w="708"/>
        <w:gridCol w:w="708"/>
        <w:gridCol w:w="708"/>
        <w:gridCol w:w="710"/>
      </w:tblGrid>
      <w:tr w:rsidR="00AE07E6" w:rsidRPr="0021503D" w:rsidTr="00372932">
        <w:tc>
          <w:tcPr>
            <w:tcW w:w="1774" w:type="pct"/>
            <w:tcBorders>
              <w:top w:val="single" w:sz="6" w:space="0" w:color="auto"/>
              <w:bottom w:val="single" w:sz="6" w:space="0" w:color="auto"/>
            </w:tcBorders>
          </w:tcPr>
          <w:p w:rsidR="00AE07E6" w:rsidRPr="0021503D" w:rsidRDefault="00AE07E6" w:rsidP="00372932">
            <w:pPr>
              <w:pStyle w:val="TableColumnHeading"/>
              <w:jc w:val="left"/>
            </w:pPr>
          </w:p>
        </w:tc>
        <w:tc>
          <w:tcPr>
            <w:tcW w:w="403"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NSW</w:t>
            </w:r>
          </w:p>
        </w:tc>
        <w:tc>
          <w:tcPr>
            <w:tcW w:w="403"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Vic</w:t>
            </w:r>
          </w:p>
        </w:tc>
        <w:tc>
          <w:tcPr>
            <w:tcW w:w="403"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Qld</w:t>
            </w:r>
          </w:p>
        </w:tc>
        <w:tc>
          <w:tcPr>
            <w:tcW w:w="404"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WA</w:t>
            </w:r>
          </w:p>
        </w:tc>
        <w:tc>
          <w:tcPr>
            <w:tcW w:w="403"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SA</w:t>
            </w:r>
          </w:p>
        </w:tc>
        <w:tc>
          <w:tcPr>
            <w:tcW w:w="403"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Tas</w:t>
            </w:r>
          </w:p>
        </w:tc>
        <w:tc>
          <w:tcPr>
            <w:tcW w:w="403"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ACT</w:t>
            </w:r>
          </w:p>
        </w:tc>
        <w:tc>
          <w:tcPr>
            <w:tcW w:w="404"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NT</w:t>
            </w:r>
          </w:p>
        </w:tc>
      </w:tr>
      <w:tr w:rsidR="00AE07E6" w:rsidRPr="0021503D" w:rsidTr="00372932">
        <w:tc>
          <w:tcPr>
            <w:tcW w:w="1774" w:type="pct"/>
          </w:tcPr>
          <w:p w:rsidR="00AE07E6" w:rsidRPr="0021503D" w:rsidRDefault="00AE07E6" w:rsidP="00372932">
            <w:pPr>
              <w:pStyle w:val="TableBodyText"/>
              <w:jc w:val="left"/>
              <w:rPr>
                <w:b/>
              </w:rPr>
            </w:pPr>
            <w:r w:rsidRPr="0021503D">
              <w:rPr>
                <w:b/>
              </w:rPr>
              <w:t>Number of detainees who self</w:t>
            </w:r>
            <w:r w:rsidRPr="0021503D">
              <w:rPr>
                <w:b/>
              </w:rPr>
              <w:noBreakHyphen/>
              <w:t xml:space="preserve">harmed or attempted suicide in custody </w:t>
            </w:r>
            <w:r w:rsidRPr="0021503D">
              <w:rPr>
                <w:b/>
                <w:u w:val="single"/>
              </w:rPr>
              <w:t>not</w:t>
            </w:r>
            <w:r w:rsidRPr="0021503D">
              <w:rPr>
                <w:b/>
              </w:rPr>
              <w:t xml:space="preserve"> requiring hospitalisation</w:t>
            </w:r>
          </w:p>
        </w:tc>
        <w:tc>
          <w:tcPr>
            <w:tcW w:w="403" w:type="pct"/>
            <w:vAlign w:val="center"/>
          </w:tcPr>
          <w:p w:rsidR="00AE07E6" w:rsidRPr="0021503D" w:rsidRDefault="00AE07E6" w:rsidP="00372932">
            <w:pPr>
              <w:pStyle w:val="TableBodyText"/>
            </w:pPr>
          </w:p>
        </w:tc>
        <w:tc>
          <w:tcPr>
            <w:tcW w:w="403" w:type="pct"/>
            <w:vAlign w:val="center"/>
          </w:tcPr>
          <w:p w:rsidR="00AE07E6" w:rsidRPr="0021503D" w:rsidRDefault="00AE07E6" w:rsidP="00372932">
            <w:pPr>
              <w:pStyle w:val="TableBodyText"/>
            </w:pPr>
          </w:p>
        </w:tc>
        <w:tc>
          <w:tcPr>
            <w:tcW w:w="403" w:type="pct"/>
            <w:vAlign w:val="center"/>
          </w:tcPr>
          <w:p w:rsidR="00AE07E6" w:rsidRPr="0021503D" w:rsidRDefault="00AE07E6" w:rsidP="00372932">
            <w:pPr>
              <w:pStyle w:val="TableBodyText"/>
            </w:pPr>
          </w:p>
        </w:tc>
        <w:tc>
          <w:tcPr>
            <w:tcW w:w="404" w:type="pct"/>
            <w:vAlign w:val="center"/>
          </w:tcPr>
          <w:p w:rsidR="00AE07E6" w:rsidRPr="0021503D" w:rsidRDefault="00AE07E6" w:rsidP="00372932">
            <w:pPr>
              <w:pStyle w:val="TableBodyText"/>
            </w:pPr>
          </w:p>
        </w:tc>
        <w:tc>
          <w:tcPr>
            <w:tcW w:w="403" w:type="pct"/>
            <w:vAlign w:val="center"/>
          </w:tcPr>
          <w:p w:rsidR="00AE07E6" w:rsidRPr="0021503D" w:rsidRDefault="00AE07E6" w:rsidP="00372932">
            <w:pPr>
              <w:pStyle w:val="TableBodyText"/>
            </w:pPr>
          </w:p>
        </w:tc>
        <w:tc>
          <w:tcPr>
            <w:tcW w:w="403" w:type="pct"/>
            <w:vAlign w:val="center"/>
          </w:tcPr>
          <w:p w:rsidR="00AE07E6" w:rsidRPr="0021503D" w:rsidRDefault="00AE07E6" w:rsidP="00372932">
            <w:pPr>
              <w:pStyle w:val="TableBodyText"/>
            </w:pPr>
          </w:p>
        </w:tc>
        <w:tc>
          <w:tcPr>
            <w:tcW w:w="403" w:type="pct"/>
            <w:vAlign w:val="center"/>
          </w:tcPr>
          <w:p w:rsidR="00AE07E6" w:rsidRPr="0021503D" w:rsidRDefault="00AE07E6" w:rsidP="00372932">
            <w:pPr>
              <w:pStyle w:val="TableBodyText"/>
            </w:pPr>
          </w:p>
        </w:tc>
        <w:tc>
          <w:tcPr>
            <w:tcW w:w="404" w:type="pct"/>
            <w:vAlign w:val="center"/>
          </w:tcPr>
          <w:p w:rsidR="00AE07E6" w:rsidRPr="0021503D" w:rsidRDefault="00AE07E6" w:rsidP="00372932">
            <w:pPr>
              <w:pStyle w:val="TableBodyText"/>
            </w:pPr>
          </w:p>
        </w:tc>
      </w:tr>
      <w:tr w:rsidR="00AE07E6" w:rsidRPr="0021503D" w:rsidTr="00372932">
        <w:tc>
          <w:tcPr>
            <w:tcW w:w="1774" w:type="pct"/>
          </w:tcPr>
          <w:p w:rsidR="00AE07E6" w:rsidRPr="0021503D" w:rsidRDefault="00AE07E6" w:rsidP="00372932">
            <w:pPr>
              <w:pStyle w:val="TableBodyText"/>
              <w:ind w:left="284"/>
              <w:jc w:val="left"/>
            </w:pPr>
            <w:r w:rsidRPr="0021503D">
              <w:t>Indigenous</w:t>
            </w:r>
          </w:p>
        </w:tc>
        <w:tc>
          <w:tcPr>
            <w:tcW w:w="403" w:type="pct"/>
            <w:vAlign w:val="center"/>
          </w:tcPr>
          <w:p w:rsidR="00AE07E6" w:rsidRPr="0021503D" w:rsidRDefault="00AE07E6" w:rsidP="00372932">
            <w:pPr>
              <w:pStyle w:val="TableBodyText"/>
            </w:pPr>
            <w:r w:rsidRPr="0021503D">
              <w:t xml:space="preserve">  14.0</w:t>
            </w:r>
          </w:p>
        </w:tc>
        <w:tc>
          <w:tcPr>
            <w:tcW w:w="403" w:type="pct"/>
            <w:vAlign w:val="center"/>
          </w:tcPr>
          <w:p w:rsidR="00AE07E6" w:rsidRPr="0021503D" w:rsidRDefault="00AE07E6" w:rsidP="00372932">
            <w:pPr>
              <w:pStyle w:val="TableBodyText"/>
            </w:pPr>
            <w:r w:rsidRPr="0021503D">
              <w:t>–</w:t>
            </w:r>
          </w:p>
        </w:tc>
        <w:tc>
          <w:tcPr>
            <w:tcW w:w="403" w:type="pct"/>
            <w:vAlign w:val="center"/>
          </w:tcPr>
          <w:p w:rsidR="00AE07E6" w:rsidRPr="0021503D" w:rsidRDefault="00AE07E6" w:rsidP="00372932">
            <w:pPr>
              <w:pStyle w:val="TableBodyText"/>
            </w:pPr>
            <w:r w:rsidRPr="0021503D">
              <w:t xml:space="preserve">  1.0</w:t>
            </w:r>
          </w:p>
        </w:tc>
        <w:tc>
          <w:tcPr>
            <w:tcW w:w="404"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w:t>
            </w:r>
          </w:p>
        </w:tc>
        <w:tc>
          <w:tcPr>
            <w:tcW w:w="403" w:type="pct"/>
            <w:vAlign w:val="center"/>
          </w:tcPr>
          <w:p w:rsidR="00AE07E6" w:rsidRPr="0021503D" w:rsidRDefault="00AE07E6" w:rsidP="00372932">
            <w:pPr>
              <w:pStyle w:val="TableBodyText"/>
            </w:pPr>
            <w:r w:rsidRPr="0021503D">
              <w:t xml:space="preserve">  1.0</w:t>
            </w:r>
          </w:p>
        </w:tc>
        <w:tc>
          <w:tcPr>
            <w:tcW w:w="404" w:type="pct"/>
            <w:vAlign w:val="center"/>
          </w:tcPr>
          <w:p w:rsidR="00AE07E6" w:rsidRPr="0021503D" w:rsidRDefault="00AE07E6" w:rsidP="00372932">
            <w:pPr>
              <w:pStyle w:val="TableBodyText"/>
            </w:pPr>
            <w:r w:rsidRPr="0021503D">
              <w:t xml:space="preserve">  7.0</w:t>
            </w:r>
          </w:p>
        </w:tc>
      </w:tr>
      <w:tr w:rsidR="00AE07E6" w:rsidRPr="0021503D" w:rsidTr="00372932">
        <w:tc>
          <w:tcPr>
            <w:tcW w:w="1774" w:type="pct"/>
          </w:tcPr>
          <w:p w:rsidR="00AE07E6" w:rsidRPr="0021503D" w:rsidRDefault="00AE07E6" w:rsidP="00372932">
            <w:pPr>
              <w:pStyle w:val="TableBodyText"/>
              <w:ind w:left="284"/>
              <w:jc w:val="left"/>
            </w:pPr>
            <w:r w:rsidRPr="0021503D">
              <w:t>Non-Indigenous</w:t>
            </w:r>
          </w:p>
        </w:tc>
        <w:tc>
          <w:tcPr>
            <w:tcW w:w="403" w:type="pct"/>
            <w:vAlign w:val="center"/>
          </w:tcPr>
          <w:p w:rsidR="00AE07E6" w:rsidRPr="0021503D" w:rsidRDefault="00AE07E6" w:rsidP="00372932">
            <w:pPr>
              <w:pStyle w:val="TableBodyText"/>
            </w:pPr>
            <w:r w:rsidRPr="0021503D">
              <w:t xml:space="preserve">  12.0</w:t>
            </w:r>
          </w:p>
        </w:tc>
        <w:tc>
          <w:tcPr>
            <w:tcW w:w="403" w:type="pct"/>
            <w:vAlign w:val="center"/>
          </w:tcPr>
          <w:p w:rsidR="00AE07E6" w:rsidRPr="0021503D" w:rsidRDefault="00AE07E6" w:rsidP="00372932">
            <w:pPr>
              <w:pStyle w:val="TableBodyText"/>
            </w:pPr>
            <w:r w:rsidRPr="0021503D">
              <w:t xml:space="preserve">  1.0</w:t>
            </w:r>
          </w:p>
        </w:tc>
        <w:tc>
          <w:tcPr>
            <w:tcW w:w="403" w:type="pct"/>
            <w:vAlign w:val="center"/>
          </w:tcPr>
          <w:p w:rsidR="00AE07E6" w:rsidRPr="0021503D" w:rsidRDefault="00AE07E6" w:rsidP="00372932">
            <w:pPr>
              <w:pStyle w:val="TableBodyText"/>
            </w:pPr>
            <w:r w:rsidRPr="0021503D">
              <w:t xml:space="preserve">  4.0</w:t>
            </w:r>
          </w:p>
        </w:tc>
        <w:tc>
          <w:tcPr>
            <w:tcW w:w="404"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 xml:space="preserve">  –</w:t>
            </w:r>
          </w:p>
        </w:tc>
        <w:tc>
          <w:tcPr>
            <w:tcW w:w="403" w:type="pct"/>
            <w:vAlign w:val="center"/>
          </w:tcPr>
          <w:p w:rsidR="00AE07E6" w:rsidRPr="0021503D" w:rsidRDefault="00AE07E6" w:rsidP="00372932">
            <w:pPr>
              <w:pStyle w:val="TableBodyText"/>
            </w:pPr>
            <w:r w:rsidRPr="0021503D">
              <w:t xml:space="preserve">  1.0</w:t>
            </w:r>
          </w:p>
        </w:tc>
        <w:tc>
          <w:tcPr>
            <w:tcW w:w="404" w:type="pct"/>
            <w:vAlign w:val="center"/>
          </w:tcPr>
          <w:p w:rsidR="00AE07E6" w:rsidRPr="0021503D" w:rsidRDefault="00AE07E6" w:rsidP="00372932">
            <w:pPr>
              <w:pStyle w:val="TableBodyText"/>
            </w:pPr>
            <w:r w:rsidRPr="0021503D">
              <w:t>–</w:t>
            </w:r>
          </w:p>
        </w:tc>
      </w:tr>
      <w:tr w:rsidR="00AE07E6" w:rsidRPr="0021503D" w:rsidTr="00372932">
        <w:tc>
          <w:tcPr>
            <w:tcW w:w="1774" w:type="pct"/>
          </w:tcPr>
          <w:p w:rsidR="00AE07E6" w:rsidRPr="0021503D" w:rsidRDefault="00AE07E6" w:rsidP="00372932">
            <w:pPr>
              <w:pStyle w:val="TableBodyText"/>
              <w:ind w:left="284"/>
              <w:jc w:val="left"/>
            </w:pPr>
            <w:r w:rsidRPr="0021503D">
              <w:t>Unknown</w:t>
            </w:r>
          </w:p>
        </w:tc>
        <w:tc>
          <w:tcPr>
            <w:tcW w:w="403" w:type="pct"/>
            <w:vAlign w:val="center"/>
          </w:tcPr>
          <w:p w:rsidR="00AE07E6" w:rsidRPr="0021503D" w:rsidRDefault="00AE07E6" w:rsidP="00372932">
            <w:pPr>
              <w:pStyle w:val="TableBodyText"/>
            </w:pPr>
            <w:r w:rsidRPr="0021503D">
              <w:t xml:space="preserve">  8.0</w:t>
            </w:r>
          </w:p>
        </w:tc>
        <w:tc>
          <w:tcPr>
            <w:tcW w:w="403"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w:t>
            </w:r>
          </w:p>
        </w:tc>
        <w:tc>
          <w:tcPr>
            <w:tcW w:w="404"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w:t>
            </w:r>
          </w:p>
        </w:tc>
        <w:tc>
          <w:tcPr>
            <w:tcW w:w="403" w:type="pct"/>
            <w:vAlign w:val="center"/>
          </w:tcPr>
          <w:p w:rsidR="00AE07E6" w:rsidRPr="0021503D" w:rsidRDefault="00AE07E6" w:rsidP="00372932">
            <w:pPr>
              <w:pStyle w:val="TableBodyText"/>
            </w:pPr>
            <w:r w:rsidRPr="0021503D">
              <w:t>–</w:t>
            </w:r>
          </w:p>
        </w:tc>
        <w:tc>
          <w:tcPr>
            <w:tcW w:w="404" w:type="pct"/>
            <w:vAlign w:val="center"/>
          </w:tcPr>
          <w:p w:rsidR="00AE07E6" w:rsidRPr="0021503D" w:rsidRDefault="00AE07E6" w:rsidP="00372932">
            <w:pPr>
              <w:pStyle w:val="TableBodyText"/>
            </w:pPr>
            <w:r w:rsidRPr="0021503D">
              <w:t>–</w:t>
            </w:r>
          </w:p>
        </w:tc>
      </w:tr>
      <w:tr w:rsidR="00AE07E6" w:rsidRPr="0021503D" w:rsidTr="00372932">
        <w:tc>
          <w:tcPr>
            <w:tcW w:w="1774" w:type="pct"/>
          </w:tcPr>
          <w:p w:rsidR="00AE07E6" w:rsidRPr="0021503D" w:rsidRDefault="00AE07E6" w:rsidP="00372932">
            <w:pPr>
              <w:pStyle w:val="TableBodyText"/>
              <w:ind w:left="284"/>
              <w:jc w:val="left"/>
            </w:pPr>
            <w:r w:rsidRPr="0021503D">
              <w:t>Total</w:t>
            </w:r>
          </w:p>
        </w:tc>
        <w:tc>
          <w:tcPr>
            <w:tcW w:w="403" w:type="pct"/>
            <w:vAlign w:val="center"/>
          </w:tcPr>
          <w:p w:rsidR="00AE07E6" w:rsidRPr="0021503D" w:rsidRDefault="00AE07E6" w:rsidP="00372932">
            <w:pPr>
              <w:pStyle w:val="TableBodyText"/>
            </w:pPr>
            <w:r w:rsidRPr="0021503D">
              <w:t xml:space="preserve">  34.0</w:t>
            </w:r>
          </w:p>
        </w:tc>
        <w:tc>
          <w:tcPr>
            <w:tcW w:w="403" w:type="pct"/>
            <w:vAlign w:val="center"/>
          </w:tcPr>
          <w:p w:rsidR="00AE07E6" w:rsidRPr="0021503D" w:rsidRDefault="00AE07E6" w:rsidP="00372932">
            <w:pPr>
              <w:pStyle w:val="TableBodyText"/>
            </w:pPr>
            <w:r w:rsidRPr="0021503D">
              <w:t xml:space="preserve">  1.0</w:t>
            </w:r>
          </w:p>
        </w:tc>
        <w:tc>
          <w:tcPr>
            <w:tcW w:w="403" w:type="pct"/>
            <w:vAlign w:val="center"/>
          </w:tcPr>
          <w:p w:rsidR="00AE07E6" w:rsidRPr="0021503D" w:rsidRDefault="00AE07E6" w:rsidP="00372932">
            <w:pPr>
              <w:pStyle w:val="TableBodyText"/>
            </w:pPr>
            <w:r w:rsidRPr="0021503D">
              <w:t xml:space="preserve">  5.0</w:t>
            </w:r>
          </w:p>
        </w:tc>
        <w:tc>
          <w:tcPr>
            <w:tcW w:w="404"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w:t>
            </w:r>
          </w:p>
        </w:tc>
        <w:tc>
          <w:tcPr>
            <w:tcW w:w="403" w:type="pct"/>
            <w:vAlign w:val="center"/>
          </w:tcPr>
          <w:p w:rsidR="00AE07E6" w:rsidRPr="0021503D" w:rsidRDefault="00AE07E6" w:rsidP="00372932">
            <w:pPr>
              <w:pStyle w:val="TableBodyText"/>
            </w:pPr>
            <w:r w:rsidRPr="0021503D">
              <w:t xml:space="preserve">  2.0</w:t>
            </w:r>
          </w:p>
        </w:tc>
        <w:tc>
          <w:tcPr>
            <w:tcW w:w="404" w:type="pct"/>
            <w:vAlign w:val="center"/>
          </w:tcPr>
          <w:p w:rsidR="00AE07E6" w:rsidRPr="0021503D" w:rsidRDefault="00AE07E6" w:rsidP="00372932">
            <w:pPr>
              <w:pStyle w:val="TableBodyText"/>
            </w:pPr>
            <w:r w:rsidRPr="0021503D">
              <w:t xml:space="preserve">  7.0</w:t>
            </w:r>
          </w:p>
        </w:tc>
      </w:tr>
      <w:tr w:rsidR="00AE07E6" w:rsidRPr="0021503D" w:rsidTr="00372932">
        <w:tc>
          <w:tcPr>
            <w:tcW w:w="1774" w:type="pct"/>
          </w:tcPr>
          <w:p w:rsidR="00AE07E6" w:rsidRPr="0021503D" w:rsidRDefault="00AE07E6" w:rsidP="00372932">
            <w:pPr>
              <w:pStyle w:val="TableBodyText"/>
              <w:ind w:right="0"/>
              <w:jc w:val="left"/>
              <w:rPr>
                <w:b/>
              </w:rPr>
            </w:pPr>
            <w:r w:rsidRPr="0021503D">
              <w:rPr>
                <w:b/>
              </w:rPr>
              <w:t>Rate per 10 000 custody nights</w:t>
            </w:r>
          </w:p>
        </w:tc>
        <w:tc>
          <w:tcPr>
            <w:tcW w:w="403" w:type="pct"/>
            <w:vAlign w:val="center"/>
          </w:tcPr>
          <w:p w:rsidR="00AE07E6" w:rsidRPr="0021503D" w:rsidRDefault="00AE07E6" w:rsidP="00372932">
            <w:pPr>
              <w:pStyle w:val="TableBodyText"/>
            </w:pPr>
          </w:p>
        </w:tc>
        <w:tc>
          <w:tcPr>
            <w:tcW w:w="403" w:type="pct"/>
            <w:vAlign w:val="center"/>
          </w:tcPr>
          <w:p w:rsidR="00AE07E6" w:rsidRPr="0021503D" w:rsidRDefault="00AE07E6" w:rsidP="00372932">
            <w:pPr>
              <w:pStyle w:val="TableBodyText"/>
            </w:pPr>
          </w:p>
        </w:tc>
        <w:tc>
          <w:tcPr>
            <w:tcW w:w="403" w:type="pct"/>
            <w:vAlign w:val="center"/>
          </w:tcPr>
          <w:p w:rsidR="00AE07E6" w:rsidRPr="0021503D" w:rsidRDefault="00AE07E6" w:rsidP="00372932">
            <w:pPr>
              <w:pStyle w:val="TableBodyText"/>
            </w:pPr>
          </w:p>
        </w:tc>
        <w:tc>
          <w:tcPr>
            <w:tcW w:w="404" w:type="pct"/>
            <w:vAlign w:val="center"/>
          </w:tcPr>
          <w:p w:rsidR="00AE07E6" w:rsidRPr="0021503D" w:rsidRDefault="00AE07E6" w:rsidP="00372932">
            <w:pPr>
              <w:pStyle w:val="TableBodyText"/>
            </w:pPr>
          </w:p>
        </w:tc>
        <w:tc>
          <w:tcPr>
            <w:tcW w:w="403" w:type="pct"/>
            <w:vAlign w:val="center"/>
          </w:tcPr>
          <w:p w:rsidR="00AE07E6" w:rsidRPr="0021503D" w:rsidRDefault="00AE07E6" w:rsidP="00372932">
            <w:pPr>
              <w:pStyle w:val="TableBodyText"/>
            </w:pPr>
          </w:p>
        </w:tc>
        <w:tc>
          <w:tcPr>
            <w:tcW w:w="403" w:type="pct"/>
            <w:vAlign w:val="center"/>
          </w:tcPr>
          <w:p w:rsidR="00AE07E6" w:rsidRPr="0021503D" w:rsidRDefault="00AE07E6" w:rsidP="00372932">
            <w:pPr>
              <w:pStyle w:val="TableBodyText"/>
            </w:pPr>
          </w:p>
        </w:tc>
        <w:tc>
          <w:tcPr>
            <w:tcW w:w="403" w:type="pct"/>
            <w:vAlign w:val="center"/>
          </w:tcPr>
          <w:p w:rsidR="00AE07E6" w:rsidRPr="0021503D" w:rsidRDefault="00AE07E6" w:rsidP="00372932">
            <w:pPr>
              <w:pStyle w:val="TableBodyText"/>
            </w:pPr>
          </w:p>
        </w:tc>
        <w:tc>
          <w:tcPr>
            <w:tcW w:w="404" w:type="pct"/>
            <w:vAlign w:val="center"/>
          </w:tcPr>
          <w:p w:rsidR="00AE07E6" w:rsidRPr="0021503D" w:rsidRDefault="00AE07E6" w:rsidP="00372932">
            <w:pPr>
              <w:pStyle w:val="TableBodyText"/>
            </w:pPr>
          </w:p>
        </w:tc>
      </w:tr>
      <w:tr w:rsidR="00AE07E6" w:rsidRPr="0021503D" w:rsidTr="00372932">
        <w:tc>
          <w:tcPr>
            <w:tcW w:w="1774" w:type="pct"/>
          </w:tcPr>
          <w:p w:rsidR="00AE07E6" w:rsidRPr="0021503D" w:rsidRDefault="00AE07E6" w:rsidP="00372932">
            <w:pPr>
              <w:pStyle w:val="TableBodyText"/>
              <w:ind w:left="284"/>
              <w:jc w:val="left"/>
            </w:pPr>
            <w:r w:rsidRPr="0021503D">
              <w:t>Indigenous</w:t>
            </w:r>
          </w:p>
        </w:tc>
        <w:tc>
          <w:tcPr>
            <w:tcW w:w="403" w:type="pct"/>
            <w:vAlign w:val="center"/>
          </w:tcPr>
          <w:p w:rsidR="00AE07E6" w:rsidRPr="0021503D" w:rsidRDefault="00AE07E6" w:rsidP="00372932">
            <w:pPr>
              <w:pStyle w:val="TableBodyText"/>
            </w:pPr>
            <w:r w:rsidRPr="0021503D">
              <w:t xml:space="preserve">  2.2</w:t>
            </w:r>
          </w:p>
        </w:tc>
        <w:tc>
          <w:tcPr>
            <w:tcW w:w="403" w:type="pct"/>
            <w:vAlign w:val="center"/>
          </w:tcPr>
          <w:p w:rsidR="00AE07E6" w:rsidRPr="0021503D" w:rsidRDefault="00AE07E6" w:rsidP="00372932">
            <w:pPr>
              <w:pStyle w:val="TableBodyText"/>
            </w:pPr>
            <w:r w:rsidRPr="0021503D">
              <w:t>–</w:t>
            </w:r>
          </w:p>
        </w:tc>
        <w:tc>
          <w:tcPr>
            <w:tcW w:w="403" w:type="pct"/>
            <w:vAlign w:val="center"/>
          </w:tcPr>
          <w:p w:rsidR="00AE07E6" w:rsidRPr="0021503D" w:rsidRDefault="00AE07E6" w:rsidP="00372932">
            <w:pPr>
              <w:pStyle w:val="TableBodyText"/>
            </w:pPr>
            <w:r w:rsidRPr="0021503D">
              <w:t xml:space="preserve">  0.3</w:t>
            </w:r>
          </w:p>
        </w:tc>
        <w:tc>
          <w:tcPr>
            <w:tcW w:w="404"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w:t>
            </w:r>
          </w:p>
        </w:tc>
        <w:tc>
          <w:tcPr>
            <w:tcW w:w="403" w:type="pct"/>
            <w:vAlign w:val="center"/>
          </w:tcPr>
          <w:p w:rsidR="00AE07E6" w:rsidRPr="0021503D" w:rsidRDefault="00AE07E6" w:rsidP="00372932">
            <w:pPr>
              <w:pStyle w:val="TableBodyText"/>
            </w:pPr>
            <w:r w:rsidRPr="0021503D">
              <w:t xml:space="preserve">  3.3</w:t>
            </w:r>
          </w:p>
        </w:tc>
        <w:tc>
          <w:tcPr>
            <w:tcW w:w="404" w:type="pct"/>
            <w:vAlign w:val="center"/>
          </w:tcPr>
          <w:p w:rsidR="00AE07E6" w:rsidRPr="0021503D" w:rsidRDefault="00AE07E6" w:rsidP="00372932">
            <w:pPr>
              <w:pStyle w:val="TableBodyText"/>
            </w:pPr>
            <w:r w:rsidRPr="0021503D">
              <w:t xml:space="preserve">  5.2</w:t>
            </w:r>
          </w:p>
        </w:tc>
      </w:tr>
      <w:tr w:rsidR="00AE07E6" w:rsidRPr="0021503D" w:rsidTr="00372932">
        <w:tc>
          <w:tcPr>
            <w:tcW w:w="1774" w:type="pct"/>
          </w:tcPr>
          <w:p w:rsidR="00AE07E6" w:rsidRPr="0021503D" w:rsidRDefault="00AE07E6" w:rsidP="00372932">
            <w:pPr>
              <w:pStyle w:val="TableBodyText"/>
              <w:ind w:left="284"/>
              <w:jc w:val="left"/>
            </w:pPr>
            <w:r w:rsidRPr="0021503D">
              <w:t>Non-Indigenous</w:t>
            </w:r>
          </w:p>
        </w:tc>
        <w:tc>
          <w:tcPr>
            <w:tcW w:w="403" w:type="pct"/>
            <w:vAlign w:val="center"/>
          </w:tcPr>
          <w:p w:rsidR="00AE07E6" w:rsidRPr="0021503D" w:rsidRDefault="00AE07E6" w:rsidP="00372932">
            <w:pPr>
              <w:pStyle w:val="TableBodyText"/>
            </w:pPr>
            <w:r w:rsidRPr="0021503D">
              <w:t xml:space="preserve">  1.9</w:t>
            </w:r>
          </w:p>
        </w:tc>
        <w:tc>
          <w:tcPr>
            <w:tcW w:w="403" w:type="pct"/>
            <w:vAlign w:val="center"/>
          </w:tcPr>
          <w:p w:rsidR="00AE07E6" w:rsidRPr="0021503D" w:rsidRDefault="00AE07E6" w:rsidP="00372932">
            <w:pPr>
              <w:pStyle w:val="TableBodyText"/>
            </w:pPr>
            <w:r w:rsidRPr="0021503D">
              <w:t xml:space="preserve">  0.2</w:t>
            </w:r>
          </w:p>
        </w:tc>
        <w:tc>
          <w:tcPr>
            <w:tcW w:w="403" w:type="pct"/>
            <w:vAlign w:val="center"/>
          </w:tcPr>
          <w:p w:rsidR="00AE07E6" w:rsidRPr="0021503D" w:rsidRDefault="00AE07E6" w:rsidP="00372932">
            <w:pPr>
              <w:pStyle w:val="TableBodyText"/>
            </w:pPr>
            <w:r w:rsidRPr="0021503D">
              <w:t xml:space="preserve">  2.2</w:t>
            </w:r>
          </w:p>
        </w:tc>
        <w:tc>
          <w:tcPr>
            <w:tcW w:w="404"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 xml:space="preserve">  –</w:t>
            </w:r>
          </w:p>
        </w:tc>
        <w:tc>
          <w:tcPr>
            <w:tcW w:w="403" w:type="pct"/>
            <w:vAlign w:val="center"/>
          </w:tcPr>
          <w:p w:rsidR="00AE07E6" w:rsidRPr="0021503D" w:rsidRDefault="00AE07E6" w:rsidP="00372932">
            <w:pPr>
              <w:pStyle w:val="TableBodyText"/>
            </w:pPr>
            <w:r w:rsidRPr="0021503D">
              <w:t xml:space="preserve">  1.9</w:t>
            </w:r>
          </w:p>
        </w:tc>
        <w:tc>
          <w:tcPr>
            <w:tcW w:w="404" w:type="pct"/>
            <w:vAlign w:val="center"/>
          </w:tcPr>
          <w:p w:rsidR="00AE07E6" w:rsidRPr="0021503D" w:rsidRDefault="00AE07E6" w:rsidP="00372932">
            <w:pPr>
              <w:pStyle w:val="TableBodyText"/>
            </w:pPr>
            <w:r w:rsidRPr="0021503D">
              <w:t>–</w:t>
            </w:r>
          </w:p>
        </w:tc>
      </w:tr>
      <w:tr w:rsidR="00AE07E6" w:rsidRPr="0021503D" w:rsidTr="00372932">
        <w:tc>
          <w:tcPr>
            <w:tcW w:w="1774" w:type="pct"/>
          </w:tcPr>
          <w:p w:rsidR="00AE07E6" w:rsidRPr="0021503D" w:rsidRDefault="00AE07E6" w:rsidP="00372932">
            <w:pPr>
              <w:pStyle w:val="TableBodyText"/>
              <w:ind w:left="284"/>
              <w:jc w:val="left"/>
            </w:pPr>
            <w:r w:rsidRPr="0021503D">
              <w:t>Unknown</w:t>
            </w:r>
          </w:p>
        </w:tc>
        <w:tc>
          <w:tcPr>
            <w:tcW w:w="403" w:type="pct"/>
            <w:vAlign w:val="center"/>
          </w:tcPr>
          <w:p w:rsidR="00AE07E6" w:rsidRPr="0021503D" w:rsidRDefault="00AE07E6" w:rsidP="00372932">
            <w:pPr>
              <w:pStyle w:val="TableBodyText"/>
            </w:pPr>
            <w:r w:rsidRPr="0021503D">
              <w:t xml:space="preserve">  33.7</w:t>
            </w:r>
          </w:p>
        </w:tc>
        <w:tc>
          <w:tcPr>
            <w:tcW w:w="403"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w:t>
            </w:r>
          </w:p>
        </w:tc>
        <w:tc>
          <w:tcPr>
            <w:tcW w:w="404"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na</w:t>
            </w:r>
          </w:p>
        </w:tc>
        <w:tc>
          <w:tcPr>
            <w:tcW w:w="403" w:type="pct"/>
            <w:vAlign w:val="center"/>
          </w:tcPr>
          <w:p w:rsidR="00AE07E6" w:rsidRPr="0021503D" w:rsidRDefault="00AE07E6" w:rsidP="00372932">
            <w:pPr>
              <w:pStyle w:val="TableBodyText"/>
            </w:pPr>
            <w:r w:rsidRPr="0021503D">
              <w:t>–</w:t>
            </w:r>
          </w:p>
        </w:tc>
        <w:tc>
          <w:tcPr>
            <w:tcW w:w="403" w:type="pct"/>
            <w:vAlign w:val="center"/>
          </w:tcPr>
          <w:p w:rsidR="00AE07E6" w:rsidRPr="0021503D" w:rsidRDefault="00AE07E6" w:rsidP="00372932">
            <w:pPr>
              <w:pStyle w:val="TableBodyText"/>
            </w:pPr>
            <w:r w:rsidRPr="0021503D">
              <w:t>–</w:t>
            </w:r>
          </w:p>
        </w:tc>
        <w:tc>
          <w:tcPr>
            <w:tcW w:w="404" w:type="pct"/>
            <w:vAlign w:val="center"/>
          </w:tcPr>
          <w:p w:rsidR="00AE07E6" w:rsidRPr="0021503D" w:rsidRDefault="00AE07E6" w:rsidP="00372932">
            <w:pPr>
              <w:pStyle w:val="TableBodyText"/>
            </w:pPr>
            <w:r w:rsidRPr="0021503D">
              <w:t>–</w:t>
            </w:r>
          </w:p>
        </w:tc>
      </w:tr>
      <w:tr w:rsidR="00AE07E6" w:rsidRPr="0021503D" w:rsidTr="00372932">
        <w:tc>
          <w:tcPr>
            <w:tcW w:w="1774" w:type="pct"/>
            <w:tcBorders>
              <w:bottom w:val="single" w:sz="4" w:space="0" w:color="auto"/>
            </w:tcBorders>
          </w:tcPr>
          <w:p w:rsidR="00AE07E6" w:rsidRPr="0021503D" w:rsidRDefault="00AE07E6" w:rsidP="00372932">
            <w:pPr>
              <w:pStyle w:val="TableBodyText"/>
              <w:ind w:left="284"/>
              <w:jc w:val="left"/>
            </w:pPr>
            <w:r w:rsidRPr="0021503D">
              <w:t>Total</w:t>
            </w:r>
          </w:p>
        </w:tc>
        <w:tc>
          <w:tcPr>
            <w:tcW w:w="403" w:type="pct"/>
            <w:tcBorders>
              <w:bottom w:val="single" w:sz="4" w:space="0" w:color="auto"/>
            </w:tcBorders>
            <w:vAlign w:val="center"/>
          </w:tcPr>
          <w:p w:rsidR="00AE07E6" w:rsidRPr="0021503D" w:rsidRDefault="00AE07E6" w:rsidP="00372932">
            <w:pPr>
              <w:pStyle w:val="TableBodyText"/>
            </w:pPr>
            <w:r w:rsidRPr="0021503D">
              <w:t xml:space="preserve">  2.6</w:t>
            </w:r>
          </w:p>
        </w:tc>
        <w:tc>
          <w:tcPr>
            <w:tcW w:w="403" w:type="pct"/>
            <w:tcBorders>
              <w:bottom w:val="single" w:sz="4" w:space="0" w:color="auto"/>
            </w:tcBorders>
            <w:vAlign w:val="center"/>
          </w:tcPr>
          <w:p w:rsidR="00AE07E6" w:rsidRPr="0021503D" w:rsidRDefault="00AE07E6" w:rsidP="00372932">
            <w:pPr>
              <w:pStyle w:val="TableBodyText"/>
            </w:pPr>
            <w:r w:rsidRPr="0021503D">
              <w:t xml:space="preserve">  0.2</w:t>
            </w:r>
          </w:p>
        </w:tc>
        <w:tc>
          <w:tcPr>
            <w:tcW w:w="403" w:type="pct"/>
            <w:tcBorders>
              <w:bottom w:val="single" w:sz="4" w:space="0" w:color="auto"/>
            </w:tcBorders>
            <w:vAlign w:val="center"/>
          </w:tcPr>
          <w:p w:rsidR="00AE07E6" w:rsidRPr="0021503D" w:rsidRDefault="00AE07E6" w:rsidP="00372932">
            <w:pPr>
              <w:pStyle w:val="TableBodyText"/>
            </w:pPr>
            <w:r w:rsidRPr="0021503D">
              <w:t xml:space="preserve">  1.0</w:t>
            </w:r>
          </w:p>
        </w:tc>
        <w:tc>
          <w:tcPr>
            <w:tcW w:w="404" w:type="pct"/>
            <w:tcBorders>
              <w:bottom w:val="single" w:sz="4" w:space="0" w:color="auto"/>
            </w:tcBorders>
            <w:vAlign w:val="center"/>
          </w:tcPr>
          <w:p w:rsidR="00AE07E6" w:rsidRPr="0021503D" w:rsidRDefault="00AE07E6" w:rsidP="00372932">
            <w:pPr>
              <w:pStyle w:val="TableBodyText"/>
            </w:pPr>
            <w:r w:rsidRPr="0021503D">
              <w:t>na</w:t>
            </w:r>
          </w:p>
        </w:tc>
        <w:tc>
          <w:tcPr>
            <w:tcW w:w="403" w:type="pct"/>
            <w:tcBorders>
              <w:bottom w:val="single" w:sz="4" w:space="0" w:color="auto"/>
            </w:tcBorders>
            <w:vAlign w:val="center"/>
          </w:tcPr>
          <w:p w:rsidR="00AE07E6" w:rsidRPr="0021503D" w:rsidRDefault="00AE07E6" w:rsidP="00372932">
            <w:pPr>
              <w:pStyle w:val="TableBodyText"/>
            </w:pPr>
            <w:r w:rsidRPr="0021503D">
              <w:t>na</w:t>
            </w:r>
          </w:p>
        </w:tc>
        <w:tc>
          <w:tcPr>
            <w:tcW w:w="403" w:type="pct"/>
            <w:tcBorders>
              <w:bottom w:val="single" w:sz="4" w:space="0" w:color="auto"/>
            </w:tcBorders>
            <w:vAlign w:val="center"/>
          </w:tcPr>
          <w:p w:rsidR="00AE07E6" w:rsidRPr="0021503D" w:rsidRDefault="00AE07E6" w:rsidP="00372932">
            <w:pPr>
              <w:pStyle w:val="TableBodyText"/>
            </w:pPr>
            <w:r w:rsidRPr="0021503D">
              <w:t xml:space="preserve">  –</w:t>
            </w:r>
          </w:p>
        </w:tc>
        <w:tc>
          <w:tcPr>
            <w:tcW w:w="403" w:type="pct"/>
            <w:tcBorders>
              <w:bottom w:val="single" w:sz="4" w:space="0" w:color="auto"/>
            </w:tcBorders>
            <w:vAlign w:val="center"/>
          </w:tcPr>
          <w:p w:rsidR="00AE07E6" w:rsidRPr="0021503D" w:rsidRDefault="00AE07E6" w:rsidP="00372932">
            <w:pPr>
              <w:pStyle w:val="TableBodyText"/>
            </w:pPr>
            <w:r w:rsidRPr="0021503D">
              <w:t xml:space="preserve">  2.4</w:t>
            </w:r>
          </w:p>
        </w:tc>
        <w:tc>
          <w:tcPr>
            <w:tcW w:w="404" w:type="pct"/>
            <w:tcBorders>
              <w:bottom w:val="single" w:sz="4" w:space="0" w:color="auto"/>
            </w:tcBorders>
            <w:vAlign w:val="center"/>
          </w:tcPr>
          <w:p w:rsidR="00AE07E6" w:rsidRPr="0021503D" w:rsidRDefault="00AE07E6" w:rsidP="00372932">
            <w:pPr>
              <w:pStyle w:val="TableBodyText"/>
            </w:pPr>
            <w:r w:rsidRPr="0021503D">
              <w:t xml:space="preserve">  5.1</w:t>
            </w:r>
          </w:p>
        </w:tc>
      </w:tr>
    </w:tbl>
    <w:p w:rsidR="00AE07E6" w:rsidRPr="0021503D" w:rsidRDefault="00AE07E6" w:rsidP="00AE07E6">
      <w:pPr>
        <w:pStyle w:val="Note"/>
        <w:keepNext/>
      </w:pPr>
      <w:r w:rsidRPr="0021503D">
        <w:rPr>
          <w:rStyle w:val="NoteLabel"/>
        </w:rPr>
        <w:t xml:space="preserve">a </w:t>
      </w:r>
      <w:r w:rsidRPr="0021503D">
        <w:t xml:space="preserve">Data were not available for WA and SA. </w:t>
      </w:r>
      <w:r w:rsidRPr="0021503D">
        <w:rPr>
          <w:rStyle w:val="NoteLabel"/>
        </w:rPr>
        <w:t>b</w:t>
      </w:r>
      <w:r w:rsidRPr="0021503D">
        <w:t xml:space="preserve"> Data reported for this indicator are not comparable and need to be interpreted with caution. Methods of data collection vary across jurisdictions (for example, manual case file review, the collation of electronic incident reports) and jurisdictions’ ability to report on this measure is dependent on relevant incidents having first been documented.</w:t>
      </w:r>
      <w:r w:rsidRPr="0021503D">
        <w:rPr>
          <w:rStyle w:val="NoteLabel"/>
        </w:rPr>
        <w:t xml:space="preserve"> </w:t>
      </w:r>
      <w:r w:rsidRPr="0021503D">
        <w:rPr>
          <w:b/>
        </w:rPr>
        <w:t>na</w:t>
      </w:r>
      <w:r w:rsidRPr="0021503D">
        <w:t> Not available. – Nil or rounded to zero.</w:t>
      </w:r>
    </w:p>
    <w:p w:rsidR="00AE07E6" w:rsidRPr="0021503D" w:rsidRDefault="00AE07E6" w:rsidP="00AE07E6">
      <w:pPr>
        <w:pStyle w:val="Source"/>
        <w:keepNext/>
      </w:pPr>
      <w:r w:rsidRPr="0021503D">
        <w:rPr>
          <w:i/>
        </w:rPr>
        <w:t>Source</w:t>
      </w:r>
      <w:r w:rsidRPr="0021503D">
        <w:t>: State and Territory governments (unpublished); table 15A.198; 2013 Report, table 15.14, p. 15.87.</w:t>
      </w:r>
    </w:p>
    <w:p w:rsidR="00AE07E6" w:rsidRPr="0021503D" w:rsidRDefault="00AE07E6" w:rsidP="00AE07E6">
      <w:pPr>
        <w:pStyle w:val="TableTitle"/>
        <w:rPr>
          <w:bCs/>
        </w:rPr>
      </w:pPr>
      <w:r w:rsidRPr="0021503D">
        <w:rPr>
          <w:b w:val="0"/>
        </w:rPr>
        <w:t xml:space="preserve">Table </w:t>
      </w:r>
      <w:r w:rsidR="009F41E6" w:rsidRPr="0021503D">
        <w:rPr>
          <w:b w:val="0"/>
        </w:rPr>
        <w:t>15.9</w:t>
      </w:r>
      <w:r w:rsidRPr="0021503D">
        <w:tab/>
        <w:t>N</w:t>
      </w:r>
      <w:r w:rsidRPr="0021503D">
        <w:rPr>
          <w:bCs/>
        </w:rPr>
        <w:t xml:space="preserve">umber and rate of incidents of self-harm or attempted suicide in custody </w:t>
      </w:r>
      <w:r w:rsidRPr="0021503D">
        <w:rPr>
          <w:bCs/>
          <w:u w:val="single"/>
        </w:rPr>
        <w:t>not</w:t>
      </w:r>
      <w:r w:rsidRPr="0021503D">
        <w:rPr>
          <w:bCs/>
        </w:rPr>
        <w:t xml:space="preserve"> requiring hospitalisation, by Indigenous status, 2011</w:t>
      </w:r>
      <w:r w:rsidRPr="0021503D">
        <w:rPr>
          <w:bCs/>
        </w:rPr>
        <w:noBreakHyphen/>
        <w:t>12</w:t>
      </w:r>
      <w:r w:rsidRPr="0021503D">
        <w:rPr>
          <w:rStyle w:val="NoteLabel"/>
          <w:b/>
        </w:rPr>
        <w:t>a, b</w:t>
      </w:r>
    </w:p>
    <w:tbl>
      <w:tblPr>
        <w:tblW w:w="5000" w:type="pct"/>
        <w:tblCellMar>
          <w:left w:w="0" w:type="dxa"/>
          <w:right w:w="0" w:type="dxa"/>
        </w:tblCellMar>
        <w:tblLook w:val="0000" w:firstRow="0" w:lastRow="0" w:firstColumn="0" w:lastColumn="0" w:noHBand="0" w:noVBand="0"/>
      </w:tblPr>
      <w:tblGrid>
        <w:gridCol w:w="3045"/>
        <w:gridCol w:w="717"/>
        <w:gridCol w:w="719"/>
        <w:gridCol w:w="717"/>
        <w:gridCol w:w="719"/>
        <w:gridCol w:w="717"/>
        <w:gridCol w:w="719"/>
        <w:gridCol w:w="717"/>
        <w:gridCol w:w="719"/>
      </w:tblGrid>
      <w:tr w:rsidR="00AE07E6" w:rsidRPr="0021503D" w:rsidTr="00372932">
        <w:tc>
          <w:tcPr>
            <w:tcW w:w="1732" w:type="pct"/>
            <w:tcBorders>
              <w:top w:val="single" w:sz="6" w:space="0" w:color="auto"/>
              <w:bottom w:val="single" w:sz="6" w:space="0" w:color="auto"/>
            </w:tcBorders>
          </w:tcPr>
          <w:p w:rsidR="00AE07E6" w:rsidRPr="0021503D" w:rsidRDefault="00AE07E6" w:rsidP="00372932">
            <w:pPr>
              <w:pStyle w:val="TableColumnHeading"/>
              <w:jc w:val="left"/>
            </w:pPr>
          </w:p>
        </w:tc>
        <w:tc>
          <w:tcPr>
            <w:tcW w:w="408"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NSW</w:t>
            </w:r>
          </w:p>
        </w:tc>
        <w:tc>
          <w:tcPr>
            <w:tcW w:w="409"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Vic</w:t>
            </w:r>
          </w:p>
        </w:tc>
        <w:tc>
          <w:tcPr>
            <w:tcW w:w="408"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Qld</w:t>
            </w:r>
          </w:p>
        </w:tc>
        <w:tc>
          <w:tcPr>
            <w:tcW w:w="409"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WA</w:t>
            </w:r>
          </w:p>
        </w:tc>
        <w:tc>
          <w:tcPr>
            <w:tcW w:w="408"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SA</w:t>
            </w:r>
          </w:p>
        </w:tc>
        <w:tc>
          <w:tcPr>
            <w:tcW w:w="409"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Tas</w:t>
            </w:r>
          </w:p>
        </w:tc>
        <w:tc>
          <w:tcPr>
            <w:tcW w:w="408"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ACT</w:t>
            </w:r>
          </w:p>
        </w:tc>
        <w:tc>
          <w:tcPr>
            <w:tcW w:w="409" w:type="pct"/>
            <w:tcBorders>
              <w:top w:val="single" w:sz="6" w:space="0" w:color="auto"/>
              <w:bottom w:val="single" w:sz="6" w:space="0" w:color="auto"/>
            </w:tcBorders>
          </w:tcPr>
          <w:p w:rsidR="00AE07E6" w:rsidRPr="0021503D" w:rsidRDefault="00AE07E6" w:rsidP="00372932">
            <w:pPr>
              <w:pStyle w:val="TableColumnHeading"/>
              <w:rPr>
                <w:rStyle w:val="NoteLabel"/>
              </w:rPr>
            </w:pPr>
            <w:r w:rsidRPr="0021503D">
              <w:t>NT</w:t>
            </w:r>
          </w:p>
        </w:tc>
      </w:tr>
      <w:tr w:rsidR="00AE07E6" w:rsidRPr="0021503D" w:rsidTr="00372932">
        <w:tc>
          <w:tcPr>
            <w:tcW w:w="1732" w:type="pct"/>
          </w:tcPr>
          <w:p w:rsidR="00AE07E6" w:rsidRPr="0021503D" w:rsidRDefault="00AE07E6" w:rsidP="00372932">
            <w:pPr>
              <w:pStyle w:val="TableBodyText"/>
              <w:jc w:val="left"/>
              <w:rPr>
                <w:b/>
              </w:rPr>
            </w:pPr>
            <w:r w:rsidRPr="0021503D">
              <w:rPr>
                <w:b/>
              </w:rPr>
              <w:t>Number of incidents of self</w:t>
            </w:r>
            <w:r w:rsidRPr="0021503D">
              <w:rPr>
                <w:b/>
              </w:rPr>
              <w:noBreakHyphen/>
              <w:t xml:space="preserve">harm or attempted suicide in custody </w:t>
            </w:r>
            <w:r w:rsidRPr="0021503D">
              <w:rPr>
                <w:b/>
                <w:u w:val="single"/>
              </w:rPr>
              <w:t>not</w:t>
            </w:r>
            <w:r w:rsidRPr="0021503D">
              <w:rPr>
                <w:b/>
              </w:rPr>
              <w:t xml:space="preserve"> requiring hospitalisation</w:t>
            </w:r>
          </w:p>
        </w:tc>
        <w:tc>
          <w:tcPr>
            <w:tcW w:w="408" w:type="pct"/>
            <w:vAlign w:val="center"/>
          </w:tcPr>
          <w:p w:rsidR="00AE07E6" w:rsidRPr="0021503D" w:rsidRDefault="00AE07E6" w:rsidP="00372932">
            <w:pPr>
              <w:pStyle w:val="TableBodyText"/>
            </w:pPr>
          </w:p>
        </w:tc>
        <w:tc>
          <w:tcPr>
            <w:tcW w:w="409" w:type="pct"/>
            <w:vAlign w:val="center"/>
          </w:tcPr>
          <w:p w:rsidR="00AE07E6" w:rsidRPr="0021503D" w:rsidRDefault="00AE07E6" w:rsidP="00372932">
            <w:pPr>
              <w:pStyle w:val="TableBodyText"/>
            </w:pPr>
          </w:p>
        </w:tc>
        <w:tc>
          <w:tcPr>
            <w:tcW w:w="408" w:type="pct"/>
            <w:vAlign w:val="center"/>
          </w:tcPr>
          <w:p w:rsidR="00AE07E6" w:rsidRPr="0021503D" w:rsidRDefault="00AE07E6" w:rsidP="00372932">
            <w:pPr>
              <w:pStyle w:val="TableBodyText"/>
            </w:pPr>
          </w:p>
        </w:tc>
        <w:tc>
          <w:tcPr>
            <w:tcW w:w="409" w:type="pct"/>
            <w:vAlign w:val="center"/>
          </w:tcPr>
          <w:p w:rsidR="00AE07E6" w:rsidRPr="0021503D" w:rsidRDefault="00AE07E6" w:rsidP="00372932">
            <w:pPr>
              <w:pStyle w:val="TableBodyText"/>
            </w:pPr>
          </w:p>
        </w:tc>
        <w:tc>
          <w:tcPr>
            <w:tcW w:w="408" w:type="pct"/>
            <w:vAlign w:val="center"/>
          </w:tcPr>
          <w:p w:rsidR="00AE07E6" w:rsidRPr="0021503D" w:rsidRDefault="00AE07E6" w:rsidP="00372932">
            <w:pPr>
              <w:pStyle w:val="TableBodyText"/>
            </w:pPr>
          </w:p>
        </w:tc>
        <w:tc>
          <w:tcPr>
            <w:tcW w:w="409" w:type="pct"/>
            <w:vAlign w:val="center"/>
          </w:tcPr>
          <w:p w:rsidR="00AE07E6" w:rsidRPr="0021503D" w:rsidRDefault="00AE07E6" w:rsidP="00372932">
            <w:pPr>
              <w:pStyle w:val="TableBodyText"/>
            </w:pPr>
          </w:p>
        </w:tc>
        <w:tc>
          <w:tcPr>
            <w:tcW w:w="408" w:type="pct"/>
            <w:vAlign w:val="center"/>
          </w:tcPr>
          <w:p w:rsidR="00AE07E6" w:rsidRPr="0021503D" w:rsidRDefault="00AE07E6" w:rsidP="00372932">
            <w:pPr>
              <w:pStyle w:val="TableBodyText"/>
            </w:pPr>
          </w:p>
        </w:tc>
        <w:tc>
          <w:tcPr>
            <w:tcW w:w="409" w:type="pct"/>
            <w:vAlign w:val="center"/>
          </w:tcPr>
          <w:p w:rsidR="00AE07E6" w:rsidRPr="0021503D" w:rsidRDefault="00AE07E6" w:rsidP="00372932">
            <w:pPr>
              <w:pStyle w:val="TableBodyText"/>
            </w:pPr>
          </w:p>
        </w:tc>
      </w:tr>
      <w:tr w:rsidR="00AE07E6" w:rsidRPr="0021503D" w:rsidTr="00372932">
        <w:tc>
          <w:tcPr>
            <w:tcW w:w="1732" w:type="pct"/>
          </w:tcPr>
          <w:p w:rsidR="00AE07E6" w:rsidRPr="0021503D" w:rsidRDefault="00AE07E6" w:rsidP="00372932">
            <w:pPr>
              <w:pStyle w:val="TableBodyText"/>
              <w:ind w:left="284"/>
              <w:jc w:val="left"/>
            </w:pPr>
            <w:r w:rsidRPr="0021503D">
              <w:t>Indigenous</w:t>
            </w:r>
          </w:p>
        </w:tc>
        <w:tc>
          <w:tcPr>
            <w:tcW w:w="408" w:type="pct"/>
            <w:vAlign w:val="center"/>
          </w:tcPr>
          <w:p w:rsidR="00AE07E6" w:rsidRPr="0021503D" w:rsidRDefault="00AE07E6" w:rsidP="00372932">
            <w:pPr>
              <w:pStyle w:val="TableBodyText"/>
            </w:pPr>
            <w:r w:rsidRPr="0021503D">
              <w:t xml:space="preserve">  14.0</w:t>
            </w:r>
          </w:p>
        </w:tc>
        <w:tc>
          <w:tcPr>
            <w:tcW w:w="409" w:type="pct"/>
            <w:vAlign w:val="center"/>
          </w:tcPr>
          <w:p w:rsidR="00AE07E6" w:rsidRPr="0021503D" w:rsidRDefault="00AE07E6" w:rsidP="00372932">
            <w:pPr>
              <w:pStyle w:val="TableBodyText"/>
            </w:pPr>
            <w:r w:rsidRPr="0021503D">
              <w:t>–</w:t>
            </w:r>
          </w:p>
        </w:tc>
        <w:tc>
          <w:tcPr>
            <w:tcW w:w="408" w:type="pct"/>
            <w:vAlign w:val="center"/>
          </w:tcPr>
          <w:p w:rsidR="00AE07E6" w:rsidRPr="0021503D" w:rsidRDefault="00AE07E6" w:rsidP="00372932">
            <w:pPr>
              <w:pStyle w:val="TableBodyText"/>
            </w:pPr>
            <w:r w:rsidRPr="0021503D">
              <w:t xml:space="preserve">  1.0</w:t>
            </w:r>
          </w:p>
        </w:tc>
        <w:tc>
          <w:tcPr>
            <w:tcW w:w="409" w:type="pct"/>
            <w:vAlign w:val="center"/>
          </w:tcPr>
          <w:p w:rsidR="00AE07E6" w:rsidRPr="0021503D" w:rsidRDefault="00AE07E6" w:rsidP="00372932">
            <w:pPr>
              <w:pStyle w:val="TableBodyText"/>
            </w:pPr>
            <w:r w:rsidRPr="0021503D">
              <w:t>na</w:t>
            </w:r>
          </w:p>
        </w:tc>
        <w:tc>
          <w:tcPr>
            <w:tcW w:w="408" w:type="pct"/>
            <w:vAlign w:val="center"/>
          </w:tcPr>
          <w:p w:rsidR="00AE07E6" w:rsidRPr="0021503D" w:rsidRDefault="00AE07E6" w:rsidP="00372932">
            <w:pPr>
              <w:pStyle w:val="TableBodyText"/>
            </w:pPr>
            <w:r w:rsidRPr="0021503D">
              <w:t>na</w:t>
            </w:r>
          </w:p>
        </w:tc>
        <w:tc>
          <w:tcPr>
            <w:tcW w:w="409" w:type="pct"/>
            <w:vAlign w:val="center"/>
          </w:tcPr>
          <w:p w:rsidR="00AE07E6" w:rsidRPr="0021503D" w:rsidRDefault="00AE07E6" w:rsidP="00372932">
            <w:pPr>
              <w:pStyle w:val="TableBodyText"/>
            </w:pPr>
            <w:r w:rsidRPr="0021503D">
              <w:t>–</w:t>
            </w:r>
          </w:p>
        </w:tc>
        <w:tc>
          <w:tcPr>
            <w:tcW w:w="408" w:type="pct"/>
            <w:vAlign w:val="center"/>
          </w:tcPr>
          <w:p w:rsidR="00AE07E6" w:rsidRPr="0021503D" w:rsidRDefault="00AE07E6" w:rsidP="00372932">
            <w:pPr>
              <w:pStyle w:val="TableBodyText"/>
            </w:pPr>
            <w:r w:rsidRPr="0021503D">
              <w:t xml:space="preserve">  1.0</w:t>
            </w:r>
          </w:p>
        </w:tc>
        <w:tc>
          <w:tcPr>
            <w:tcW w:w="409" w:type="pct"/>
            <w:vAlign w:val="center"/>
          </w:tcPr>
          <w:p w:rsidR="00AE07E6" w:rsidRPr="0021503D" w:rsidRDefault="00AE07E6" w:rsidP="00372932">
            <w:pPr>
              <w:pStyle w:val="TableBodyText"/>
            </w:pPr>
            <w:r w:rsidRPr="0021503D">
              <w:t xml:space="preserve">  22.0</w:t>
            </w:r>
          </w:p>
        </w:tc>
      </w:tr>
      <w:tr w:rsidR="00AE07E6" w:rsidRPr="0021503D" w:rsidTr="00372932">
        <w:tc>
          <w:tcPr>
            <w:tcW w:w="1732" w:type="pct"/>
          </w:tcPr>
          <w:p w:rsidR="00AE07E6" w:rsidRPr="0021503D" w:rsidRDefault="00AE07E6" w:rsidP="00372932">
            <w:pPr>
              <w:pStyle w:val="TableBodyText"/>
              <w:ind w:left="284"/>
              <w:jc w:val="left"/>
            </w:pPr>
            <w:r w:rsidRPr="0021503D">
              <w:t>Non-Indigenous</w:t>
            </w:r>
          </w:p>
        </w:tc>
        <w:tc>
          <w:tcPr>
            <w:tcW w:w="408" w:type="pct"/>
            <w:vAlign w:val="center"/>
          </w:tcPr>
          <w:p w:rsidR="00AE07E6" w:rsidRPr="0021503D" w:rsidRDefault="00AE07E6" w:rsidP="00372932">
            <w:pPr>
              <w:pStyle w:val="TableBodyText"/>
            </w:pPr>
            <w:r w:rsidRPr="0021503D">
              <w:t xml:space="preserve">  12.0</w:t>
            </w:r>
          </w:p>
        </w:tc>
        <w:tc>
          <w:tcPr>
            <w:tcW w:w="409" w:type="pct"/>
            <w:vAlign w:val="center"/>
          </w:tcPr>
          <w:p w:rsidR="00AE07E6" w:rsidRPr="0021503D" w:rsidRDefault="00AE07E6" w:rsidP="00372932">
            <w:pPr>
              <w:pStyle w:val="TableBodyText"/>
            </w:pPr>
            <w:r w:rsidRPr="0021503D">
              <w:t xml:space="preserve">  1.0</w:t>
            </w:r>
          </w:p>
        </w:tc>
        <w:tc>
          <w:tcPr>
            <w:tcW w:w="408" w:type="pct"/>
            <w:vAlign w:val="center"/>
          </w:tcPr>
          <w:p w:rsidR="00AE07E6" w:rsidRPr="0021503D" w:rsidRDefault="00AE07E6" w:rsidP="00372932">
            <w:pPr>
              <w:pStyle w:val="TableBodyText"/>
            </w:pPr>
            <w:r w:rsidRPr="0021503D">
              <w:t xml:space="preserve">  4.0</w:t>
            </w:r>
          </w:p>
        </w:tc>
        <w:tc>
          <w:tcPr>
            <w:tcW w:w="409" w:type="pct"/>
            <w:vAlign w:val="center"/>
          </w:tcPr>
          <w:p w:rsidR="00AE07E6" w:rsidRPr="0021503D" w:rsidRDefault="00AE07E6" w:rsidP="00372932">
            <w:pPr>
              <w:pStyle w:val="TableBodyText"/>
            </w:pPr>
            <w:r w:rsidRPr="0021503D">
              <w:t>na</w:t>
            </w:r>
          </w:p>
        </w:tc>
        <w:tc>
          <w:tcPr>
            <w:tcW w:w="408" w:type="pct"/>
            <w:vAlign w:val="center"/>
          </w:tcPr>
          <w:p w:rsidR="00AE07E6" w:rsidRPr="0021503D" w:rsidRDefault="00AE07E6" w:rsidP="00372932">
            <w:pPr>
              <w:pStyle w:val="TableBodyText"/>
            </w:pPr>
            <w:r w:rsidRPr="0021503D">
              <w:t>na</w:t>
            </w:r>
          </w:p>
        </w:tc>
        <w:tc>
          <w:tcPr>
            <w:tcW w:w="409" w:type="pct"/>
            <w:vAlign w:val="center"/>
          </w:tcPr>
          <w:p w:rsidR="00AE07E6" w:rsidRPr="0021503D" w:rsidRDefault="00AE07E6" w:rsidP="00372932">
            <w:pPr>
              <w:pStyle w:val="TableBodyText"/>
            </w:pPr>
            <w:r w:rsidRPr="0021503D">
              <w:t xml:space="preserve">  –</w:t>
            </w:r>
          </w:p>
        </w:tc>
        <w:tc>
          <w:tcPr>
            <w:tcW w:w="408" w:type="pct"/>
            <w:vAlign w:val="center"/>
          </w:tcPr>
          <w:p w:rsidR="00AE07E6" w:rsidRPr="0021503D" w:rsidRDefault="00AE07E6" w:rsidP="00372932">
            <w:pPr>
              <w:pStyle w:val="TableBodyText"/>
            </w:pPr>
            <w:r w:rsidRPr="0021503D">
              <w:t xml:space="preserve">  2.0</w:t>
            </w:r>
          </w:p>
        </w:tc>
        <w:tc>
          <w:tcPr>
            <w:tcW w:w="409" w:type="pct"/>
            <w:vAlign w:val="center"/>
          </w:tcPr>
          <w:p w:rsidR="00AE07E6" w:rsidRPr="0021503D" w:rsidRDefault="00AE07E6" w:rsidP="00372932">
            <w:pPr>
              <w:pStyle w:val="TableBodyText"/>
            </w:pPr>
            <w:r w:rsidRPr="0021503D">
              <w:t>–</w:t>
            </w:r>
          </w:p>
        </w:tc>
      </w:tr>
      <w:tr w:rsidR="00AE07E6" w:rsidRPr="0021503D" w:rsidTr="00372932">
        <w:tc>
          <w:tcPr>
            <w:tcW w:w="1732" w:type="pct"/>
          </w:tcPr>
          <w:p w:rsidR="00AE07E6" w:rsidRPr="0021503D" w:rsidRDefault="00AE07E6" w:rsidP="00372932">
            <w:pPr>
              <w:pStyle w:val="TableBodyText"/>
              <w:ind w:left="284"/>
              <w:jc w:val="left"/>
            </w:pPr>
            <w:r w:rsidRPr="0021503D">
              <w:t>Unknown</w:t>
            </w:r>
          </w:p>
        </w:tc>
        <w:tc>
          <w:tcPr>
            <w:tcW w:w="408" w:type="pct"/>
            <w:vAlign w:val="center"/>
          </w:tcPr>
          <w:p w:rsidR="00AE07E6" w:rsidRPr="0021503D" w:rsidRDefault="00AE07E6" w:rsidP="00372932">
            <w:pPr>
              <w:pStyle w:val="TableBodyText"/>
            </w:pPr>
            <w:r w:rsidRPr="0021503D">
              <w:t xml:space="preserve">  8.0</w:t>
            </w:r>
          </w:p>
        </w:tc>
        <w:tc>
          <w:tcPr>
            <w:tcW w:w="409" w:type="pct"/>
            <w:vAlign w:val="center"/>
          </w:tcPr>
          <w:p w:rsidR="00AE07E6" w:rsidRPr="0021503D" w:rsidRDefault="00AE07E6" w:rsidP="00372932">
            <w:pPr>
              <w:pStyle w:val="TableBodyText"/>
            </w:pPr>
            <w:r w:rsidRPr="0021503D">
              <w:t>na</w:t>
            </w:r>
          </w:p>
        </w:tc>
        <w:tc>
          <w:tcPr>
            <w:tcW w:w="408" w:type="pct"/>
            <w:vAlign w:val="center"/>
          </w:tcPr>
          <w:p w:rsidR="00AE07E6" w:rsidRPr="0021503D" w:rsidRDefault="00AE07E6" w:rsidP="00372932">
            <w:pPr>
              <w:pStyle w:val="TableBodyText"/>
            </w:pPr>
            <w:r w:rsidRPr="0021503D">
              <w:t>–</w:t>
            </w:r>
          </w:p>
        </w:tc>
        <w:tc>
          <w:tcPr>
            <w:tcW w:w="409" w:type="pct"/>
            <w:vAlign w:val="center"/>
          </w:tcPr>
          <w:p w:rsidR="00AE07E6" w:rsidRPr="0021503D" w:rsidRDefault="00AE07E6" w:rsidP="00372932">
            <w:pPr>
              <w:pStyle w:val="TableBodyText"/>
            </w:pPr>
            <w:r w:rsidRPr="0021503D">
              <w:t>na</w:t>
            </w:r>
          </w:p>
        </w:tc>
        <w:tc>
          <w:tcPr>
            <w:tcW w:w="408" w:type="pct"/>
            <w:vAlign w:val="center"/>
          </w:tcPr>
          <w:p w:rsidR="00AE07E6" w:rsidRPr="0021503D" w:rsidRDefault="00AE07E6" w:rsidP="00372932">
            <w:pPr>
              <w:pStyle w:val="TableBodyText"/>
            </w:pPr>
            <w:r w:rsidRPr="0021503D">
              <w:t>na</w:t>
            </w:r>
          </w:p>
        </w:tc>
        <w:tc>
          <w:tcPr>
            <w:tcW w:w="409" w:type="pct"/>
            <w:vAlign w:val="center"/>
          </w:tcPr>
          <w:p w:rsidR="00AE07E6" w:rsidRPr="0021503D" w:rsidRDefault="00AE07E6" w:rsidP="00372932">
            <w:pPr>
              <w:pStyle w:val="TableBodyText"/>
            </w:pPr>
            <w:r w:rsidRPr="0021503D">
              <w:t>–</w:t>
            </w:r>
          </w:p>
        </w:tc>
        <w:tc>
          <w:tcPr>
            <w:tcW w:w="408" w:type="pct"/>
            <w:vAlign w:val="center"/>
          </w:tcPr>
          <w:p w:rsidR="00AE07E6" w:rsidRPr="0021503D" w:rsidRDefault="00AE07E6" w:rsidP="00372932">
            <w:pPr>
              <w:pStyle w:val="TableBodyText"/>
            </w:pPr>
            <w:r w:rsidRPr="0021503D">
              <w:t>–</w:t>
            </w:r>
          </w:p>
        </w:tc>
        <w:tc>
          <w:tcPr>
            <w:tcW w:w="409" w:type="pct"/>
            <w:vAlign w:val="center"/>
          </w:tcPr>
          <w:p w:rsidR="00AE07E6" w:rsidRPr="0021503D" w:rsidRDefault="00AE07E6" w:rsidP="00372932">
            <w:pPr>
              <w:pStyle w:val="TableBodyText"/>
            </w:pPr>
            <w:r w:rsidRPr="0021503D">
              <w:t>–</w:t>
            </w:r>
          </w:p>
        </w:tc>
      </w:tr>
      <w:tr w:rsidR="00AE07E6" w:rsidRPr="0021503D" w:rsidTr="00372932">
        <w:tc>
          <w:tcPr>
            <w:tcW w:w="1732" w:type="pct"/>
          </w:tcPr>
          <w:p w:rsidR="00AE07E6" w:rsidRPr="0021503D" w:rsidRDefault="00AE07E6" w:rsidP="00372932">
            <w:pPr>
              <w:pStyle w:val="TableBodyText"/>
              <w:ind w:left="284"/>
              <w:jc w:val="left"/>
            </w:pPr>
            <w:r w:rsidRPr="0021503D">
              <w:t>Total</w:t>
            </w:r>
          </w:p>
        </w:tc>
        <w:tc>
          <w:tcPr>
            <w:tcW w:w="408" w:type="pct"/>
            <w:vAlign w:val="center"/>
          </w:tcPr>
          <w:p w:rsidR="00AE07E6" w:rsidRPr="0021503D" w:rsidRDefault="00AE07E6" w:rsidP="00372932">
            <w:pPr>
              <w:pStyle w:val="TableBodyText"/>
            </w:pPr>
            <w:r w:rsidRPr="0021503D">
              <w:t xml:space="preserve">  34.0</w:t>
            </w:r>
          </w:p>
        </w:tc>
        <w:tc>
          <w:tcPr>
            <w:tcW w:w="409" w:type="pct"/>
            <w:vAlign w:val="center"/>
          </w:tcPr>
          <w:p w:rsidR="00AE07E6" w:rsidRPr="0021503D" w:rsidRDefault="00AE07E6" w:rsidP="00372932">
            <w:pPr>
              <w:pStyle w:val="TableBodyText"/>
            </w:pPr>
            <w:r w:rsidRPr="0021503D">
              <w:t xml:space="preserve">  1.0</w:t>
            </w:r>
          </w:p>
        </w:tc>
        <w:tc>
          <w:tcPr>
            <w:tcW w:w="408" w:type="pct"/>
            <w:vAlign w:val="center"/>
          </w:tcPr>
          <w:p w:rsidR="00AE07E6" w:rsidRPr="0021503D" w:rsidRDefault="00AE07E6" w:rsidP="00372932">
            <w:pPr>
              <w:pStyle w:val="TableBodyText"/>
            </w:pPr>
            <w:r w:rsidRPr="0021503D">
              <w:t xml:space="preserve">  5.0</w:t>
            </w:r>
          </w:p>
        </w:tc>
        <w:tc>
          <w:tcPr>
            <w:tcW w:w="409" w:type="pct"/>
            <w:vAlign w:val="center"/>
          </w:tcPr>
          <w:p w:rsidR="00AE07E6" w:rsidRPr="0021503D" w:rsidRDefault="00AE07E6" w:rsidP="00372932">
            <w:pPr>
              <w:pStyle w:val="TableBodyText"/>
            </w:pPr>
            <w:r w:rsidRPr="0021503D">
              <w:t>na</w:t>
            </w:r>
          </w:p>
        </w:tc>
        <w:tc>
          <w:tcPr>
            <w:tcW w:w="408" w:type="pct"/>
            <w:vAlign w:val="center"/>
          </w:tcPr>
          <w:p w:rsidR="00AE07E6" w:rsidRPr="0021503D" w:rsidRDefault="00AE07E6" w:rsidP="00372932">
            <w:pPr>
              <w:pStyle w:val="TableBodyText"/>
            </w:pPr>
            <w:r w:rsidRPr="0021503D">
              <w:t>na</w:t>
            </w:r>
          </w:p>
        </w:tc>
        <w:tc>
          <w:tcPr>
            <w:tcW w:w="409" w:type="pct"/>
            <w:vAlign w:val="center"/>
          </w:tcPr>
          <w:p w:rsidR="00AE07E6" w:rsidRPr="0021503D" w:rsidRDefault="00AE07E6" w:rsidP="00372932">
            <w:pPr>
              <w:pStyle w:val="TableBodyText"/>
            </w:pPr>
            <w:r w:rsidRPr="0021503D">
              <w:t xml:space="preserve">  –</w:t>
            </w:r>
          </w:p>
        </w:tc>
        <w:tc>
          <w:tcPr>
            <w:tcW w:w="408" w:type="pct"/>
            <w:vAlign w:val="center"/>
          </w:tcPr>
          <w:p w:rsidR="00AE07E6" w:rsidRPr="0021503D" w:rsidRDefault="00AE07E6" w:rsidP="00372932">
            <w:pPr>
              <w:pStyle w:val="TableBodyText"/>
            </w:pPr>
            <w:r w:rsidRPr="0021503D">
              <w:t xml:space="preserve">  3.0</w:t>
            </w:r>
          </w:p>
        </w:tc>
        <w:tc>
          <w:tcPr>
            <w:tcW w:w="409" w:type="pct"/>
            <w:vAlign w:val="center"/>
          </w:tcPr>
          <w:p w:rsidR="00AE07E6" w:rsidRPr="0021503D" w:rsidRDefault="00AE07E6" w:rsidP="00372932">
            <w:pPr>
              <w:pStyle w:val="TableBodyText"/>
            </w:pPr>
            <w:r w:rsidRPr="0021503D">
              <w:t xml:space="preserve">  22.0</w:t>
            </w:r>
          </w:p>
        </w:tc>
      </w:tr>
      <w:tr w:rsidR="00AE07E6" w:rsidRPr="0021503D" w:rsidTr="00372932">
        <w:tc>
          <w:tcPr>
            <w:tcW w:w="1732" w:type="pct"/>
          </w:tcPr>
          <w:p w:rsidR="00AE07E6" w:rsidRPr="0021503D" w:rsidRDefault="00AE07E6" w:rsidP="00372932">
            <w:pPr>
              <w:pStyle w:val="TableBodyText"/>
              <w:ind w:right="0"/>
              <w:jc w:val="left"/>
              <w:rPr>
                <w:b/>
              </w:rPr>
            </w:pPr>
            <w:r w:rsidRPr="0021503D">
              <w:rPr>
                <w:b/>
              </w:rPr>
              <w:t>Rate per 10 000 custody nights</w:t>
            </w:r>
          </w:p>
        </w:tc>
        <w:tc>
          <w:tcPr>
            <w:tcW w:w="408" w:type="pct"/>
            <w:vAlign w:val="center"/>
          </w:tcPr>
          <w:p w:rsidR="00AE07E6" w:rsidRPr="0021503D" w:rsidRDefault="00AE07E6" w:rsidP="00372932">
            <w:pPr>
              <w:pStyle w:val="TableBodyText"/>
            </w:pPr>
          </w:p>
        </w:tc>
        <w:tc>
          <w:tcPr>
            <w:tcW w:w="409" w:type="pct"/>
            <w:vAlign w:val="center"/>
          </w:tcPr>
          <w:p w:rsidR="00AE07E6" w:rsidRPr="0021503D" w:rsidRDefault="00AE07E6" w:rsidP="00372932">
            <w:pPr>
              <w:pStyle w:val="TableBodyText"/>
            </w:pPr>
          </w:p>
        </w:tc>
        <w:tc>
          <w:tcPr>
            <w:tcW w:w="408" w:type="pct"/>
            <w:vAlign w:val="center"/>
          </w:tcPr>
          <w:p w:rsidR="00AE07E6" w:rsidRPr="0021503D" w:rsidRDefault="00AE07E6" w:rsidP="00372932">
            <w:pPr>
              <w:pStyle w:val="TableBodyText"/>
            </w:pPr>
          </w:p>
        </w:tc>
        <w:tc>
          <w:tcPr>
            <w:tcW w:w="409" w:type="pct"/>
            <w:vAlign w:val="center"/>
          </w:tcPr>
          <w:p w:rsidR="00AE07E6" w:rsidRPr="0021503D" w:rsidRDefault="00AE07E6" w:rsidP="00372932">
            <w:pPr>
              <w:pStyle w:val="TableBodyText"/>
            </w:pPr>
          </w:p>
        </w:tc>
        <w:tc>
          <w:tcPr>
            <w:tcW w:w="408" w:type="pct"/>
            <w:vAlign w:val="center"/>
          </w:tcPr>
          <w:p w:rsidR="00AE07E6" w:rsidRPr="0021503D" w:rsidRDefault="00AE07E6" w:rsidP="00372932">
            <w:pPr>
              <w:pStyle w:val="TableBodyText"/>
            </w:pPr>
          </w:p>
        </w:tc>
        <w:tc>
          <w:tcPr>
            <w:tcW w:w="409" w:type="pct"/>
            <w:vAlign w:val="center"/>
          </w:tcPr>
          <w:p w:rsidR="00AE07E6" w:rsidRPr="0021503D" w:rsidRDefault="00AE07E6" w:rsidP="00372932">
            <w:pPr>
              <w:pStyle w:val="TableBodyText"/>
            </w:pPr>
          </w:p>
        </w:tc>
        <w:tc>
          <w:tcPr>
            <w:tcW w:w="408" w:type="pct"/>
            <w:vAlign w:val="center"/>
          </w:tcPr>
          <w:p w:rsidR="00AE07E6" w:rsidRPr="0021503D" w:rsidRDefault="00AE07E6" w:rsidP="00372932">
            <w:pPr>
              <w:pStyle w:val="TableBodyText"/>
            </w:pPr>
          </w:p>
        </w:tc>
        <w:tc>
          <w:tcPr>
            <w:tcW w:w="409" w:type="pct"/>
            <w:vAlign w:val="center"/>
          </w:tcPr>
          <w:p w:rsidR="00AE07E6" w:rsidRPr="0021503D" w:rsidRDefault="00AE07E6" w:rsidP="00372932">
            <w:pPr>
              <w:pStyle w:val="TableBodyText"/>
            </w:pPr>
          </w:p>
        </w:tc>
      </w:tr>
      <w:tr w:rsidR="00AE07E6" w:rsidRPr="0021503D" w:rsidTr="00372932">
        <w:tc>
          <w:tcPr>
            <w:tcW w:w="1732" w:type="pct"/>
          </w:tcPr>
          <w:p w:rsidR="00AE07E6" w:rsidRPr="0021503D" w:rsidRDefault="00AE07E6" w:rsidP="00372932">
            <w:pPr>
              <w:pStyle w:val="TableBodyText"/>
              <w:ind w:left="284"/>
              <w:jc w:val="left"/>
            </w:pPr>
            <w:r w:rsidRPr="0021503D">
              <w:t>Indigenous</w:t>
            </w:r>
          </w:p>
        </w:tc>
        <w:tc>
          <w:tcPr>
            <w:tcW w:w="408" w:type="pct"/>
            <w:vAlign w:val="center"/>
          </w:tcPr>
          <w:p w:rsidR="00AE07E6" w:rsidRPr="0021503D" w:rsidRDefault="00AE07E6" w:rsidP="00372932">
            <w:pPr>
              <w:pStyle w:val="TableBodyText"/>
            </w:pPr>
            <w:r w:rsidRPr="0021503D">
              <w:t xml:space="preserve">  2.2</w:t>
            </w:r>
          </w:p>
        </w:tc>
        <w:tc>
          <w:tcPr>
            <w:tcW w:w="409" w:type="pct"/>
            <w:vAlign w:val="center"/>
          </w:tcPr>
          <w:p w:rsidR="00AE07E6" w:rsidRPr="0021503D" w:rsidRDefault="00AE07E6" w:rsidP="00372932">
            <w:pPr>
              <w:pStyle w:val="TableBodyText"/>
            </w:pPr>
            <w:r w:rsidRPr="0021503D">
              <w:t>–</w:t>
            </w:r>
          </w:p>
        </w:tc>
        <w:tc>
          <w:tcPr>
            <w:tcW w:w="408" w:type="pct"/>
            <w:vAlign w:val="center"/>
          </w:tcPr>
          <w:p w:rsidR="00AE07E6" w:rsidRPr="0021503D" w:rsidRDefault="00AE07E6" w:rsidP="00372932">
            <w:pPr>
              <w:pStyle w:val="TableBodyText"/>
            </w:pPr>
            <w:r w:rsidRPr="0021503D">
              <w:t xml:space="preserve">  0.3</w:t>
            </w:r>
          </w:p>
        </w:tc>
        <w:tc>
          <w:tcPr>
            <w:tcW w:w="409" w:type="pct"/>
            <w:vAlign w:val="center"/>
          </w:tcPr>
          <w:p w:rsidR="00AE07E6" w:rsidRPr="0021503D" w:rsidRDefault="00AE07E6" w:rsidP="00372932">
            <w:pPr>
              <w:pStyle w:val="TableBodyText"/>
            </w:pPr>
            <w:r w:rsidRPr="0021503D">
              <w:t>na</w:t>
            </w:r>
          </w:p>
        </w:tc>
        <w:tc>
          <w:tcPr>
            <w:tcW w:w="408" w:type="pct"/>
            <w:vAlign w:val="center"/>
          </w:tcPr>
          <w:p w:rsidR="00AE07E6" w:rsidRPr="0021503D" w:rsidRDefault="00AE07E6" w:rsidP="00372932">
            <w:pPr>
              <w:pStyle w:val="TableBodyText"/>
            </w:pPr>
            <w:r w:rsidRPr="0021503D">
              <w:t>na</w:t>
            </w:r>
          </w:p>
        </w:tc>
        <w:tc>
          <w:tcPr>
            <w:tcW w:w="409" w:type="pct"/>
            <w:vAlign w:val="center"/>
          </w:tcPr>
          <w:p w:rsidR="00AE07E6" w:rsidRPr="0021503D" w:rsidRDefault="00AE07E6" w:rsidP="00372932">
            <w:pPr>
              <w:pStyle w:val="TableBodyText"/>
            </w:pPr>
            <w:r w:rsidRPr="0021503D">
              <w:t>–</w:t>
            </w:r>
          </w:p>
        </w:tc>
        <w:tc>
          <w:tcPr>
            <w:tcW w:w="408" w:type="pct"/>
            <w:vAlign w:val="center"/>
          </w:tcPr>
          <w:p w:rsidR="00AE07E6" w:rsidRPr="0021503D" w:rsidRDefault="00AE07E6" w:rsidP="00372932">
            <w:pPr>
              <w:pStyle w:val="TableBodyText"/>
            </w:pPr>
            <w:r w:rsidRPr="0021503D">
              <w:t xml:space="preserve">  3.3</w:t>
            </w:r>
          </w:p>
        </w:tc>
        <w:tc>
          <w:tcPr>
            <w:tcW w:w="409" w:type="pct"/>
            <w:vAlign w:val="center"/>
          </w:tcPr>
          <w:p w:rsidR="00AE07E6" w:rsidRPr="0021503D" w:rsidRDefault="00AE07E6" w:rsidP="00372932">
            <w:pPr>
              <w:pStyle w:val="TableBodyText"/>
            </w:pPr>
            <w:r w:rsidRPr="0021503D">
              <w:t xml:space="preserve">  16.3</w:t>
            </w:r>
          </w:p>
        </w:tc>
      </w:tr>
      <w:tr w:rsidR="00AE07E6" w:rsidRPr="0021503D" w:rsidTr="00372932">
        <w:tc>
          <w:tcPr>
            <w:tcW w:w="1732" w:type="pct"/>
          </w:tcPr>
          <w:p w:rsidR="00AE07E6" w:rsidRPr="0021503D" w:rsidRDefault="00AE07E6" w:rsidP="00372932">
            <w:pPr>
              <w:pStyle w:val="TableBodyText"/>
              <w:ind w:left="284"/>
              <w:jc w:val="left"/>
            </w:pPr>
            <w:r w:rsidRPr="0021503D">
              <w:t>Non-Indigenous</w:t>
            </w:r>
          </w:p>
        </w:tc>
        <w:tc>
          <w:tcPr>
            <w:tcW w:w="408" w:type="pct"/>
            <w:vAlign w:val="center"/>
          </w:tcPr>
          <w:p w:rsidR="00AE07E6" w:rsidRPr="0021503D" w:rsidRDefault="00AE07E6" w:rsidP="00372932">
            <w:pPr>
              <w:pStyle w:val="TableBodyText"/>
            </w:pPr>
            <w:r w:rsidRPr="0021503D">
              <w:t xml:space="preserve">  1.9</w:t>
            </w:r>
          </w:p>
        </w:tc>
        <w:tc>
          <w:tcPr>
            <w:tcW w:w="409" w:type="pct"/>
            <w:vAlign w:val="center"/>
          </w:tcPr>
          <w:p w:rsidR="00AE07E6" w:rsidRPr="0021503D" w:rsidRDefault="00AE07E6" w:rsidP="00372932">
            <w:pPr>
              <w:pStyle w:val="TableBodyText"/>
            </w:pPr>
            <w:r w:rsidRPr="0021503D">
              <w:t xml:space="preserve">  0.2</w:t>
            </w:r>
          </w:p>
        </w:tc>
        <w:tc>
          <w:tcPr>
            <w:tcW w:w="408" w:type="pct"/>
            <w:vAlign w:val="center"/>
          </w:tcPr>
          <w:p w:rsidR="00AE07E6" w:rsidRPr="0021503D" w:rsidRDefault="00AE07E6" w:rsidP="00372932">
            <w:pPr>
              <w:pStyle w:val="TableBodyText"/>
            </w:pPr>
            <w:r w:rsidRPr="0021503D">
              <w:t xml:space="preserve">  2.2</w:t>
            </w:r>
          </w:p>
        </w:tc>
        <w:tc>
          <w:tcPr>
            <w:tcW w:w="409" w:type="pct"/>
            <w:vAlign w:val="center"/>
          </w:tcPr>
          <w:p w:rsidR="00AE07E6" w:rsidRPr="0021503D" w:rsidRDefault="00AE07E6" w:rsidP="00372932">
            <w:pPr>
              <w:pStyle w:val="TableBodyText"/>
            </w:pPr>
            <w:r w:rsidRPr="0021503D">
              <w:t>na</w:t>
            </w:r>
          </w:p>
        </w:tc>
        <w:tc>
          <w:tcPr>
            <w:tcW w:w="408" w:type="pct"/>
            <w:vAlign w:val="center"/>
          </w:tcPr>
          <w:p w:rsidR="00AE07E6" w:rsidRPr="0021503D" w:rsidRDefault="00AE07E6" w:rsidP="00372932">
            <w:pPr>
              <w:pStyle w:val="TableBodyText"/>
            </w:pPr>
            <w:r w:rsidRPr="0021503D">
              <w:t>na</w:t>
            </w:r>
          </w:p>
        </w:tc>
        <w:tc>
          <w:tcPr>
            <w:tcW w:w="409" w:type="pct"/>
            <w:vAlign w:val="center"/>
          </w:tcPr>
          <w:p w:rsidR="00AE07E6" w:rsidRPr="0021503D" w:rsidRDefault="00AE07E6" w:rsidP="00372932">
            <w:pPr>
              <w:pStyle w:val="TableBodyText"/>
            </w:pPr>
            <w:r w:rsidRPr="0021503D">
              <w:t xml:space="preserve">  –</w:t>
            </w:r>
          </w:p>
        </w:tc>
        <w:tc>
          <w:tcPr>
            <w:tcW w:w="408" w:type="pct"/>
            <w:vAlign w:val="center"/>
          </w:tcPr>
          <w:p w:rsidR="00AE07E6" w:rsidRPr="0021503D" w:rsidRDefault="00AE07E6" w:rsidP="00372932">
            <w:pPr>
              <w:pStyle w:val="TableBodyText"/>
            </w:pPr>
            <w:r w:rsidRPr="0021503D">
              <w:t xml:space="preserve">  3.8</w:t>
            </w:r>
          </w:p>
        </w:tc>
        <w:tc>
          <w:tcPr>
            <w:tcW w:w="409" w:type="pct"/>
            <w:vAlign w:val="center"/>
          </w:tcPr>
          <w:p w:rsidR="00AE07E6" w:rsidRPr="0021503D" w:rsidRDefault="00AE07E6" w:rsidP="00372932">
            <w:pPr>
              <w:pStyle w:val="TableBodyText"/>
            </w:pPr>
            <w:r w:rsidRPr="0021503D">
              <w:t>–</w:t>
            </w:r>
          </w:p>
        </w:tc>
      </w:tr>
      <w:tr w:rsidR="00AE07E6" w:rsidRPr="0021503D" w:rsidTr="00372932">
        <w:tc>
          <w:tcPr>
            <w:tcW w:w="1732" w:type="pct"/>
          </w:tcPr>
          <w:p w:rsidR="00AE07E6" w:rsidRPr="0021503D" w:rsidRDefault="00AE07E6" w:rsidP="00372932">
            <w:pPr>
              <w:pStyle w:val="TableBodyText"/>
              <w:ind w:left="284"/>
              <w:jc w:val="left"/>
            </w:pPr>
            <w:r w:rsidRPr="0021503D">
              <w:t>Unknown</w:t>
            </w:r>
          </w:p>
        </w:tc>
        <w:tc>
          <w:tcPr>
            <w:tcW w:w="408" w:type="pct"/>
            <w:vAlign w:val="center"/>
          </w:tcPr>
          <w:p w:rsidR="00AE07E6" w:rsidRPr="0021503D" w:rsidRDefault="00AE07E6" w:rsidP="00372932">
            <w:pPr>
              <w:pStyle w:val="TableBodyText"/>
            </w:pPr>
            <w:r w:rsidRPr="0021503D">
              <w:t xml:space="preserve">  33.7</w:t>
            </w:r>
          </w:p>
        </w:tc>
        <w:tc>
          <w:tcPr>
            <w:tcW w:w="409" w:type="pct"/>
            <w:vAlign w:val="center"/>
          </w:tcPr>
          <w:p w:rsidR="00AE07E6" w:rsidRPr="0021503D" w:rsidRDefault="00AE07E6" w:rsidP="00372932">
            <w:pPr>
              <w:pStyle w:val="TableBodyText"/>
            </w:pPr>
            <w:r w:rsidRPr="0021503D">
              <w:t>na</w:t>
            </w:r>
          </w:p>
        </w:tc>
        <w:tc>
          <w:tcPr>
            <w:tcW w:w="408" w:type="pct"/>
            <w:vAlign w:val="center"/>
          </w:tcPr>
          <w:p w:rsidR="00AE07E6" w:rsidRPr="0021503D" w:rsidRDefault="00AE07E6" w:rsidP="00372932">
            <w:pPr>
              <w:pStyle w:val="TableBodyText"/>
            </w:pPr>
            <w:r w:rsidRPr="0021503D">
              <w:t>–</w:t>
            </w:r>
          </w:p>
        </w:tc>
        <w:tc>
          <w:tcPr>
            <w:tcW w:w="409" w:type="pct"/>
            <w:vAlign w:val="center"/>
          </w:tcPr>
          <w:p w:rsidR="00AE07E6" w:rsidRPr="0021503D" w:rsidRDefault="00AE07E6" w:rsidP="00372932">
            <w:pPr>
              <w:pStyle w:val="TableBodyText"/>
            </w:pPr>
            <w:r w:rsidRPr="0021503D">
              <w:t>na</w:t>
            </w:r>
          </w:p>
        </w:tc>
        <w:tc>
          <w:tcPr>
            <w:tcW w:w="408" w:type="pct"/>
            <w:vAlign w:val="center"/>
          </w:tcPr>
          <w:p w:rsidR="00AE07E6" w:rsidRPr="0021503D" w:rsidRDefault="00AE07E6" w:rsidP="00372932">
            <w:pPr>
              <w:pStyle w:val="TableBodyText"/>
            </w:pPr>
            <w:r w:rsidRPr="0021503D">
              <w:t>na</w:t>
            </w:r>
          </w:p>
        </w:tc>
        <w:tc>
          <w:tcPr>
            <w:tcW w:w="409" w:type="pct"/>
            <w:vAlign w:val="center"/>
          </w:tcPr>
          <w:p w:rsidR="00AE07E6" w:rsidRPr="0021503D" w:rsidRDefault="00AE07E6" w:rsidP="00372932">
            <w:pPr>
              <w:pStyle w:val="TableBodyText"/>
            </w:pPr>
            <w:r w:rsidRPr="0021503D">
              <w:t>–</w:t>
            </w:r>
          </w:p>
        </w:tc>
        <w:tc>
          <w:tcPr>
            <w:tcW w:w="408" w:type="pct"/>
            <w:vAlign w:val="center"/>
          </w:tcPr>
          <w:p w:rsidR="00AE07E6" w:rsidRPr="0021503D" w:rsidRDefault="00AE07E6" w:rsidP="00372932">
            <w:pPr>
              <w:pStyle w:val="TableBodyText"/>
            </w:pPr>
            <w:r w:rsidRPr="0021503D">
              <w:t>–</w:t>
            </w:r>
          </w:p>
        </w:tc>
        <w:tc>
          <w:tcPr>
            <w:tcW w:w="409" w:type="pct"/>
            <w:vAlign w:val="center"/>
          </w:tcPr>
          <w:p w:rsidR="00AE07E6" w:rsidRPr="0021503D" w:rsidRDefault="00AE07E6" w:rsidP="00372932">
            <w:pPr>
              <w:pStyle w:val="TableBodyText"/>
            </w:pPr>
            <w:r w:rsidRPr="0021503D">
              <w:t>–</w:t>
            </w:r>
          </w:p>
        </w:tc>
      </w:tr>
      <w:tr w:rsidR="00AE07E6" w:rsidRPr="0021503D" w:rsidTr="00372932">
        <w:tc>
          <w:tcPr>
            <w:tcW w:w="1732" w:type="pct"/>
            <w:tcBorders>
              <w:bottom w:val="single" w:sz="4" w:space="0" w:color="auto"/>
            </w:tcBorders>
          </w:tcPr>
          <w:p w:rsidR="00AE07E6" w:rsidRPr="0021503D" w:rsidRDefault="00AE07E6" w:rsidP="00372932">
            <w:pPr>
              <w:pStyle w:val="TableBodyText"/>
              <w:ind w:left="284"/>
              <w:jc w:val="left"/>
            </w:pPr>
            <w:r w:rsidRPr="0021503D">
              <w:t>Total</w:t>
            </w:r>
          </w:p>
        </w:tc>
        <w:tc>
          <w:tcPr>
            <w:tcW w:w="408" w:type="pct"/>
            <w:tcBorders>
              <w:bottom w:val="single" w:sz="4" w:space="0" w:color="auto"/>
            </w:tcBorders>
            <w:vAlign w:val="center"/>
          </w:tcPr>
          <w:p w:rsidR="00AE07E6" w:rsidRPr="0021503D" w:rsidRDefault="00AE07E6" w:rsidP="00372932">
            <w:pPr>
              <w:pStyle w:val="TableBodyText"/>
            </w:pPr>
            <w:r w:rsidRPr="0021503D">
              <w:t xml:space="preserve">  2.6</w:t>
            </w:r>
          </w:p>
        </w:tc>
        <w:tc>
          <w:tcPr>
            <w:tcW w:w="409" w:type="pct"/>
            <w:tcBorders>
              <w:bottom w:val="single" w:sz="4" w:space="0" w:color="auto"/>
            </w:tcBorders>
            <w:vAlign w:val="center"/>
          </w:tcPr>
          <w:p w:rsidR="00AE07E6" w:rsidRPr="0021503D" w:rsidRDefault="00AE07E6" w:rsidP="00372932">
            <w:pPr>
              <w:pStyle w:val="TableBodyText"/>
            </w:pPr>
            <w:r w:rsidRPr="0021503D">
              <w:t xml:space="preserve">  0.2</w:t>
            </w:r>
          </w:p>
        </w:tc>
        <w:tc>
          <w:tcPr>
            <w:tcW w:w="408" w:type="pct"/>
            <w:tcBorders>
              <w:bottom w:val="single" w:sz="4" w:space="0" w:color="auto"/>
            </w:tcBorders>
            <w:vAlign w:val="center"/>
          </w:tcPr>
          <w:p w:rsidR="00AE07E6" w:rsidRPr="0021503D" w:rsidRDefault="00AE07E6" w:rsidP="00372932">
            <w:pPr>
              <w:pStyle w:val="TableBodyText"/>
            </w:pPr>
            <w:r w:rsidRPr="0021503D">
              <w:t xml:space="preserve">  1.0</w:t>
            </w:r>
          </w:p>
        </w:tc>
        <w:tc>
          <w:tcPr>
            <w:tcW w:w="409" w:type="pct"/>
            <w:tcBorders>
              <w:bottom w:val="single" w:sz="4" w:space="0" w:color="auto"/>
            </w:tcBorders>
            <w:vAlign w:val="center"/>
          </w:tcPr>
          <w:p w:rsidR="00AE07E6" w:rsidRPr="0021503D" w:rsidRDefault="00AE07E6" w:rsidP="00372932">
            <w:pPr>
              <w:pStyle w:val="TableBodyText"/>
            </w:pPr>
            <w:r w:rsidRPr="0021503D">
              <w:t>na</w:t>
            </w:r>
          </w:p>
        </w:tc>
        <w:tc>
          <w:tcPr>
            <w:tcW w:w="408" w:type="pct"/>
            <w:tcBorders>
              <w:bottom w:val="single" w:sz="4" w:space="0" w:color="auto"/>
            </w:tcBorders>
            <w:vAlign w:val="center"/>
          </w:tcPr>
          <w:p w:rsidR="00AE07E6" w:rsidRPr="0021503D" w:rsidRDefault="00AE07E6" w:rsidP="00372932">
            <w:pPr>
              <w:pStyle w:val="TableBodyText"/>
            </w:pPr>
            <w:r w:rsidRPr="0021503D">
              <w:t>na</w:t>
            </w:r>
          </w:p>
        </w:tc>
        <w:tc>
          <w:tcPr>
            <w:tcW w:w="409" w:type="pct"/>
            <w:tcBorders>
              <w:bottom w:val="single" w:sz="4" w:space="0" w:color="auto"/>
            </w:tcBorders>
            <w:vAlign w:val="center"/>
          </w:tcPr>
          <w:p w:rsidR="00AE07E6" w:rsidRPr="0021503D" w:rsidRDefault="00AE07E6" w:rsidP="00372932">
            <w:pPr>
              <w:pStyle w:val="TableBodyText"/>
            </w:pPr>
            <w:r w:rsidRPr="0021503D">
              <w:t xml:space="preserve">  –</w:t>
            </w:r>
          </w:p>
        </w:tc>
        <w:tc>
          <w:tcPr>
            <w:tcW w:w="408" w:type="pct"/>
            <w:tcBorders>
              <w:bottom w:val="single" w:sz="4" w:space="0" w:color="auto"/>
            </w:tcBorders>
            <w:vAlign w:val="center"/>
          </w:tcPr>
          <w:p w:rsidR="00AE07E6" w:rsidRPr="0021503D" w:rsidRDefault="00AE07E6" w:rsidP="00372932">
            <w:pPr>
              <w:pStyle w:val="TableBodyText"/>
            </w:pPr>
            <w:r w:rsidRPr="0021503D">
              <w:t xml:space="preserve">  3.6</w:t>
            </w:r>
          </w:p>
        </w:tc>
        <w:tc>
          <w:tcPr>
            <w:tcW w:w="409" w:type="pct"/>
            <w:tcBorders>
              <w:bottom w:val="single" w:sz="4" w:space="0" w:color="auto"/>
            </w:tcBorders>
            <w:vAlign w:val="center"/>
          </w:tcPr>
          <w:p w:rsidR="00AE07E6" w:rsidRPr="0021503D" w:rsidRDefault="00AE07E6" w:rsidP="00372932">
            <w:pPr>
              <w:pStyle w:val="TableBodyText"/>
            </w:pPr>
            <w:r w:rsidRPr="0021503D">
              <w:t xml:space="preserve">  15.9</w:t>
            </w:r>
          </w:p>
        </w:tc>
      </w:tr>
    </w:tbl>
    <w:p w:rsidR="00AE07E6" w:rsidRPr="0021503D" w:rsidRDefault="00AE07E6" w:rsidP="00AE07E6">
      <w:pPr>
        <w:pStyle w:val="Note"/>
      </w:pPr>
      <w:r w:rsidRPr="0021503D">
        <w:rPr>
          <w:rStyle w:val="NoteLabel"/>
        </w:rPr>
        <w:t xml:space="preserve">a </w:t>
      </w:r>
      <w:r w:rsidRPr="0021503D">
        <w:t xml:space="preserve">Data reported for this indicator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documented. </w:t>
      </w:r>
      <w:r w:rsidRPr="0021503D">
        <w:rPr>
          <w:rStyle w:val="NoteLabel"/>
        </w:rPr>
        <w:t>b</w:t>
      </w:r>
      <w:r w:rsidRPr="0021503D">
        <w:t xml:space="preserve"> Data were not available for WA and SA.</w:t>
      </w:r>
      <w:r w:rsidRPr="0021503D">
        <w:rPr>
          <w:szCs w:val="18"/>
        </w:rPr>
        <w:t xml:space="preserve"> </w:t>
      </w:r>
      <w:r w:rsidRPr="0021503D">
        <w:rPr>
          <w:b/>
          <w:szCs w:val="18"/>
        </w:rPr>
        <w:t>na</w:t>
      </w:r>
      <w:r w:rsidRPr="0021503D">
        <w:rPr>
          <w:szCs w:val="18"/>
        </w:rPr>
        <w:t> Not available. – Nil or rounded to zero.</w:t>
      </w:r>
    </w:p>
    <w:p w:rsidR="00AE07E6" w:rsidRPr="0021503D" w:rsidRDefault="00AE07E6" w:rsidP="00AE07E6">
      <w:pPr>
        <w:pStyle w:val="Source"/>
      </w:pPr>
      <w:r w:rsidRPr="0021503D">
        <w:rPr>
          <w:i/>
        </w:rPr>
        <w:t>Source</w:t>
      </w:r>
      <w:r w:rsidRPr="0021503D">
        <w:t>: State and Territory governments (unpublished); table 15A.198; 2013 Report, table 15.15, p. 15.87.</w:t>
      </w:r>
    </w:p>
    <w:p w:rsidR="00C72769" w:rsidRPr="0021503D" w:rsidRDefault="00C72769" w:rsidP="00C72769">
      <w:pPr>
        <w:keepNext/>
        <w:spacing w:before="480" w:line="320" w:lineRule="exact"/>
        <w:outlineLvl w:val="4"/>
        <w:rPr>
          <w:i/>
          <w:szCs w:val="20"/>
        </w:rPr>
      </w:pPr>
      <w:bookmarkStart w:id="134" w:name="_Toc320770838"/>
      <w:bookmarkStart w:id="135" w:name="_Toc348449381"/>
      <w:r w:rsidRPr="0021503D">
        <w:rPr>
          <w:i/>
          <w:szCs w:val="20"/>
        </w:rPr>
        <w:lastRenderedPageBreak/>
        <w:t>Statutory responsibilities — pre</w:t>
      </w:r>
      <w:r w:rsidRPr="0021503D">
        <w:rPr>
          <w:i/>
          <w:szCs w:val="20"/>
        </w:rPr>
        <w:noBreakHyphen/>
        <w:t>sentence reports completed</w:t>
      </w:r>
    </w:p>
    <w:p w:rsidR="00C72769" w:rsidRPr="0021503D" w:rsidRDefault="00C72769" w:rsidP="00C72769">
      <w:pPr>
        <w:spacing w:before="240" w:line="320" w:lineRule="atLeast"/>
        <w:jc w:val="both"/>
        <w:rPr>
          <w:szCs w:val="20"/>
        </w:rPr>
      </w:pPr>
      <w:r w:rsidRPr="0021503D">
        <w:rPr>
          <w:szCs w:val="20"/>
        </w:rPr>
        <w:t>‘Pre</w:t>
      </w:r>
      <w:r w:rsidRPr="0021503D">
        <w:rPr>
          <w:szCs w:val="20"/>
        </w:rPr>
        <w:noBreakHyphen/>
        <w:t>sentence reports completed’ is an indicator of governments’ objective to ensure that accurate and timely advice is provided to courts to inform decision</w:t>
      </w:r>
      <w:r w:rsidR="009F41E6" w:rsidRPr="0021503D">
        <w:rPr>
          <w:szCs w:val="20"/>
        </w:rPr>
        <w:t>-making (box 15.12</w:t>
      </w:r>
      <w:r w:rsidRPr="0021503D">
        <w:rPr>
          <w:szCs w:val="20"/>
        </w:rPr>
        <w:t>).</w:t>
      </w:r>
    </w:p>
    <w:p w:rsidR="00D103EE" w:rsidRPr="0021503D" w:rsidRDefault="00D103EE" w:rsidP="00D103E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72769" w:rsidRPr="0021503D" w:rsidTr="00372932">
        <w:tc>
          <w:tcPr>
            <w:tcW w:w="8771" w:type="dxa"/>
            <w:tcBorders>
              <w:top w:val="single" w:sz="6" w:space="0" w:color="auto"/>
              <w:bottom w:val="nil"/>
            </w:tcBorders>
          </w:tcPr>
          <w:p w:rsidR="00C72769" w:rsidRPr="0021503D" w:rsidRDefault="00C72769" w:rsidP="009552F0">
            <w:pPr>
              <w:keepNext/>
              <w:keepLines/>
              <w:spacing w:before="120" w:line="280" w:lineRule="exact"/>
              <w:ind w:left="1304" w:hanging="1304"/>
              <w:rPr>
                <w:rFonts w:ascii="Arial" w:hAnsi="Arial"/>
                <w:b/>
                <w:sz w:val="24"/>
              </w:rPr>
            </w:pPr>
            <w:r w:rsidRPr="0021503D">
              <w:rPr>
                <w:rFonts w:ascii="Arial" w:hAnsi="Arial"/>
                <w:sz w:val="24"/>
              </w:rPr>
              <w:t xml:space="preserve">Box </w:t>
            </w:r>
            <w:r w:rsidR="009F41E6" w:rsidRPr="0021503D">
              <w:rPr>
                <w:rFonts w:ascii="Arial" w:hAnsi="Arial"/>
                <w:sz w:val="24"/>
              </w:rPr>
              <w:t>15.12</w:t>
            </w:r>
            <w:r w:rsidRPr="0021503D">
              <w:rPr>
                <w:rFonts w:ascii="Arial" w:hAnsi="Arial"/>
                <w:b/>
                <w:sz w:val="24"/>
              </w:rPr>
              <w:tab/>
              <w:t>Pre</w:t>
            </w:r>
            <w:r w:rsidRPr="0021503D">
              <w:rPr>
                <w:rFonts w:ascii="Arial" w:hAnsi="Arial"/>
                <w:b/>
                <w:sz w:val="24"/>
              </w:rPr>
              <w:noBreakHyphen/>
              <w:t>sentence reports completed</w:t>
            </w:r>
          </w:p>
        </w:tc>
      </w:tr>
      <w:tr w:rsidR="00C72769" w:rsidRPr="0021503D" w:rsidTr="00372932">
        <w:trPr>
          <w:cantSplit/>
        </w:trPr>
        <w:tc>
          <w:tcPr>
            <w:tcW w:w="8771" w:type="dxa"/>
            <w:tcBorders>
              <w:top w:val="nil"/>
              <w:left w:val="single" w:sz="6" w:space="0" w:color="auto"/>
              <w:bottom w:val="nil"/>
              <w:right w:val="single" w:sz="6" w:space="0" w:color="auto"/>
            </w:tcBorders>
          </w:tcPr>
          <w:p w:rsidR="00C72769" w:rsidRPr="0021503D" w:rsidRDefault="00C72769" w:rsidP="00C72769">
            <w:pPr>
              <w:keepNext/>
              <w:spacing w:before="120" w:line="280" w:lineRule="atLeast"/>
              <w:jc w:val="both"/>
              <w:rPr>
                <w:rFonts w:ascii="Arial" w:hAnsi="Arial"/>
                <w:sz w:val="22"/>
                <w:szCs w:val="20"/>
              </w:rPr>
            </w:pPr>
            <w:r w:rsidRPr="0021503D">
              <w:rPr>
                <w:rFonts w:ascii="Arial" w:hAnsi="Arial"/>
                <w:sz w:val="22"/>
                <w:szCs w:val="20"/>
              </w:rPr>
              <w:t>‘Pre</w:t>
            </w:r>
            <w:r w:rsidRPr="0021503D">
              <w:rPr>
                <w:rFonts w:ascii="Arial" w:hAnsi="Arial"/>
                <w:sz w:val="22"/>
                <w:szCs w:val="20"/>
              </w:rPr>
              <w:noBreakHyphen/>
              <w:t>sentence reports completed’ is defined as the number of written reports provided by youth justice agencies to a court in response to a request for a pre</w:t>
            </w:r>
            <w:r w:rsidRPr="0021503D">
              <w:rPr>
                <w:rFonts w:ascii="Arial" w:hAnsi="Arial"/>
                <w:sz w:val="22"/>
                <w:szCs w:val="20"/>
              </w:rPr>
              <w:noBreakHyphen/>
              <w:t>sentence report, as a proportion of all court requests to youth justice agencies for written pre</w:t>
            </w:r>
            <w:r w:rsidRPr="0021503D">
              <w:rPr>
                <w:rFonts w:ascii="Arial" w:hAnsi="Arial"/>
                <w:sz w:val="22"/>
                <w:szCs w:val="20"/>
              </w:rPr>
              <w:noBreakHyphen/>
              <w:t xml:space="preserve">sentence reports. </w:t>
            </w:r>
          </w:p>
          <w:p w:rsidR="00C72769" w:rsidRPr="0021503D" w:rsidRDefault="00C72769" w:rsidP="00C72769">
            <w:pPr>
              <w:keepNext/>
              <w:spacing w:before="120" w:line="280" w:lineRule="atLeast"/>
              <w:jc w:val="both"/>
              <w:rPr>
                <w:rFonts w:ascii="Arial" w:hAnsi="Arial"/>
                <w:sz w:val="22"/>
                <w:szCs w:val="20"/>
              </w:rPr>
            </w:pPr>
            <w:r w:rsidRPr="0021503D">
              <w:rPr>
                <w:rFonts w:ascii="Arial" w:hAnsi="Arial"/>
                <w:sz w:val="22"/>
                <w:szCs w:val="20"/>
              </w:rPr>
              <w:t>A pre</w:t>
            </w:r>
            <w:r w:rsidRPr="0021503D">
              <w:rPr>
                <w:rFonts w:ascii="Arial" w:hAnsi="Arial"/>
                <w:sz w:val="22"/>
                <w:szCs w:val="20"/>
              </w:rPr>
              <w:noBreakHyphen/>
              <w:t>sentence report is a written report that provides a court with pertinent information about the assessed factors that contributed to a young person’s offence and explores programs and services that could be provided to address a young person’s offending behaviour. A pre</w:t>
            </w:r>
            <w:r w:rsidRPr="0021503D">
              <w:rPr>
                <w:rFonts w:ascii="Arial" w:hAnsi="Arial"/>
                <w:sz w:val="22"/>
                <w:szCs w:val="20"/>
              </w:rPr>
              <w:noBreakHyphen/>
              <w:t>sentence report is prepared when ordered by a court after a young person has pleaded or been found guilty of an offence.</w:t>
            </w:r>
          </w:p>
          <w:p w:rsidR="00C72769" w:rsidRPr="0021503D" w:rsidRDefault="00C72769" w:rsidP="00C72769">
            <w:pPr>
              <w:keepNext/>
              <w:spacing w:before="120" w:line="280" w:lineRule="atLeast"/>
              <w:jc w:val="both"/>
              <w:rPr>
                <w:rFonts w:ascii="Arial" w:hAnsi="Arial"/>
                <w:sz w:val="22"/>
                <w:szCs w:val="20"/>
              </w:rPr>
            </w:pPr>
            <w:r w:rsidRPr="0021503D">
              <w:rPr>
                <w:rFonts w:ascii="Arial" w:hAnsi="Arial"/>
                <w:sz w:val="22"/>
                <w:szCs w:val="20"/>
              </w:rPr>
              <w:t>A high or increasing percentage of pre</w:t>
            </w:r>
            <w:r w:rsidRPr="0021503D">
              <w:rPr>
                <w:rFonts w:ascii="Arial" w:hAnsi="Arial"/>
                <w:sz w:val="22"/>
                <w:szCs w:val="20"/>
              </w:rPr>
              <w:noBreakHyphen/>
              <w:t>sentence reports completed is desirable.</w:t>
            </w:r>
          </w:p>
          <w:p w:rsidR="00C72769" w:rsidRPr="0021503D" w:rsidRDefault="00C72769" w:rsidP="00C72769">
            <w:pPr>
              <w:keepNext/>
              <w:spacing w:before="120" w:line="280" w:lineRule="atLeast"/>
              <w:jc w:val="both"/>
              <w:rPr>
                <w:rFonts w:ascii="Arial" w:hAnsi="Arial"/>
                <w:sz w:val="22"/>
                <w:szCs w:val="20"/>
              </w:rPr>
            </w:pPr>
            <w:r w:rsidRPr="0021503D">
              <w:rPr>
                <w:rFonts w:ascii="Arial" w:hAnsi="Arial"/>
                <w:sz w:val="22"/>
                <w:szCs w:val="20"/>
              </w:rPr>
              <w:t>Data reported for this indicator are comparable but not complete.</w:t>
            </w:r>
          </w:p>
          <w:p w:rsidR="00C72769" w:rsidRPr="0021503D" w:rsidRDefault="00C72769" w:rsidP="00C72769">
            <w:pPr>
              <w:keepNext/>
              <w:spacing w:before="120" w:line="280" w:lineRule="atLeast"/>
              <w:jc w:val="both"/>
              <w:rPr>
                <w:rFonts w:ascii="Arial" w:hAnsi="Arial"/>
                <w:sz w:val="22"/>
                <w:szCs w:val="20"/>
              </w:rPr>
            </w:pPr>
            <w:r w:rsidRPr="0021503D">
              <w:rPr>
                <w:rFonts w:ascii="Arial" w:hAnsi="Arial"/>
                <w:sz w:val="22"/>
                <w:szCs w:val="22"/>
              </w:rPr>
              <w:t xml:space="preserve">Data quality information for this </w:t>
            </w:r>
            <w:r w:rsidRPr="0021503D">
              <w:rPr>
                <w:rFonts w:ascii="Arial" w:hAnsi="Arial"/>
                <w:sz w:val="22"/>
                <w:szCs w:val="20"/>
              </w:rPr>
              <w:t>indicator is at www.pc.gov.au/gsp/reports/rogs/2013.</w:t>
            </w:r>
          </w:p>
        </w:tc>
      </w:tr>
      <w:tr w:rsidR="00C72769" w:rsidRPr="0021503D" w:rsidTr="00372932">
        <w:trPr>
          <w:cantSplit/>
        </w:trPr>
        <w:tc>
          <w:tcPr>
            <w:tcW w:w="8771" w:type="dxa"/>
            <w:tcBorders>
              <w:top w:val="nil"/>
              <w:left w:val="single" w:sz="6" w:space="0" w:color="auto"/>
              <w:bottom w:val="single" w:sz="6" w:space="0" w:color="auto"/>
              <w:right w:val="single" w:sz="6" w:space="0" w:color="auto"/>
            </w:tcBorders>
          </w:tcPr>
          <w:p w:rsidR="00C72769" w:rsidRPr="0021503D" w:rsidRDefault="00C72769" w:rsidP="00C72769">
            <w:pPr>
              <w:keepNext/>
              <w:spacing w:line="120" w:lineRule="exact"/>
              <w:jc w:val="both"/>
              <w:rPr>
                <w:rFonts w:ascii="Arial" w:hAnsi="Arial"/>
                <w:sz w:val="22"/>
                <w:szCs w:val="20"/>
              </w:rPr>
            </w:pPr>
          </w:p>
        </w:tc>
      </w:tr>
      <w:tr w:rsidR="00C72769" w:rsidRPr="0021503D" w:rsidTr="00372932">
        <w:tc>
          <w:tcPr>
            <w:tcW w:w="8771" w:type="dxa"/>
            <w:tcBorders>
              <w:top w:val="nil"/>
              <w:left w:val="nil"/>
              <w:bottom w:val="nil"/>
              <w:right w:val="nil"/>
            </w:tcBorders>
          </w:tcPr>
          <w:p w:rsidR="00C72769" w:rsidRPr="0021503D" w:rsidRDefault="00C72769" w:rsidP="00C72769">
            <w:pPr>
              <w:spacing w:before="60" w:after="60" w:line="80" w:lineRule="exact"/>
              <w:jc w:val="both"/>
              <w:rPr>
                <w:rFonts w:ascii="Arial" w:hAnsi="Arial"/>
                <w:b/>
                <w:color w:val="FF00FF"/>
                <w:sz w:val="14"/>
                <w:szCs w:val="20"/>
              </w:rPr>
            </w:pPr>
          </w:p>
        </w:tc>
      </w:tr>
    </w:tbl>
    <w:p w:rsidR="00C72769" w:rsidRPr="0021503D" w:rsidRDefault="00C72769" w:rsidP="00C72769">
      <w:pPr>
        <w:spacing w:before="240" w:line="320" w:lineRule="atLeast"/>
        <w:jc w:val="both"/>
        <w:rPr>
          <w:szCs w:val="20"/>
        </w:rPr>
      </w:pPr>
      <w:r w:rsidRPr="0021503D">
        <w:rPr>
          <w:szCs w:val="20"/>
        </w:rPr>
        <w:t>The percentage of pre</w:t>
      </w:r>
      <w:r w:rsidRPr="0021503D">
        <w:rPr>
          <w:szCs w:val="20"/>
        </w:rPr>
        <w:noBreakHyphen/>
        <w:t>sentence reports completed varied slightly across jurisdictions (figure 15.11). Nationally, in 2011-12, 99.9 per cent of all court requests for pre</w:t>
      </w:r>
      <w:r w:rsidRPr="0021503D">
        <w:rPr>
          <w:szCs w:val="20"/>
        </w:rPr>
        <w:noBreakHyphen/>
        <w:t>sentence reports were completed.</w:t>
      </w:r>
    </w:p>
    <w:p w:rsidR="00C72769" w:rsidRPr="0021503D" w:rsidRDefault="00C72769" w:rsidP="00C72769">
      <w:pPr>
        <w:pStyle w:val="FigureTitle"/>
        <w:rPr>
          <w:rStyle w:val="NoteLabel"/>
        </w:rPr>
      </w:pPr>
      <w:r w:rsidRPr="0021503D">
        <w:rPr>
          <w:b w:val="0"/>
        </w:rPr>
        <w:lastRenderedPageBreak/>
        <w:t xml:space="preserve">Figure </w:t>
      </w:r>
      <w:r w:rsidR="009F41E6" w:rsidRPr="0021503D">
        <w:rPr>
          <w:b w:val="0"/>
        </w:rPr>
        <w:t>15.11</w:t>
      </w:r>
      <w:r w:rsidRPr="0021503D">
        <w:rPr>
          <w:b w:val="0"/>
        </w:rPr>
        <w:tab/>
      </w:r>
      <w:r w:rsidRPr="0021503D">
        <w:t>Proportion of pre-sentence reports completed by youth justice agencies, by Indigenous status, 2011</w:t>
      </w:r>
      <w:r w:rsidRPr="0021503D">
        <w:noBreakHyphen/>
        <w:t>12</w:t>
      </w:r>
      <w:r w:rsidRPr="0021503D">
        <w:rPr>
          <w:rStyle w:val="NoteLabel"/>
          <w:b/>
        </w:rPr>
        <w:t>a, b, c, d, e</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72769" w:rsidRPr="0021503D" w:rsidTr="00372932">
        <w:tc>
          <w:tcPr>
            <w:tcW w:w="8777" w:type="dxa"/>
          </w:tcPr>
          <w:p w:rsidR="00C72769" w:rsidRPr="0021503D" w:rsidRDefault="00C72769" w:rsidP="00372932">
            <w:pPr>
              <w:pStyle w:val="Figure"/>
            </w:pPr>
            <w:r w:rsidRPr="0021503D">
              <w:rPr>
                <w:noProof/>
              </w:rPr>
              <w:drawing>
                <wp:inline distT="0" distB="0" distL="0" distR="0" wp14:anchorId="231EEBD7" wp14:editId="744A5957">
                  <wp:extent cx="5419050" cy="2520000"/>
                  <wp:effectExtent l="0" t="0" r="0" b="0"/>
                  <wp:docPr id="22" name="Chart 22" descr="Figure 15.11 Proportion of pre-sentence reports completed by youth justice agencies, by Indigenous status, 2011-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C72769" w:rsidRPr="0021503D" w:rsidRDefault="00C72769" w:rsidP="00C72769">
      <w:pPr>
        <w:pStyle w:val="Note"/>
      </w:pPr>
      <w:r w:rsidRPr="0021503D">
        <w:rPr>
          <w:rStyle w:val="NoteLabel"/>
        </w:rPr>
        <w:t>a</w:t>
      </w:r>
      <w:r w:rsidRPr="0021503D">
        <w:sym w:font="Symbol" w:char="F020"/>
      </w:r>
      <w:r w:rsidRPr="0021503D">
        <w:t xml:space="preserve"> Victoria was not able to provide the numerator or denominator for this indicator and instead provided a total proportion based on a survey of managers. Victoria’s data are excluded from the national total. </w:t>
      </w:r>
      <w:r w:rsidRPr="0021503D">
        <w:rPr>
          <w:rStyle w:val="NoteLabel"/>
        </w:rPr>
        <w:t>b</w:t>
      </w:r>
      <w:r w:rsidRPr="0021503D">
        <w:t xml:space="preserve"> WA data could not be disaggregated by Indigenous status. </w:t>
      </w:r>
      <w:r w:rsidRPr="0021503D">
        <w:rPr>
          <w:rStyle w:val="NoteLabel"/>
        </w:rPr>
        <w:t xml:space="preserve">c </w:t>
      </w:r>
      <w:r w:rsidRPr="0021503D">
        <w:t xml:space="preserve">SA was not able to provide the numerator or denominator for this indicator and instead provided a total proportion by Indigenous and non-Indigenous status. As a result, a total proportion could not be calculated for SA and SA data are excluded from the national total. </w:t>
      </w:r>
      <w:r w:rsidRPr="0021503D">
        <w:rPr>
          <w:rStyle w:val="NoteLabel"/>
        </w:rPr>
        <w:t xml:space="preserve">d </w:t>
      </w:r>
      <w:r w:rsidRPr="0021503D">
        <w:t>The proportion of pre</w:t>
      </w:r>
      <w:r w:rsidRPr="0021503D">
        <w:noBreakHyphen/>
        <w:t xml:space="preserve">sentence reports completed by youth justice agencies in Tasmania includes some cases where the report was not provided by the initial request and the court extended the required date of the report. </w:t>
      </w:r>
      <w:r w:rsidRPr="0021503D">
        <w:rPr>
          <w:rStyle w:val="NoteLabel"/>
        </w:rPr>
        <w:t>e</w:t>
      </w:r>
      <w:r w:rsidRPr="0021503D">
        <w:t xml:space="preserve"> Refer to table 15A.190 for detailed footnotes.</w:t>
      </w:r>
    </w:p>
    <w:p w:rsidR="00C72769" w:rsidRPr="0021503D" w:rsidRDefault="00C72769" w:rsidP="00C72769">
      <w:pPr>
        <w:pStyle w:val="Source"/>
      </w:pPr>
      <w:r w:rsidRPr="0021503D">
        <w:rPr>
          <w:i/>
        </w:rPr>
        <w:t>Source</w:t>
      </w:r>
      <w:r w:rsidRPr="0021503D">
        <w:t>: State and Territory governments (unpublished); table 15A.190; 2013 Report, figure 15.25, p. 15.89.</w:t>
      </w:r>
    </w:p>
    <w:p w:rsidR="00C72769" w:rsidRPr="0021503D" w:rsidRDefault="00C72769" w:rsidP="00C72769">
      <w:pPr>
        <w:keepNext/>
        <w:spacing w:before="480" w:line="320" w:lineRule="exact"/>
        <w:outlineLvl w:val="3"/>
        <w:rPr>
          <w:i/>
          <w:szCs w:val="20"/>
        </w:rPr>
      </w:pPr>
      <w:bookmarkStart w:id="136" w:name="_Toc348952928"/>
      <w:bookmarkStart w:id="137" w:name="_Toc351361369"/>
      <w:r w:rsidRPr="0021503D">
        <w:rPr>
          <w:rFonts w:ascii="Arial" w:hAnsi="Arial"/>
          <w:i/>
          <w:sz w:val="24"/>
          <w:szCs w:val="20"/>
        </w:rPr>
        <w:t>Statutory responsibilities — case plans prepared</w:t>
      </w:r>
      <w:bookmarkEnd w:id="136"/>
      <w:bookmarkEnd w:id="137"/>
    </w:p>
    <w:p w:rsidR="00C72769" w:rsidRPr="0021503D" w:rsidRDefault="00C72769" w:rsidP="00C72769">
      <w:pPr>
        <w:spacing w:before="240" w:line="320" w:lineRule="atLeast"/>
        <w:jc w:val="both"/>
        <w:rPr>
          <w:szCs w:val="20"/>
        </w:rPr>
      </w:pPr>
      <w:r w:rsidRPr="0021503D">
        <w:rPr>
          <w:szCs w:val="20"/>
        </w:rPr>
        <w:t>‘Case plans prepared’ is an indicator of governments’ objective to ensure that youth justice agencies support young people to minimise the likelihood of re</w:t>
      </w:r>
      <w:r w:rsidRPr="0021503D">
        <w:rPr>
          <w:szCs w:val="20"/>
        </w:rPr>
        <w:noBreakHyphen/>
        <w:t>offending by addressing their offending-related needs (box 15.1</w:t>
      </w:r>
      <w:r w:rsidR="009F41E6" w:rsidRPr="0021503D">
        <w:rPr>
          <w:szCs w:val="20"/>
        </w:rPr>
        <w:t>3</w:t>
      </w:r>
      <w:r w:rsidRPr="0021503D">
        <w:rPr>
          <w:szCs w:val="20"/>
        </w:rPr>
        <w:t>).</w:t>
      </w:r>
    </w:p>
    <w:p w:rsidR="00D103EE" w:rsidRPr="0021503D" w:rsidRDefault="00D103EE" w:rsidP="00D103E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72769" w:rsidRPr="0021503D" w:rsidTr="00372932">
        <w:tc>
          <w:tcPr>
            <w:tcW w:w="8771" w:type="dxa"/>
            <w:tcBorders>
              <w:top w:val="single" w:sz="6" w:space="0" w:color="auto"/>
              <w:bottom w:val="nil"/>
            </w:tcBorders>
          </w:tcPr>
          <w:p w:rsidR="00C72769" w:rsidRPr="0021503D" w:rsidRDefault="00C72769" w:rsidP="009552F0">
            <w:pPr>
              <w:keepNext/>
              <w:keepLines/>
              <w:spacing w:before="120" w:line="280" w:lineRule="exact"/>
              <w:ind w:left="1304" w:hanging="1304"/>
              <w:rPr>
                <w:rFonts w:ascii="Arial" w:hAnsi="Arial"/>
                <w:b/>
                <w:sz w:val="24"/>
              </w:rPr>
            </w:pPr>
            <w:r w:rsidRPr="0021503D">
              <w:rPr>
                <w:rFonts w:ascii="Arial" w:hAnsi="Arial"/>
                <w:sz w:val="24"/>
              </w:rPr>
              <w:t xml:space="preserve">Box </w:t>
            </w:r>
            <w:r w:rsidR="009F41E6" w:rsidRPr="0021503D">
              <w:rPr>
                <w:rFonts w:ascii="Arial" w:hAnsi="Arial"/>
                <w:sz w:val="24"/>
              </w:rPr>
              <w:t>15.13</w:t>
            </w:r>
            <w:r w:rsidRPr="0021503D">
              <w:rPr>
                <w:rFonts w:ascii="Arial" w:hAnsi="Arial"/>
                <w:b/>
                <w:sz w:val="24"/>
              </w:rPr>
              <w:tab/>
              <w:t>Case plans prepared</w:t>
            </w:r>
          </w:p>
        </w:tc>
      </w:tr>
      <w:tr w:rsidR="00C72769" w:rsidRPr="0021503D" w:rsidTr="00372932">
        <w:trPr>
          <w:cantSplit/>
        </w:trPr>
        <w:tc>
          <w:tcPr>
            <w:tcW w:w="8771" w:type="dxa"/>
            <w:tcBorders>
              <w:top w:val="nil"/>
              <w:left w:val="single" w:sz="6" w:space="0" w:color="auto"/>
              <w:bottom w:val="nil"/>
              <w:right w:val="single" w:sz="6" w:space="0" w:color="auto"/>
            </w:tcBorders>
          </w:tcPr>
          <w:p w:rsidR="00C72769" w:rsidRPr="0021503D" w:rsidRDefault="00C72769" w:rsidP="00C72769">
            <w:pPr>
              <w:keepNext/>
              <w:spacing w:before="120" w:line="280" w:lineRule="atLeast"/>
              <w:jc w:val="both"/>
              <w:rPr>
                <w:rFonts w:ascii="Arial" w:hAnsi="Arial"/>
                <w:sz w:val="22"/>
                <w:szCs w:val="20"/>
              </w:rPr>
            </w:pPr>
            <w:r w:rsidRPr="0021503D">
              <w:rPr>
                <w:rFonts w:ascii="Arial" w:hAnsi="Arial"/>
                <w:sz w:val="22"/>
                <w:szCs w:val="20"/>
              </w:rPr>
              <w:t>‘Case plans prepared’ is defined as the number of eligible young people who had a documented case plan prepared or reviewed within 6 weeks of commencing:</w:t>
            </w:r>
          </w:p>
          <w:p w:rsidR="00C72769" w:rsidRPr="0021503D" w:rsidRDefault="00C72769" w:rsidP="00C72769">
            <w:pPr>
              <w:pStyle w:val="BoxListBullet"/>
              <w:numPr>
                <w:ilvl w:val="0"/>
                <w:numId w:val="17"/>
              </w:numPr>
            </w:pPr>
            <w:r w:rsidRPr="0021503D">
              <w:t>a sentenced detention order, as a proportion of all young people commencing a sentenced detention order</w:t>
            </w:r>
          </w:p>
          <w:p w:rsidR="00C72769" w:rsidRPr="0021503D" w:rsidRDefault="00C72769" w:rsidP="00C72769">
            <w:pPr>
              <w:pStyle w:val="BoxListBullet"/>
              <w:numPr>
                <w:ilvl w:val="0"/>
                <w:numId w:val="17"/>
              </w:numPr>
            </w:pPr>
            <w:r w:rsidRPr="0021503D">
              <w:t>a sentenced community-based order, as a proportion of all young people commencing a sentenced community-based order.</w:t>
            </w:r>
          </w:p>
          <w:p w:rsidR="00C72769" w:rsidRPr="0021503D" w:rsidRDefault="00C72769" w:rsidP="00C72769">
            <w:pPr>
              <w:keepNext/>
              <w:spacing w:before="120" w:line="280" w:lineRule="atLeast"/>
              <w:jc w:val="both"/>
              <w:rPr>
                <w:rFonts w:ascii="Arial" w:hAnsi="Arial"/>
                <w:sz w:val="22"/>
                <w:szCs w:val="20"/>
              </w:rPr>
            </w:pPr>
            <w:r w:rsidRPr="0021503D">
              <w:rPr>
                <w:rFonts w:ascii="Arial" w:hAnsi="Arial"/>
                <w:sz w:val="22"/>
                <w:szCs w:val="20"/>
              </w:rPr>
              <w:t>An eligible young person is one who is serving a sentenced order that requires case management.</w:t>
            </w:r>
          </w:p>
          <w:p w:rsidR="00C72769" w:rsidRPr="0021503D" w:rsidRDefault="00C72769" w:rsidP="00C72769">
            <w:pPr>
              <w:keepNext/>
              <w:spacing w:before="120" w:line="280" w:lineRule="atLeast"/>
              <w:jc w:val="both"/>
              <w:rPr>
                <w:rFonts w:ascii="Arial" w:hAnsi="Arial"/>
                <w:sz w:val="22"/>
                <w:szCs w:val="20"/>
              </w:rPr>
            </w:pPr>
            <w:r w:rsidRPr="0021503D">
              <w:rPr>
                <w:rFonts w:ascii="Arial" w:hAnsi="Arial"/>
                <w:sz w:val="22"/>
                <w:szCs w:val="20"/>
              </w:rPr>
              <w:t>A high or increasing rate of case plans prepared is desirable.</w:t>
            </w:r>
          </w:p>
          <w:p w:rsidR="00C72769" w:rsidRPr="0021503D" w:rsidRDefault="00C72769" w:rsidP="00C72769">
            <w:pPr>
              <w:keepNext/>
              <w:spacing w:before="120" w:line="280" w:lineRule="atLeast"/>
              <w:jc w:val="both"/>
              <w:rPr>
                <w:rFonts w:ascii="Arial" w:hAnsi="Arial"/>
                <w:sz w:val="22"/>
                <w:szCs w:val="20"/>
              </w:rPr>
            </w:pPr>
            <w:r w:rsidRPr="0021503D">
              <w:rPr>
                <w:rFonts w:ascii="Arial" w:hAnsi="Arial"/>
                <w:sz w:val="22"/>
                <w:szCs w:val="20"/>
              </w:rPr>
              <w:t>Data reported for this indicator are comparable but not complete.</w:t>
            </w:r>
          </w:p>
          <w:p w:rsidR="00C72769" w:rsidRPr="0021503D" w:rsidRDefault="00C72769" w:rsidP="00C72769">
            <w:pPr>
              <w:keepNext/>
              <w:spacing w:before="120" w:line="280" w:lineRule="atLeast"/>
              <w:jc w:val="both"/>
              <w:rPr>
                <w:rFonts w:ascii="Arial" w:hAnsi="Arial"/>
                <w:sz w:val="22"/>
                <w:szCs w:val="20"/>
              </w:rPr>
            </w:pPr>
            <w:r w:rsidRPr="0021503D">
              <w:rPr>
                <w:rFonts w:ascii="Arial" w:hAnsi="Arial"/>
                <w:sz w:val="22"/>
                <w:szCs w:val="22"/>
              </w:rPr>
              <w:t xml:space="preserve">Data quality information for this indicator is </w:t>
            </w:r>
            <w:r w:rsidRPr="0021503D">
              <w:rPr>
                <w:rFonts w:ascii="Arial" w:hAnsi="Arial"/>
                <w:sz w:val="22"/>
                <w:szCs w:val="20"/>
              </w:rPr>
              <w:t>at www.pc.gov.au/gsp/reports/rogs/2013.</w:t>
            </w:r>
          </w:p>
        </w:tc>
      </w:tr>
      <w:tr w:rsidR="00C72769" w:rsidRPr="0021503D" w:rsidTr="00372932">
        <w:trPr>
          <w:cantSplit/>
        </w:trPr>
        <w:tc>
          <w:tcPr>
            <w:tcW w:w="8771" w:type="dxa"/>
            <w:tcBorders>
              <w:top w:val="nil"/>
              <w:left w:val="single" w:sz="6" w:space="0" w:color="auto"/>
              <w:bottom w:val="single" w:sz="6" w:space="0" w:color="auto"/>
              <w:right w:val="single" w:sz="6" w:space="0" w:color="auto"/>
            </w:tcBorders>
          </w:tcPr>
          <w:p w:rsidR="00C72769" w:rsidRPr="0021503D" w:rsidRDefault="00C72769" w:rsidP="00C72769">
            <w:pPr>
              <w:keepNext/>
              <w:spacing w:line="120" w:lineRule="exact"/>
              <w:jc w:val="both"/>
              <w:rPr>
                <w:rFonts w:ascii="Arial" w:hAnsi="Arial"/>
                <w:sz w:val="22"/>
                <w:szCs w:val="20"/>
              </w:rPr>
            </w:pPr>
          </w:p>
        </w:tc>
      </w:tr>
      <w:tr w:rsidR="00C72769" w:rsidRPr="0021503D" w:rsidTr="00372932">
        <w:tc>
          <w:tcPr>
            <w:tcW w:w="8771" w:type="dxa"/>
            <w:tcBorders>
              <w:top w:val="nil"/>
              <w:left w:val="nil"/>
              <w:bottom w:val="nil"/>
              <w:right w:val="nil"/>
            </w:tcBorders>
          </w:tcPr>
          <w:p w:rsidR="00C72769" w:rsidRPr="0021503D" w:rsidRDefault="00C72769" w:rsidP="00C72769">
            <w:pPr>
              <w:spacing w:before="60" w:after="60" w:line="80" w:lineRule="exact"/>
              <w:jc w:val="both"/>
              <w:rPr>
                <w:rFonts w:ascii="Arial" w:hAnsi="Arial"/>
                <w:b/>
                <w:color w:val="FF00FF"/>
                <w:sz w:val="14"/>
                <w:szCs w:val="20"/>
              </w:rPr>
            </w:pPr>
          </w:p>
        </w:tc>
      </w:tr>
    </w:tbl>
    <w:p w:rsidR="00A1471D" w:rsidRPr="0021503D" w:rsidRDefault="00A1471D" w:rsidP="00A1471D">
      <w:pPr>
        <w:pStyle w:val="BodyText"/>
      </w:pPr>
      <w:r w:rsidRPr="0021503D">
        <w:t>Nationally, 84.0 per cent of case plans were prepared within 6 weeks of commencing a sentenced community-based order in 2011-12 (figure 15.12(a)). Nationally, 91.6 per cent of case plans were prepared within 6 weeks of commencing a sentenced detention order in 2011-12 (figure 15.12(b)). Proportions varied across jurisdictions.</w:t>
      </w:r>
    </w:p>
    <w:p w:rsidR="00A1471D" w:rsidRPr="0021503D" w:rsidRDefault="00A1471D" w:rsidP="00A1471D">
      <w:pPr>
        <w:pStyle w:val="FigureTitle"/>
      </w:pPr>
      <w:r w:rsidRPr="0021503D">
        <w:rPr>
          <w:b w:val="0"/>
        </w:rPr>
        <w:lastRenderedPageBreak/>
        <w:t xml:space="preserve">Figure </w:t>
      </w:r>
      <w:r w:rsidR="009F41E6" w:rsidRPr="0021503D">
        <w:rPr>
          <w:b w:val="0"/>
        </w:rPr>
        <w:t>15.12</w:t>
      </w:r>
      <w:r w:rsidRPr="0021503D">
        <w:rPr>
          <w:b w:val="0"/>
        </w:rPr>
        <w:tab/>
      </w:r>
      <w:r w:rsidRPr="0021503D">
        <w:t>Proportion of case plans prepared within 6 weeks of commencing sentenced detention orders and sentenced community-based orders, by Indigenous status, 2011-12</w:t>
      </w:r>
      <w:r w:rsidRPr="0021503D">
        <w:rPr>
          <w:rStyle w:val="NoteLabel"/>
          <w:b/>
        </w:rPr>
        <w:t>a, b, c,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1471D" w:rsidRPr="0021503D" w:rsidTr="00372932">
        <w:tc>
          <w:tcPr>
            <w:tcW w:w="8777" w:type="dxa"/>
          </w:tcPr>
          <w:p w:rsidR="00A1471D" w:rsidRPr="0021503D" w:rsidRDefault="00A1471D" w:rsidP="00372932">
            <w:pPr>
              <w:pStyle w:val="BoxHeading1"/>
              <w:jc w:val="center"/>
              <w:rPr>
                <w:sz w:val="19"/>
                <w:szCs w:val="19"/>
              </w:rPr>
            </w:pPr>
            <w:r w:rsidRPr="0021503D">
              <w:rPr>
                <w:sz w:val="19"/>
                <w:szCs w:val="19"/>
              </w:rPr>
              <w:t xml:space="preserve">(a) Proportion of case plans prepared within 6 weeks of commencing a sentenced </w:t>
            </w:r>
            <w:r w:rsidRPr="0021503D">
              <w:rPr>
                <w:sz w:val="19"/>
                <w:szCs w:val="19"/>
              </w:rPr>
              <w:br/>
              <w:t>community-based order</w:t>
            </w:r>
          </w:p>
          <w:p w:rsidR="00A1471D" w:rsidRPr="0021503D" w:rsidRDefault="00A1471D" w:rsidP="00372932">
            <w:pPr>
              <w:pStyle w:val="Figure"/>
            </w:pPr>
            <w:r w:rsidRPr="0021503D">
              <w:rPr>
                <w:noProof/>
              </w:rPr>
              <w:drawing>
                <wp:inline distT="0" distB="0" distL="0" distR="0" wp14:anchorId="63524E52" wp14:editId="67939965">
                  <wp:extent cx="5400000" cy="2520000"/>
                  <wp:effectExtent l="0" t="0" r="0" b="0"/>
                  <wp:docPr id="23" name="Chart 23" descr="Figure 15.12 Proportion of case plans prepared within 6 weeks of commencing sentenced detention orders and sentenced community-based orders, by Indigenous status, 2011-12&#10;&#10;Proportion of case plans prepared within 6 weeks of commencing a sentenced community-based order&#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A1471D" w:rsidRPr="0021503D" w:rsidRDefault="00A1471D" w:rsidP="00372932">
            <w:pPr>
              <w:pStyle w:val="BoxHeading1"/>
              <w:jc w:val="center"/>
              <w:rPr>
                <w:sz w:val="19"/>
                <w:szCs w:val="19"/>
              </w:rPr>
            </w:pPr>
            <w:r w:rsidRPr="0021503D">
              <w:rPr>
                <w:sz w:val="19"/>
                <w:szCs w:val="19"/>
              </w:rPr>
              <w:t xml:space="preserve">(b) Proportion of case plans prepared within 6 weeks of commencing a sentenced </w:t>
            </w:r>
            <w:r w:rsidRPr="0021503D">
              <w:rPr>
                <w:sz w:val="19"/>
                <w:szCs w:val="19"/>
              </w:rPr>
              <w:br/>
              <w:t>detention order</w:t>
            </w:r>
          </w:p>
          <w:p w:rsidR="00A1471D" w:rsidRPr="0021503D" w:rsidRDefault="00A1471D" w:rsidP="00372932">
            <w:pPr>
              <w:pStyle w:val="BoxHeading1"/>
              <w:jc w:val="center"/>
            </w:pPr>
            <w:r w:rsidRPr="0021503D">
              <w:rPr>
                <w:noProof/>
              </w:rPr>
              <w:drawing>
                <wp:inline distT="0" distB="0" distL="0" distR="0" wp14:anchorId="2470B054" wp14:editId="12294AEE">
                  <wp:extent cx="5400000" cy="2520000"/>
                  <wp:effectExtent l="0" t="0" r="0" b="0"/>
                  <wp:docPr id="24" name="Chart 24" descr="Figure 15.12 Proportion of case plans prepared within 6 weeks of commencing sentenced detention orders and sentenced community-based orders, by Indigenous status, 2011-12&#10;&#10;Proportion of case plans prepared within 6 weeks of commencing a sentenced detention order&#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A1471D" w:rsidRPr="0021503D" w:rsidRDefault="00A1471D" w:rsidP="00A1471D">
      <w:pPr>
        <w:pStyle w:val="Note"/>
      </w:pPr>
      <w:r w:rsidRPr="0021503D">
        <w:rPr>
          <w:rStyle w:val="NoteLabel"/>
        </w:rPr>
        <w:t>a</w:t>
      </w:r>
      <w:r w:rsidRPr="0021503D">
        <w:t xml:space="preserve"> For community-based case plans, WA could not disaggregate the numerator by Indigenous status. Therefore, a proportion is only calculated for the total number of case plans prepared in WA. </w:t>
      </w:r>
      <w:r w:rsidRPr="0021503D">
        <w:rPr>
          <w:rStyle w:val="NoteLabel"/>
        </w:rPr>
        <w:t>b</w:t>
      </w:r>
      <w:r w:rsidRPr="0021503D">
        <w:t xml:space="preserve"> Data were not available for SA and Tasmania. </w:t>
      </w:r>
      <w:r w:rsidRPr="0021503D">
        <w:rPr>
          <w:rStyle w:val="NoteLabel"/>
        </w:rPr>
        <w:t>c </w:t>
      </w:r>
      <w:r w:rsidRPr="0021503D">
        <w:t>In the NT, case plans for young people on community-based orders are prepared within 8 weeks of order commencement. Community-based data for the NT have been manually collated and data integrity cannot be assured.</w:t>
      </w:r>
      <w:r w:rsidRPr="0021503D">
        <w:rPr>
          <w:rStyle w:val="NoteLabel"/>
        </w:rPr>
        <w:t xml:space="preserve"> d</w:t>
      </w:r>
      <w:r w:rsidRPr="0021503D">
        <w:t xml:space="preserve"> Refer to table 15A.200 for detailed footnotes.</w:t>
      </w:r>
    </w:p>
    <w:p w:rsidR="00A1471D" w:rsidRPr="0021503D" w:rsidRDefault="00A1471D" w:rsidP="00A1471D">
      <w:pPr>
        <w:pStyle w:val="Source"/>
      </w:pPr>
      <w:r w:rsidRPr="0021503D">
        <w:rPr>
          <w:i/>
        </w:rPr>
        <w:t>Source</w:t>
      </w:r>
      <w:r w:rsidRPr="0021503D">
        <w:t>: State and Territory governments (unpublished); table 15A.200; 2013 Report, figure 15.27, p. 15.91.</w:t>
      </w:r>
    </w:p>
    <w:p w:rsidR="00AB1DAE" w:rsidRPr="0021503D" w:rsidRDefault="00AB1DAE" w:rsidP="00AB1DAE">
      <w:pPr>
        <w:keepNext/>
        <w:spacing w:before="480" w:line="320" w:lineRule="exact"/>
        <w:outlineLvl w:val="3"/>
        <w:rPr>
          <w:rFonts w:ascii="Arial" w:hAnsi="Arial"/>
          <w:i/>
          <w:sz w:val="24"/>
          <w:szCs w:val="20"/>
        </w:rPr>
      </w:pPr>
      <w:bookmarkStart w:id="138" w:name="_Toc348952929"/>
      <w:bookmarkStart w:id="139" w:name="_Toc351361370"/>
      <w:r w:rsidRPr="0021503D">
        <w:rPr>
          <w:rFonts w:ascii="Arial" w:hAnsi="Arial"/>
          <w:i/>
          <w:sz w:val="24"/>
          <w:szCs w:val="20"/>
        </w:rPr>
        <w:lastRenderedPageBreak/>
        <w:t>Statutory responsibilities — completion of community-based orders</w:t>
      </w:r>
      <w:bookmarkEnd w:id="134"/>
      <w:bookmarkEnd w:id="135"/>
      <w:bookmarkEnd w:id="138"/>
      <w:bookmarkEnd w:id="139"/>
    </w:p>
    <w:p w:rsidR="00A1471D" w:rsidRPr="0021503D" w:rsidRDefault="00A1471D" w:rsidP="00A1471D">
      <w:pPr>
        <w:pStyle w:val="BodyText"/>
      </w:pPr>
      <w:r w:rsidRPr="0021503D">
        <w:t>‘Completion of community-based orders’ is an indicator of governments’ objective to rehabil</w:t>
      </w:r>
      <w:r w:rsidR="00E96FF8" w:rsidRPr="0021503D">
        <w:t>itate young offenders (box 15.14</w:t>
      </w:r>
      <w:r w:rsidRPr="0021503D">
        <w:t>).</w:t>
      </w:r>
    </w:p>
    <w:p w:rsidR="00E96FF8" w:rsidRPr="0021503D" w:rsidRDefault="00E96FF8" w:rsidP="00E96FF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96FF8" w:rsidRPr="0021503D" w:rsidTr="005B7C3F">
        <w:tc>
          <w:tcPr>
            <w:tcW w:w="8771" w:type="dxa"/>
            <w:tcBorders>
              <w:top w:val="single" w:sz="6" w:space="0" w:color="auto"/>
              <w:bottom w:val="nil"/>
            </w:tcBorders>
          </w:tcPr>
          <w:p w:rsidR="00E96FF8" w:rsidRPr="0021503D" w:rsidRDefault="00E96FF8" w:rsidP="00E96FF8">
            <w:pPr>
              <w:pStyle w:val="BoxTitle"/>
            </w:pPr>
            <w:r w:rsidRPr="0021503D">
              <w:rPr>
                <w:b w:val="0"/>
              </w:rPr>
              <w:t>Box 15.14</w:t>
            </w:r>
            <w:r w:rsidRPr="0021503D">
              <w:tab/>
              <w:t>Completion of community-based orders</w:t>
            </w:r>
          </w:p>
        </w:tc>
      </w:tr>
      <w:tr w:rsidR="00E96FF8" w:rsidRPr="0021503D" w:rsidTr="005B7C3F">
        <w:trPr>
          <w:cantSplit/>
        </w:trPr>
        <w:tc>
          <w:tcPr>
            <w:tcW w:w="8771" w:type="dxa"/>
            <w:tcBorders>
              <w:top w:val="nil"/>
              <w:left w:val="single" w:sz="6" w:space="0" w:color="auto"/>
              <w:bottom w:val="nil"/>
              <w:right w:val="single" w:sz="6" w:space="0" w:color="auto"/>
            </w:tcBorders>
          </w:tcPr>
          <w:p w:rsidR="00E96FF8" w:rsidRPr="0021503D" w:rsidRDefault="00E96FF8" w:rsidP="005B7C3F">
            <w:pPr>
              <w:pStyle w:val="Box"/>
            </w:pPr>
            <w:r w:rsidRPr="0021503D">
              <w:t>‘Completion of community-based orders’ is defined as the proportion of sentenced community-based supervision orders successfully completed. An order is counted as successfully completed where the earliest order expiry date or the order termination date is reached and breach is neither pending nor finalised.</w:t>
            </w:r>
          </w:p>
          <w:p w:rsidR="00E96FF8" w:rsidRPr="0021503D" w:rsidRDefault="00E96FF8" w:rsidP="005B7C3F">
            <w:pPr>
              <w:pStyle w:val="Box"/>
            </w:pPr>
            <w:r w:rsidRPr="0021503D">
              <w:t xml:space="preserve">A high or increasing proportion of orders successfully completed is desirable. However, where offenders are non-compliant and pose a risk, breach action (an unsuccessful completion) may be warranted. As a result, a completion rate less than 100 per cent may not necessarily indicate poor performance, and may reflect appropriate supervision of young people on community-based supervision orders. </w:t>
            </w:r>
          </w:p>
          <w:p w:rsidR="00E96FF8" w:rsidRPr="0021503D" w:rsidRDefault="00E96FF8" w:rsidP="005B7C3F">
            <w:pPr>
              <w:pStyle w:val="Box"/>
            </w:pPr>
            <w:r w:rsidRPr="0021503D">
              <w:t>Data reported for this indicator are comparable but not complete.</w:t>
            </w:r>
          </w:p>
          <w:p w:rsidR="00E96FF8" w:rsidRPr="0021503D" w:rsidRDefault="00E96FF8" w:rsidP="005B7C3F">
            <w:pPr>
              <w:pStyle w:val="Box"/>
              <w:rPr>
                <w:rFonts w:ascii="Times New Roman" w:hAnsi="Times New Roman"/>
                <w:sz w:val="26"/>
              </w:rPr>
            </w:pPr>
            <w:r w:rsidRPr="0021503D">
              <w:rPr>
                <w:szCs w:val="22"/>
              </w:rPr>
              <w:t xml:space="preserve">Data quality information for this indicator is </w:t>
            </w:r>
            <w:r w:rsidRPr="0021503D">
              <w:t>at www.pc.gov.au/gsp/reports/rogs/2013.</w:t>
            </w:r>
          </w:p>
        </w:tc>
      </w:tr>
      <w:tr w:rsidR="00E96FF8" w:rsidRPr="0021503D" w:rsidTr="005B7C3F">
        <w:trPr>
          <w:cantSplit/>
        </w:trPr>
        <w:tc>
          <w:tcPr>
            <w:tcW w:w="8771" w:type="dxa"/>
            <w:tcBorders>
              <w:top w:val="nil"/>
              <w:left w:val="single" w:sz="6" w:space="0" w:color="auto"/>
              <w:bottom w:val="single" w:sz="6" w:space="0" w:color="auto"/>
              <w:right w:val="single" w:sz="6" w:space="0" w:color="auto"/>
            </w:tcBorders>
          </w:tcPr>
          <w:p w:rsidR="00E96FF8" w:rsidRPr="0021503D" w:rsidRDefault="00E96FF8" w:rsidP="005B7C3F">
            <w:pPr>
              <w:pStyle w:val="Box"/>
              <w:spacing w:before="0" w:line="120" w:lineRule="exact"/>
            </w:pPr>
          </w:p>
        </w:tc>
      </w:tr>
      <w:tr w:rsidR="00E96FF8" w:rsidRPr="0021503D" w:rsidTr="005B7C3F">
        <w:tc>
          <w:tcPr>
            <w:tcW w:w="8771" w:type="dxa"/>
            <w:tcBorders>
              <w:top w:val="nil"/>
              <w:left w:val="nil"/>
              <w:bottom w:val="nil"/>
              <w:right w:val="nil"/>
            </w:tcBorders>
          </w:tcPr>
          <w:p w:rsidR="00E96FF8" w:rsidRPr="0021503D" w:rsidRDefault="00E96FF8" w:rsidP="005B7C3F">
            <w:pPr>
              <w:pStyle w:val="Box"/>
              <w:keepNext w:val="0"/>
              <w:spacing w:before="60" w:after="60" w:line="80" w:lineRule="exact"/>
              <w:rPr>
                <w:b/>
                <w:color w:val="FF00FF"/>
                <w:sz w:val="14"/>
              </w:rPr>
            </w:pPr>
          </w:p>
        </w:tc>
      </w:tr>
    </w:tbl>
    <w:p w:rsidR="00E96FF8" w:rsidRPr="0021503D" w:rsidRDefault="00E96FF8" w:rsidP="00A1471D">
      <w:pPr>
        <w:pStyle w:val="BodyText"/>
      </w:pPr>
      <w:r w:rsidRPr="0021503D">
        <w:t>Nationally, 83.0 per cent of community-based orders were successfully completed in 2011-12. The proportion of community-based orders successfully completed varied across jurisdictions (figure 15.13).</w:t>
      </w:r>
    </w:p>
    <w:p w:rsidR="00A1471D" w:rsidRPr="0021503D" w:rsidRDefault="00A1471D" w:rsidP="00A1471D">
      <w:pPr>
        <w:pStyle w:val="FigureTitle"/>
        <w:widowControl w:val="0"/>
        <w:rPr>
          <w:rStyle w:val="NoteLabel"/>
        </w:rPr>
      </w:pPr>
      <w:r w:rsidRPr="0021503D">
        <w:rPr>
          <w:b w:val="0"/>
        </w:rPr>
        <w:lastRenderedPageBreak/>
        <w:t xml:space="preserve">Figure </w:t>
      </w:r>
      <w:r w:rsidR="00E96FF8" w:rsidRPr="0021503D">
        <w:rPr>
          <w:b w:val="0"/>
        </w:rPr>
        <w:t>15.13</w:t>
      </w:r>
      <w:r w:rsidRPr="0021503D">
        <w:rPr>
          <w:b w:val="0"/>
        </w:rPr>
        <w:tab/>
      </w:r>
      <w:r w:rsidRPr="0021503D">
        <w:t>Proportion of community-based orders successfully completed, by Indigenous status, 2011-12</w:t>
      </w:r>
      <w:r w:rsidRPr="0021503D">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1471D" w:rsidRPr="0021503D" w:rsidTr="00372932">
        <w:tc>
          <w:tcPr>
            <w:tcW w:w="8777" w:type="dxa"/>
          </w:tcPr>
          <w:p w:rsidR="00A1471D" w:rsidRPr="0021503D" w:rsidRDefault="00A1471D" w:rsidP="00372932">
            <w:pPr>
              <w:pStyle w:val="Figure"/>
              <w:widowControl w:val="0"/>
            </w:pPr>
            <w:r w:rsidRPr="0021503D">
              <w:rPr>
                <w:noProof/>
              </w:rPr>
              <w:drawing>
                <wp:inline distT="0" distB="0" distL="0" distR="0" wp14:anchorId="552C39B7" wp14:editId="1CAF1699">
                  <wp:extent cx="5400000" cy="2340000"/>
                  <wp:effectExtent l="0" t="0" r="0" b="3175"/>
                  <wp:docPr id="127" name="Chart 127" descr="Figure 15.13 Proportion of community-based orders successfully completed, by Indigenous status, 2011-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rsidR="00A1471D" w:rsidRPr="0021503D" w:rsidRDefault="00A1471D" w:rsidP="00A1471D">
      <w:pPr>
        <w:pStyle w:val="Note"/>
        <w:keepNext/>
        <w:widowControl w:val="0"/>
      </w:pPr>
      <w:r w:rsidRPr="0021503D">
        <w:rPr>
          <w:rStyle w:val="NoteLabel"/>
        </w:rPr>
        <w:t>a</w:t>
      </w:r>
      <w:r w:rsidRPr="0021503D">
        <w:sym w:font="Symbol" w:char="F020"/>
      </w:r>
      <w:r w:rsidRPr="0021503D">
        <w:t xml:space="preserve">Data were not available for the ACT due to information system limitations. </w:t>
      </w:r>
      <w:r w:rsidRPr="0021503D">
        <w:rPr>
          <w:rStyle w:val="NoteLabel"/>
        </w:rPr>
        <w:t xml:space="preserve">b </w:t>
      </w:r>
      <w:r w:rsidRPr="0021503D">
        <w:t>Refer to table 15A.199 for detailed footnotes.</w:t>
      </w:r>
    </w:p>
    <w:p w:rsidR="00AB1DAE" w:rsidRPr="0021503D" w:rsidRDefault="00A1471D" w:rsidP="00A1471D">
      <w:pPr>
        <w:pStyle w:val="Source"/>
        <w:keepNext/>
        <w:widowControl w:val="0"/>
      </w:pPr>
      <w:r w:rsidRPr="0021503D">
        <w:rPr>
          <w:i/>
        </w:rPr>
        <w:t>Source</w:t>
      </w:r>
      <w:r w:rsidRPr="0021503D">
        <w:t>: State and Territory governments (unpublished); table 15A.199</w:t>
      </w:r>
      <w:r w:rsidR="00AB1DAE" w:rsidRPr="0021503D">
        <w:t>; 201</w:t>
      </w:r>
      <w:r w:rsidRPr="0021503D">
        <w:t>3</w:t>
      </w:r>
      <w:r w:rsidR="00AB1DAE" w:rsidRPr="0021503D">
        <w:t> Report, figure 15.2</w:t>
      </w:r>
      <w:r w:rsidRPr="0021503D">
        <w:t>6</w:t>
      </w:r>
      <w:r w:rsidR="00AB1DAE" w:rsidRPr="0021503D">
        <w:t>, p. 15.</w:t>
      </w:r>
      <w:r w:rsidRPr="0021503D">
        <w:t>93</w:t>
      </w:r>
      <w:r w:rsidR="00AB1DAE" w:rsidRPr="0021503D">
        <w:t>.</w:t>
      </w:r>
    </w:p>
    <w:p w:rsidR="005946CF" w:rsidRPr="000E35CE" w:rsidRDefault="005946CF">
      <w:pPr>
        <w:rPr>
          <w:rFonts w:ascii="Arial" w:hAnsi="Arial"/>
          <w:b/>
          <w:highlight w:val="yellow"/>
        </w:rPr>
      </w:pPr>
      <w:bookmarkStart w:id="140" w:name="_Toc290291990"/>
      <w:bookmarkStart w:id="141" w:name="_Toc320770840"/>
      <w:bookmarkStart w:id="142" w:name="_Toc348449383"/>
      <w:bookmarkStart w:id="143" w:name="_Toc348952930"/>
      <w:r w:rsidRPr="000E35CE">
        <w:rPr>
          <w:highlight w:val="yellow"/>
        </w:rPr>
        <w:br w:type="page"/>
      </w:r>
    </w:p>
    <w:p w:rsidR="00AB1DAE" w:rsidRPr="0021503D" w:rsidRDefault="00AB1DAE" w:rsidP="000D5D65">
      <w:pPr>
        <w:pStyle w:val="Heading3"/>
      </w:pPr>
      <w:bookmarkStart w:id="144" w:name="_Toc351361371"/>
      <w:r w:rsidRPr="0021503D">
        <w:lastRenderedPageBreak/>
        <w:t>Definitions of key terms and indicators</w:t>
      </w:r>
      <w:bookmarkEnd w:id="140"/>
      <w:bookmarkEnd w:id="141"/>
      <w:bookmarkEnd w:id="142"/>
      <w:bookmarkEnd w:id="143"/>
      <w:bookmarkEnd w:id="144"/>
    </w:p>
    <w:p w:rsidR="000D5D65" w:rsidRPr="0021503D" w:rsidRDefault="00AB1DAE" w:rsidP="00AB1DAE">
      <w:pPr>
        <w:keepNext/>
        <w:spacing w:before="480" w:line="320" w:lineRule="exact"/>
        <w:outlineLvl w:val="3"/>
        <w:rPr>
          <w:rFonts w:ascii="Arial" w:hAnsi="Arial"/>
          <w:b/>
          <w:sz w:val="22"/>
          <w:szCs w:val="22"/>
        </w:rPr>
      </w:pPr>
      <w:bookmarkStart w:id="145" w:name="_Toc318383989"/>
      <w:bookmarkStart w:id="146" w:name="_Toc320770841"/>
      <w:bookmarkStart w:id="147" w:name="_Toc348449384"/>
      <w:bookmarkStart w:id="148" w:name="_Toc348952931"/>
      <w:bookmarkStart w:id="149" w:name="_Toc351361372"/>
      <w:r w:rsidRPr="0021503D">
        <w:rPr>
          <w:rFonts w:ascii="Arial" w:hAnsi="Arial"/>
          <w:b/>
          <w:sz w:val="22"/>
          <w:szCs w:val="22"/>
        </w:rPr>
        <w:t>Child protection and out-of-home care services</w:t>
      </w:r>
      <w:bookmarkEnd w:id="145"/>
      <w:bookmarkEnd w:id="146"/>
      <w:bookmarkEnd w:id="147"/>
      <w:bookmarkEnd w:id="148"/>
      <w:bookmarkEnd w:id="149"/>
    </w:p>
    <w:tbl>
      <w:tblPr>
        <w:tblW w:w="0" w:type="auto"/>
        <w:tblInd w:w="108" w:type="dxa"/>
        <w:tblLayout w:type="fixed"/>
        <w:tblLook w:val="0000" w:firstRow="0" w:lastRow="0" w:firstColumn="0" w:lastColumn="0" w:noHBand="0" w:noVBand="0"/>
      </w:tblPr>
      <w:tblGrid>
        <w:gridCol w:w="2210"/>
        <w:gridCol w:w="6471"/>
      </w:tblGrid>
      <w:tr w:rsidR="00372932" w:rsidRPr="0021503D" w:rsidTr="005946CF">
        <w:tc>
          <w:tcPr>
            <w:tcW w:w="2210" w:type="dxa"/>
            <w:shd w:val="clear" w:color="auto" w:fill="auto"/>
          </w:tcPr>
          <w:p w:rsidR="00372932" w:rsidRPr="0021503D" w:rsidRDefault="00372932" w:rsidP="00372932">
            <w:pPr>
              <w:pStyle w:val="TableBodyText"/>
              <w:spacing w:before="60" w:after="60"/>
              <w:ind w:left="0"/>
              <w:jc w:val="left"/>
              <w:rPr>
                <w:b/>
              </w:rPr>
            </w:pPr>
            <w:r w:rsidRPr="0021503D">
              <w:rPr>
                <w:b/>
              </w:rPr>
              <w:t>Care and protection orders</w:t>
            </w:r>
          </w:p>
        </w:tc>
        <w:tc>
          <w:tcPr>
            <w:tcW w:w="6471" w:type="dxa"/>
            <w:shd w:val="clear" w:color="auto" w:fill="auto"/>
          </w:tcPr>
          <w:p w:rsidR="00372932" w:rsidRPr="0021503D" w:rsidRDefault="00372932" w:rsidP="00372932">
            <w:pPr>
              <w:pStyle w:val="TableBodyText"/>
              <w:spacing w:before="60" w:after="60"/>
              <w:jc w:val="left"/>
            </w:pPr>
            <w:r w:rsidRPr="0021503D">
              <w:t xml:space="preserve">Care and protection orders are legal orders or arrangements which give child protection departments some responsibility for a child’s welfare. The scope of departmental involvement mandated by a care and protection order is dependent on the type of order, and can include: </w:t>
            </w:r>
          </w:p>
          <w:p w:rsidR="00372932" w:rsidRPr="0021503D" w:rsidRDefault="00372932" w:rsidP="00372932">
            <w:pPr>
              <w:pStyle w:val="TableBullet"/>
            </w:pPr>
            <w:r w:rsidRPr="0021503D">
              <w:t>responsibility for overseeing the actions of the person or authority caring for the child</w:t>
            </w:r>
          </w:p>
          <w:p w:rsidR="00372932" w:rsidRPr="0021503D" w:rsidRDefault="00372932" w:rsidP="00372932">
            <w:pPr>
              <w:pStyle w:val="TableBullet"/>
            </w:pPr>
            <w:r w:rsidRPr="0021503D">
              <w:t>reporting or giving consideration to the child’s welfare (for example, regarding the child’s education, health, religion, accommodation and financial matters).</w:t>
            </w:r>
          </w:p>
          <w:p w:rsidR="00372932" w:rsidRPr="0021503D" w:rsidRDefault="00372932" w:rsidP="00372932">
            <w:pPr>
              <w:pStyle w:val="TableBodyText"/>
              <w:spacing w:before="60" w:after="60"/>
              <w:jc w:val="left"/>
            </w:pPr>
            <w:r w:rsidRPr="0021503D">
              <w:t>Types of care and protection orders:</w:t>
            </w:r>
          </w:p>
          <w:p w:rsidR="00372932" w:rsidRPr="0021503D" w:rsidRDefault="00372932" w:rsidP="00372932">
            <w:pPr>
              <w:pStyle w:val="TableBullet"/>
            </w:pPr>
            <w:r w:rsidRPr="0021503D">
              <w:t>Finalised guardianship or custody orders – involve the transfer of legal guardianship to the relevant state or territory department or non-government agency. These orders involve considerable intervention in a child’s life and that of his or her family, and are sought only as a last resort. Guardianship orders convey responsibility for the welfare of a child to a guardian (for example, regarding a child’s education, health, religion, accommodation and financial matters). Guardianship orders do not necessarily grant the right to the daily care and control of a child, or the right to make decisions about the daily care and control of a child, which are granted under custody orders. Custody orders generally refer to orders that place children in the custody of the state or territory, or department responsible for child protection or non-government agency. These orders usually involve the child protection department being responsible for the daily care and requirements of a child, while his or her parent retains legal guardianship. Custody alone does not bestow any responsibility regarding the long-term welfare of the child.</w:t>
            </w:r>
          </w:p>
          <w:p w:rsidR="00372932" w:rsidRPr="0021503D" w:rsidRDefault="00372932" w:rsidP="00372932">
            <w:pPr>
              <w:pStyle w:val="TableBullet"/>
            </w:pPr>
            <w:r w:rsidRPr="0021503D">
              <w:t xml:space="preserve">Finalised third party parental responsibility orders – transfer all duties, powers, responsibilities and authority parents are entitled to by law, to a nominated person(s) considered appropriate by the court. The nominated person may be an individual such as a relative or an officer of a state or territory department. Third party parental responsibility may be ordered when a parent is unable to care for a child, and as such parental responsibility is transferred to a relative. ‘Permanent care orders’ are an example of a third party parental responsibility order and involve the transfer of guardianship to a third party carer. It can also be applied to the achievement of a stable arrangement under a long-term guardianship order to 18 years without guardianship being transferred to a third party. These orders are only applicable in some jurisdictions. </w:t>
            </w:r>
          </w:p>
          <w:p w:rsidR="00372932" w:rsidRPr="0021503D" w:rsidRDefault="00372932" w:rsidP="00372932">
            <w:pPr>
              <w:pStyle w:val="TableBullet"/>
            </w:pPr>
            <w:r w:rsidRPr="0021503D">
              <w:t xml:space="preserve">Finalised supervisory orders – give the department responsible for child protection some responsibility for a child’s welfare. Under these orders, the department supervises and/or directs the level and type of care that is to be provided to the child. Children under supervisory orders are generally under the responsibility of their parents and the guardianship or custody of the child is unaffected. Finalised supervisory orders are therefore less interventionist than finalised guardianship orders but require the child’s parent or </w:t>
            </w:r>
            <w:r w:rsidRPr="0021503D">
              <w:lastRenderedPageBreak/>
              <w:t>guardian to meet specified conditions, such as medical care of the child.</w:t>
            </w:r>
          </w:p>
          <w:p w:rsidR="00372932" w:rsidRPr="0021503D" w:rsidRDefault="00372932" w:rsidP="00372932">
            <w:pPr>
              <w:pStyle w:val="TableBullet"/>
            </w:pPr>
            <w:r w:rsidRPr="0021503D">
              <w:t>Interim and temporary orders – generally cover the provision of a limited period of supervision and/or placement of a child. Parental responsibility under these orders may reside with the parents or with the department responsible for child protection. Orders that are not finalised (such as an application to a court for a care and protection order) are also included in this category, unless another finalised order is in place.</w:t>
            </w:r>
          </w:p>
          <w:p w:rsidR="00372932" w:rsidRPr="0021503D" w:rsidRDefault="00372932" w:rsidP="00372932">
            <w:pPr>
              <w:pStyle w:val="TableBullet"/>
            </w:pPr>
            <w:r w:rsidRPr="0021503D">
              <w:t xml:space="preserve">Administrative arrangements – are agreements with relevant child protection departments, which have the same effect as a court order in transferring custody or guardianship. These arrangements can also allow a child to be placed in out-of-home care without going through the courts. </w:t>
            </w:r>
          </w:p>
          <w:p w:rsidR="00372932" w:rsidRPr="0021503D" w:rsidRDefault="00372932" w:rsidP="00372932">
            <w:pPr>
              <w:pStyle w:val="TableBodyText"/>
              <w:jc w:val="left"/>
            </w:pPr>
            <w:r w:rsidRPr="0021503D">
              <w:t>Children are counted only once, even if they are on more than one care and protection order.</w:t>
            </w:r>
          </w:p>
        </w:tc>
      </w:tr>
      <w:tr w:rsidR="00372932" w:rsidRPr="0021503D" w:rsidTr="005946CF">
        <w:tc>
          <w:tcPr>
            <w:tcW w:w="2210" w:type="dxa"/>
            <w:shd w:val="clear" w:color="auto" w:fill="auto"/>
          </w:tcPr>
          <w:p w:rsidR="00372932" w:rsidRPr="0021503D" w:rsidRDefault="00372932" w:rsidP="00372932">
            <w:pPr>
              <w:pStyle w:val="TableBodyText"/>
              <w:spacing w:before="60" w:after="60"/>
              <w:ind w:left="0"/>
              <w:jc w:val="left"/>
              <w:rPr>
                <w:b/>
              </w:rPr>
            </w:pPr>
            <w:r w:rsidRPr="0021503D">
              <w:rPr>
                <w:b/>
              </w:rPr>
              <w:lastRenderedPageBreak/>
              <w:t>Child</w:t>
            </w:r>
          </w:p>
        </w:tc>
        <w:tc>
          <w:tcPr>
            <w:tcW w:w="6471" w:type="dxa"/>
            <w:shd w:val="clear" w:color="auto" w:fill="auto"/>
          </w:tcPr>
          <w:p w:rsidR="00372932" w:rsidRPr="0021503D" w:rsidRDefault="00372932" w:rsidP="00372932">
            <w:pPr>
              <w:pStyle w:val="TableBodyText"/>
              <w:spacing w:before="60" w:after="60"/>
              <w:ind w:left="0"/>
              <w:jc w:val="left"/>
            </w:pPr>
            <w:r w:rsidRPr="0021503D">
              <w:t>A person aged 0–17 years.</w:t>
            </w:r>
          </w:p>
        </w:tc>
      </w:tr>
      <w:tr w:rsidR="00372932" w:rsidRPr="0021503D" w:rsidTr="005946CF">
        <w:tc>
          <w:tcPr>
            <w:tcW w:w="2210" w:type="dxa"/>
            <w:shd w:val="clear" w:color="auto" w:fill="auto"/>
          </w:tcPr>
          <w:p w:rsidR="00372932" w:rsidRPr="0021503D" w:rsidRDefault="00372932" w:rsidP="00372932">
            <w:pPr>
              <w:pStyle w:val="TableBodyText"/>
              <w:spacing w:before="60" w:after="60"/>
              <w:ind w:left="0"/>
              <w:jc w:val="left"/>
              <w:rPr>
                <w:b/>
              </w:rPr>
            </w:pPr>
            <w:r w:rsidRPr="0021503D">
              <w:rPr>
                <w:b/>
              </w:rPr>
              <w:t>Child concern reports</w:t>
            </w:r>
          </w:p>
        </w:tc>
        <w:tc>
          <w:tcPr>
            <w:tcW w:w="6471" w:type="dxa"/>
            <w:shd w:val="clear" w:color="auto" w:fill="auto"/>
          </w:tcPr>
          <w:p w:rsidR="00372932" w:rsidRPr="0021503D" w:rsidRDefault="00372932" w:rsidP="00372932">
            <w:pPr>
              <w:pStyle w:val="TableBodyText"/>
              <w:spacing w:before="60" w:after="60"/>
              <w:ind w:left="0"/>
              <w:jc w:val="left"/>
            </w:pPr>
            <w:r w:rsidRPr="0021503D">
              <w:t>Reports to departments responsible for child protection regarding concerns about a child, where there is no indication that a child may have been, or is at risk of being, harmed through abuse or neglect. This may include concerns about a child’s welfare related to the quality of his or her home environment or the standard of care that he or she is receiving.</w:t>
            </w:r>
          </w:p>
        </w:tc>
      </w:tr>
      <w:tr w:rsidR="00372932" w:rsidRPr="0021503D" w:rsidTr="005946CF">
        <w:tc>
          <w:tcPr>
            <w:tcW w:w="2210" w:type="dxa"/>
            <w:shd w:val="clear" w:color="auto" w:fill="auto"/>
          </w:tcPr>
          <w:p w:rsidR="00372932" w:rsidRPr="0021503D" w:rsidRDefault="00372932" w:rsidP="00372932">
            <w:pPr>
              <w:pStyle w:val="TableBodyText"/>
              <w:spacing w:before="60" w:after="60"/>
              <w:ind w:left="0"/>
              <w:jc w:val="left"/>
              <w:rPr>
                <w:b/>
              </w:rPr>
            </w:pPr>
            <w:r w:rsidRPr="0021503D">
              <w:rPr>
                <w:b/>
              </w:rPr>
              <w:t>Exited out</w:t>
            </w:r>
            <w:r w:rsidRPr="0021503D">
              <w:rPr>
                <w:b/>
              </w:rPr>
              <w:noBreakHyphen/>
              <w:t>of</w:t>
            </w:r>
            <w:r w:rsidRPr="0021503D">
              <w:rPr>
                <w:b/>
              </w:rPr>
              <w:noBreakHyphen/>
              <w:t>home care</w:t>
            </w:r>
          </w:p>
        </w:tc>
        <w:tc>
          <w:tcPr>
            <w:tcW w:w="6471" w:type="dxa"/>
            <w:shd w:val="clear" w:color="auto" w:fill="auto"/>
          </w:tcPr>
          <w:p w:rsidR="00372932" w:rsidRPr="0021503D" w:rsidRDefault="00372932" w:rsidP="00372932">
            <w:pPr>
              <w:pStyle w:val="TableBodyText"/>
              <w:spacing w:before="60" w:after="60"/>
              <w:ind w:left="0"/>
              <w:jc w:val="left"/>
            </w:pPr>
            <w:r w:rsidRPr="0021503D">
              <w:t>Where a child does not return to care within 60 days.</w:t>
            </w:r>
          </w:p>
        </w:tc>
      </w:tr>
      <w:tr w:rsidR="00372932" w:rsidRPr="0021503D" w:rsidTr="005946CF">
        <w:tc>
          <w:tcPr>
            <w:tcW w:w="2210" w:type="dxa"/>
            <w:shd w:val="clear" w:color="auto" w:fill="auto"/>
          </w:tcPr>
          <w:p w:rsidR="00372932" w:rsidRPr="0021503D" w:rsidRDefault="00372932" w:rsidP="00372932">
            <w:pPr>
              <w:pStyle w:val="TableBodyText"/>
              <w:spacing w:before="60" w:after="60"/>
              <w:ind w:left="0"/>
              <w:jc w:val="left"/>
              <w:rPr>
                <w:b/>
              </w:rPr>
            </w:pPr>
            <w:r w:rsidRPr="0021503D">
              <w:rPr>
                <w:b/>
              </w:rPr>
              <w:t>Family group homes</w:t>
            </w:r>
          </w:p>
        </w:tc>
        <w:tc>
          <w:tcPr>
            <w:tcW w:w="6471" w:type="dxa"/>
            <w:shd w:val="clear" w:color="auto" w:fill="auto"/>
          </w:tcPr>
          <w:p w:rsidR="00372932" w:rsidRPr="0021503D" w:rsidRDefault="00372932" w:rsidP="00372932">
            <w:pPr>
              <w:pStyle w:val="TableBodyText"/>
              <w:spacing w:before="60" w:after="60"/>
              <w:ind w:left="0"/>
              <w:jc w:val="left"/>
            </w:pPr>
            <w:r w:rsidRPr="0021503D">
              <w:t>Family group homes are care settings that provide care to children in a departmentally or community sector agency provided home. These homes have live-in, non-salaried carers who are reimbursed and/or subsidised for the provision of care.</w:t>
            </w:r>
          </w:p>
        </w:tc>
      </w:tr>
      <w:tr w:rsidR="00372932" w:rsidRPr="0021503D" w:rsidTr="005946CF">
        <w:tc>
          <w:tcPr>
            <w:tcW w:w="2210" w:type="dxa"/>
            <w:shd w:val="clear" w:color="auto" w:fill="auto"/>
          </w:tcPr>
          <w:p w:rsidR="00372932" w:rsidRPr="0021503D" w:rsidRDefault="00372932" w:rsidP="00372932">
            <w:pPr>
              <w:pStyle w:val="TableBodyText"/>
              <w:spacing w:before="60" w:after="60"/>
              <w:ind w:left="0"/>
              <w:jc w:val="left"/>
              <w:rPr>
                <w:b/>
              </w:rPr>
            </w:pPr>
            <w:r w:rsidRPr="0021503D">
              <w:rPr>
                <w:b/>
              </w:rPr>
              <w:t>Foster care</w:t>
            </w:r>
          </w:p>
        </w:tc>
        <w:tc>
          <w:tcPr>
            <w:tcW w:w="6471" w:type="dxa"/>
            <w:shd w:val="clear" w:color="auto" w:fill="auto"/>
          </w:tcPr>
          <w:p w:rsidR="00372932" w:rsidRPr="0021503D" w:rsidRDefault="00372932" w:rsidP="00372932">
            <w:pPr>
              <w:pStyle w:val="TableBodyText"/>
              <w:spacing w:before="60" w:after="60"/>
              <w:ind w:left="0"/>
              <w:jc w:val="left"/>
            </w:pPr>
            <w:r w:rsidRPr="0021503D">
              <w:t>Care of a child who is living apart from his or her natural or adoptive parents in a private household, by one or more adults who act as ‘foster parents’ and are paid a regular allowance by a government authority or non-government organisation for the child’s support. The authorised department or non-government organisation provides continuing supervision or support while the child remains in the care of foster parents. Foster parents are chosen from a list of people registered, licensed or approved as foster parents by an authorised department or non-government organisation.</w:t>
            </w:r>
          </w:p>
        </w:tc>
      </w:tr>
      <w:tr w:rsidR="00372932" w:rsidRPr="0021503D" w:rsidTr="005946CF">
        <w:tc>
          <w:tcPr>
            <w:tcW w:w="2210" w:type="dxa"/>
            <w:shd w:val="clear" w:color="auto" w:fill="auto"/>
          </w:tcPr>
          <w:p w:rsidR="00372932" w:rsidRPr="0021503D" w:rsidRDefault="00372932" w:rsidP="00372932">
            <w:pPr>
              <w:pStyle w:val="TableBodyText"/>
              <w:spacing w:before="60" w:after="60"/>
              <w:ind w:left="0"/>
              <w:jc w:val="left"/>
              <w:rPr>
                <w:b/>
              </w:rPr>
            </w:pPr>
            <w:r w:rsidRPr="0021503D">
              <w:rPr>
                <w:b/>
              </w:rPr>
              <w:t>Foster parent</w:t>
            </w:r>
          </w:p>
        </w:tc>
        <w:tc>
          <w:tcPr>
            <w:tcW w:w="6471" w:type="dxa"/>
            <w:shd w:val="clear" w:color="auto" w:fill="auto"/>
          </w:tcPr>
          <w:p w:rsidR="00372932" w:rsidRPr="0021503D" w:rsidRDefault="00372932" w:rsidP="00372932">
            <w:pPr>
              <w:pStyle w:val="TableBodyText"/>
              <w:spacing w:before="60" w:after="60"/>
              <w:ind w:left="0"/>
              <w:jc w:val="left"/>
            </w:pPr>
            <w:r w:rsidRPr="0021503D">
              <w:t>Any person (or such a person’s spouse) who is being paid a foster allowance by a government or non-government organisation for the care of a child (excluding children in family group homes).</w:t>
            </w:r>
          </w:p>
        </w:tc>
      </w:tr>
      <w:tr w:rsidR="00372932" w:rsidRPr="0021503D" w:rsidTr="005946CF">
        <w:tc>
          <w:tcPr>
            <w:tcW w:w="2210" w:type="dxa"/>
            <w:shd w:val="clear" w:color="auto" w:fill="auto"/>
          </w:tcPr>
          <w:p w:rsidR="00372932" w:rsidRPr="0021503D" w:rsidRDefault="00372932" w:rsidP="00372932">
            <w:pPr>
              <w:pStyle w:val="TableBodyText"/>
              <w:spacing w:before="60" w:after="60"/>
              <w:ind w:left="0"/>
              <w:jc w:val="left"/>
              <w:rPr>
                <w:b/>
              </w:rPr>
            </w:pPr>
            <w:r w:rsidRPr="0021503D">
              <w:rPr>
                <w:b/>
              </w:rPr>
              <w:t>Guardian</w:t>
            </w:r>
          </w:p>
        </w:tc>
        <w:tc>
          <w:tcPr>
            <w:tcW w:w="6471" w:type="dxa"/>
            <w:shd w:val="clear" w:color="auto" w:fill="auto"/>
          </w:tcPr>
          <w:p w:rsidR="00372932" w:rsidRPr="0021503D" w:rsidRDefault="00372932" w:rsidP="00372932">
            <w:pPr>
              <w:pStyle w:val="TableBodyText"/>
              <w:spacing w:before="60" w:after="60"/>
              <w:ind w:left="0"/>
              <w:jc w:val="left"/>
            </w:pPr>
            <w:r w:rsidRPr="0021503D">
              <w:t>Any person who has the legal and ongoing care and responsibility for the protection of a child.</w:t>
            </w:r>
          </w:p>
        </w:tc>
      </w:tr>
      <w:tr w:rsidR="00372932" w:rsidRPr="0021503D" w:rsidTr="005946CF">
        <w:tc>
          <w:tcPr>
            <w:tcW w:w="2210" w:type="dxa"/>
            <w:shd w:val="clear" w:color="auto" w:fill="auto"/>
          </w:tcPr>
          <w:p w:rsidR="00372932" w:rsidRPr="0021503D" w:rsidRDefault="00372932" w:rsidP="00372932">
            <w:pPr>
              <w:pStyle w:val="TableBodyText"/>
              <w:spacing w:before="60" w:after="60"/>
              <w:ind w:left="0"/>
              <w:jc w:val="left"/>
              <w:rPr>
                <w:b/>
              </w:rPr>
            </w:pPr>
            <w:r w:rsidRPr="0021503D">
              <w:rPr>
                <w:b/>
              </w:rPr>
              <w:t>Indigenous person</w:t>
            </w:r>
          </w:p>
        </w:tc>
        <w:tc>
          <w:tcPr>
            <w:tcW w:w="6471" w:type="dxa"/>
            <w:shd w:val="clear" w:color="auto" w:fill="auto"/>
          </w:tcPr>
          <w:p w:rsidR="00372932" w:rsidRPr="0021503D" w:rsidRDefault="00372932" w:rsidP="00372932">
            <w:pPr>
              <w:pStyle w:val="TableBodyText"/>
              <w:spacing w:before="60" w:after="60"/>
              <w:ind w:left="0"/>
              <w:jc w:val="left"/>
            </w:pPr>
            <w:r w:rsidRPr="0021503D">
              <w:t xml:space="preserve">Person of Aboriginal or Torres Strait Islander descent who identifies as being an Aboriginal or Torres Strait Islander and is accepted as such by the community with which he or she lives. </w:t>
            </w:r>
          </w:p>
        </w:tc>
      </w:tr>
      <w:tr w:rsidR="00372932" w:rsidRPr="0021503D" w:rsidTr="005946CF">
        <w:tc>
          <w:tcPr>
            <w:tcW w:w="2210" w:type="dxa"/>
            <w:shd w:val="clear" w:color="auto" w:fill="auto"/>
          </w:tcPr>
          <w:p w:rsidR="00372932" w:rsidRPr="0021503D" w:rsidRDefault="00372932" w:rsidP="00372932">
            <w:pPr>
              <w:pStyle w:val="TableBodyText"/>
              <w:spacing w:before="60" w:after="60"/>
              <w:ind w:left="0"/>
              <w:jc w:val="left"/>
              <w:rPr>
                <w:b/>
              </w:rPr>
            </w:pPr>
            <w:r w:rsidRPr="0021503D">
              <w:rPr>
                <w:b/>
              </w:rPr>
              <w:t>Investigation</w:t>
            </w:r>
          </w:p>
        </w:tc>
        <w:tc>
          <w:tcPr>
            <w:tcW w:w="6471" w:type="dxa"/>
            <w:shd w:val="clear" w:color="auto" w:fill="auto"/>
          </w:tcPr>
          <w:p w:rsidR="00372932" w:rsidRPr="0021503D" w:rsidRDefault="00372932" w:rsidP="00372932">
            <w:pPr>
              <w:pStyle w:val="TableBodyText"/>
              <w:spacing w:before="60" w:after="60"/>
              <w:ind w:left="0"/>
              <w:jc w:val="left"/>
            </w:pPr>
            <w:r w:rsidRPr="0021503D">
              <w:t>An investigation of child abuse and neglect that involves identifying harm or risk of harm to the child, determining an outcome and assessing protective needs. It includes the interviewing or sighting of the subject child where practicable.</w:t>
            </w:r>
          </w:p>
        </w:tc>
      </w:tr>
      <w:tr w:rsidR="00372932" w:rsidRPr="0021503D" w:rsidTr="005946CF">
        <w:tc>
          <w:tcPr>
            <w:tcW w:w="2210" w:type="dxa"/>
            <w:shd w:val="clear" w:color="auto" w:fill="auto"/>
          </w:tcPr>
          <w:p w:rsidR="00372932" w:rsidRPr="0021503D" w:rsidRDefault="00372932" w:rsidP="00372932">
            <w:pPr>
              <w:pStyle w:val="TableBodyText"/>
              <w:spacing w:before="60" w:after="60"/>
              <w:ind w:left="0"/>
              <w:jc w:val="left"/>
              <w:rPr>
                <w:b/>
              </w:rPr>
            </w:pPr>
            <w:r w:rsidRPr="0021503D">
              <w:rPr>
                <w:b/>
              </w:rPr>
              <w:t xml:space="preserve">Length of time in continuous </w:t>
            </w:r>
            <w:r w:rsidRPr="0021503D">
              <w:rPr>
                <w:b/>
              </w:rPr>
              <w:lastRenderedPageBreak/>
              <w:t>out</w:t>
            </w:r>
            <w:r w:rsidRPr="0021503D">
              <w:rPr>
                <w:b/>
              </w:rPr>
              <w:noBreakHyphen/>
              <w:t>of</w:t>
            </w:r>
            <w:r w:rsidRPr="0021503D">
              <w:rPr>
                <w:b/>
              </w:rPr>
              <w:noBreakHyphen/>
              <w:t>home care</w:t>
            </w:r>
          </w:p>
        </w:tc>
        <w:tc>
          <w:tcPr>
            <w:tcW w:w="6471" w:type="dxa"/>
            <w:shd w:val="clear" w:color="auto" w:fill="auto"/>
          </w:tcPr>
          <w:p w:rsidR="00372932" w:rsidRPr="0021503D" w:rsidRDefault="00372932" w:rsidP="00372932">
            <w:pPr>
              <w:pStyle w:val="TableBodyText"/>
              <w:spacing w:before="60" w:after="60"/>
              <w:ind w:left="0"/>
              <w:jc w:val="left"/>
            </w:pPr>
            <w:r w:rsidRPr="0021503D">
              <w:lastRenderedPageBreak/>
              <w:t xml:space="preserve">The length of time for which a child is in out-of-home care on a continuous basis. Any break of 60 days or more is considered to </w:t>
            </w:r>
            <w:r w:rsidRPr="0021503D">
              <w:lastRenderedPageBreak/>
              <w:t>break the continuity of the placement. Where a child returns home for less than 60 days and then returns to the former placement or to a different placement, this does not affect the length of time in care. Holidays or authorised absences (less than 60 days) in a placement do not break the continuity of placement.</w:t>
            </w:r>
          </w:p>
        </w:tc>
      </w:tr>
      <w:tr w:rsidR="00372932" w:rsidRPr="0021503D" w:rsidTr="005946CF">
        <w:tc>
          <w:tcPr>
            <w:tcW w:w="2210" w:type="dxa"/>
            <w:shd w:val="clear" w:color="auto" w:fill="auto"/>
          </w:tcPr>
          <w:p w:rsidR="00372932" w:rsidRPr="0021503D" w:rsidRDefault="00372932" w:rsidP="00372932">
            <w:pPr>
              <w:pStyle w:val="TableBodyText"/>
              <w:spacing w:before="60" w:after="60"/>
              <w:ind w:left="0"/>
              <w:jc w:val="left"/>
              <w:rPr>
                <w:b/>
              </w:rPr>
            </w:pPr>
            <w:r w:rsidRPr="0021503D">
              <w:rPr>
                <w:b/>
              </w:rPr>
              <w:lastRenderedPageBreak/>
              <w:t>Notification</w:t>
            </w:r>
          </w:p>
        </w:tc>
        <w:tc>
          <w:tcPr>
            <w:tcW w:w="6471" w:type="dxa"/>
            <w:shd w:val="clear" w:color="auto" w:fill="auto"/>
          </w:tcPr>
          <w:p w:rsidR="00372932" w:rsidRPr="0021503D" w:rsidRDefault="00372932" w:rsidP="00372932">
            <w:pPr>
              <w:pStyle w:val="TableBodyText"/>
              <w:spacing w:before="60" w:after="60"/>
              <w:ind w:left="0"/>
              <w:jc w:val="left"/>
            </w:pPr>
            <w:r w:rsidRPr="0021503D">
              <w:t>Contact with an authorised department by persons or other bodies making allegations of child abuse or neglect, or harm to a child. Notifications can be counted at different points in the response to a report, ranging from the point of initial contact with the source of the report to the end of a screening and decision making process.</w:t>
            </w:r>
          </w:p>
        </w:tc>
      </w:tr>
      <w:tr w:rsidR="00372932" w:rsidRPr="0021503D" w:rsidTr="005946CF">
        <w:tc>
          <w:tcPr>
            <w:tcW w:w="2210" w:type="dxa"/>
            <w:shd w:val="clear" w:color="auto" w:fill="auto"/>
          </w:tcPr>
          <w:p w:rsidR="00372932" w:rsidRPr="0021503D" w:rsidRDefault="00372932" w:rsidP="00372932">
            <w:pPr>
              <w:pStyle w:val="TableBodyText"/>
              <w:spacing w:before="60" w:after="60"/>
              <w:ind w:left="0"/>
              <w:jc w:val="left"/>
              <w:rPr>
                <w:b/>
              </w:rPr>
            </w:pPr>
            <w:r w:rsidRPr="0021503D">
              <w:rPr>
                <w:b/>
              </w:rPr>
              <w:t>Out-of-home care</w:t>
            </w:r>
          </w:p>
        </w:tc>
        <w:tc>
          <w:tcPr>
            <w:tcW w:w="6471" w:type="dxa"/>
            <w:shd w:val="clear" w:color="auto" w:fill="auto"/>
          </w:tcPr>
          <w:p w:rsidR="00372932" w:rsidRPr="0021503D" w:rsidRDefault="00372932" w:rsidP="00372932">
            <w:pPr>
              <w:pStyle w:val="TableBodyText"/>
              <w:spacing w:before="60" w:after="60"/>
              <w:ind w:left="0"/>
              <w:jc w:val="left"/>
            </w:pPr>
            <w:r w:rsidRPr="0021503D">
              <w:t xml:space="preserve">Overnight care, including placement with relatives (other than parents) where the government makes a financial payment. Includes care of children in legal and voluntary placements (that is, children on and not on a legal order) but excludes placements solely funded by disability services, psychiatric services, youth justice facilities and overnight child care services. </w:t>
            </w:r>
          </w:p>
          <w:p w:rsidR="00372932" w:rsidRPr="0021503D" w:rsidRDefault="00372932" w:rsidP="00372932">
            <w:pPr>
              <w:pStyle w:val="TableBodyText"/>
              <w:spacing w:before="60" w:after="60"/>
              <w:ind w:left="0"/>
              <w:jc w:val="left"/>
            </w:pPr>
            <w:r w:rsidRPr="0021503D">
              <w:t>There are five main out-of-home care placement types:</w:t>
            </w:r>
          </w:p>
          <w:p w:rsidR="00372932" w:rsidRPr="0021503D" w:rsidRDefault="00372932" w:rsidP="00372932">
            <w:pPr>
              <w:pStyle w:val="TableBullet"/>
            </w:pPr>
            <w:r w:rsidRPr="0021503D">
              <w:t>Residential care – where placement is in a residential building with paid staff.</w:t>
            </w:r>
          </w:p>
          <w:p w:rsidR="00372932" w:rsidRPr="0021503D" w:rsidRDefault="00372932" w:rsidP="00372932">
            <w:pPr>
              <w:pStyle w:val="TableBullet"/>
            </w:pPr>
            <w:r w:rsidRPr="0021503D">
              <w:t>Family group homes – provide care to children in a departmentally or community sector agency provided home. These homes have live-in, non-salaried carers who are reimbursed and/or subsidised for the provision of care.</w:t>
            </w:r>
          </w:p>
          <w:p w:rsidR="00372932" w:rsidRPr="0021503D" w:rsidRDefault="00372932" w:rsidP="00372932">
            <w:pPr>
              <w:pStyle w:val="TableBullet"/>
            </w:pPr>
            <w:r w:rsidRPr="0021503D">
              <w:t xml:space="preserve">Home-based care – where placement is in the home of a carer who is reimbursed (or who has been offered but declined reimbursement) for expenses for the care of the child. This is broken down into three subcategories: (1) </w:t>
            </w:r>
            <w:r w:rsidRPr="0021503D">
              <w:rPr>
                <w:i/>
              </w:rPr>
              <w:t>relative/kinship care</w:t>
            </w:r>
            <w:r w:rsidRPr="0021503D">
              <w:t xml:space="preserve"> – where the caregiver is a relative (other than parents), considered to be family or a close friend, or is a member of the child or young person’s community (in accordance with their culture) who is reimbursed (or who has been offered but declined reimbursement) by the State/Territory for the care of the child. For Aboriginal and Torres Strait Islander children, a kinship carer may be another Indigenous person who is a member of their community, a compatible community or from the same language group; (2) </w:t>
            </w:r>
            <w:r w:rsidRPr="0021503D">
              <w:rPr>
                <w:i/>
              </w:rPr>
              <w:t>foster care</w:t>
            </w:r>
            <w:r w:rsidRPr="0021503D">
              <w:t xml:space="preserve"> – where the care is authorised and carers are reimbursed (or were offered but declined reimbursement) by the state/territory and supported by an approved agency. There are varying degrees of reimbursement made to foster carers; (3) </w:t>
            </w:r>
            <w:r w:rsidRPr="0021503D">
              <w:rPr>
                <w:i/>
              </w:rPr>
              <w:t>other</w:t>
            </w:r>
            <w:r w:rsidRPr="0021503D">
              <w:t xml:space="preserve"> – home-based care which does not fall into either of the above categories.</w:t>
            </w:r>
          </w:p>
          <w:p w:rsidR="00372932" w:rsidRPr="0021503D" w:rsidRDefault="00372932" w:rsidP="00372932">
            <w:pPr>
              <w:pStyle w:val="TableBullet"/>
            </w:pPr>
            <w:r w:rsidRPr="0021503D">
              <w:t>Independent living – including private board and lead tenant households.</w:t>
            </w:r>
          </w:p>
          <w:p w:rsidR="00372932" w:rsidRPr="0021503D" w:rsidRDefault="00372932" w:rsidP="00372932">
            <w:pPr>
              <w:pStyle w:val="TableBullet"/>
            </w:pPr>
            <w:r w:rsidRPr="0021503D">
              <w:t>Other – includes placements that do not fit into the above categories and unknown living arrangements. This includes boarding schools, hospitals, hotels/motels and defence force.</w:t>
            </w:r>
          </w:p>
        </w:tc>
      </w:tr>
      <w:tr w:rsidR="00372932" w:rsidRPr="0021503D" w:rsidTr="005946CF">
        <w:tc>
          <w:tcPr>
            <w:tcW w:w="2210" w:type="dxa"/>
            <w:shd w:val="clear" w:color="auto" w:fill="auto"/>
          </w:tcPr>
          <w:p w:rsidR="00372932" w:rsidRPr="0021503D" w:rsidRDefault="00372932" w:rsidP="00372932">
            <w:pPr>
              <w:pStyle w:val="TableBodyText"/>
              <w:spacing w:before="60" w:after="60"/>
              <w:ind w:left="0"/>
              <w:jc w:val="left"/>
              <w:rPr>
                <w:b/>
              </w:rPr>
            </w:pPr>
            <w:r w:rsidRPr="0021503D">
              <w:rPr>
                <w:b/>
              </w:rPr>
              <w:t>Relatives/kin</w:t>
            </w:r>
          </w:p>
        </w:tc>
        <w:tc>
          <w:tcPr>
            <w:tcW w:w="6471" w:type="dxa"/>
            <w:shd w:val="clear" w:color="auto" w:fill="auto"/>
          </w:tcPr>
          <w:p w:rsidR="00372932" w:rsidRPr="0021503D" w:rsidRDefault="00372932" w:rsidP="00372932">
            <w:pPr>
              <w:pStyle w:val="TableBodyText"/>
              <w:spacing w:before="60" w:after="60"/>
              <w:ind w:left="0"/>
              <w:jc w:val="left"/>
            </w:pPr>
            <w:r w:rsidRPr="0021503D">
              <w:t>People who are family or close friends, or are members of a child or young person’s community (in accordance with their culture) who are reimbursed (or who have been offered but declined reimbursement) by the State/Territory for the care of a child. For Aboriginal and Torres Strait Islander children, a kinship carer may be another Indigenous person who is a member of their community, a compatible community or from the same language group.</w:t>
            </w:r>
          </w:p>
        </w:tc>
      </w:tr>
      <w:tr w:rsidR="00372932" w:rsidRPr="0021503D" w:rsidTr="005946CF">
        <w:tc>
          <w:tcPr>
            <w:tcW w:w="2210" w:type="dxa"/>
            <w:shd w:val="clear" w:color="auto" w:fill="auto"/>
          </w:tcPr>
          <w:p w:rsidR="00372932" w:rsidRPr="0021503D" w:rsidRDefault="00372932" w:rsidP="00372932">
            <w:pPr>
              <w:pStyle w:val="TableBodyText"/>
              <w:spacing w:before="60" w:after="60"/>
              <w:ind w:left="0"/>
              <w:jc w:val="left"/>
              <w:rPr>
                <w:b/>
              </w:rPr>
            </w:pPr>
            <w:r w:rsidRPr="0021503D">
              <w:rPr>
                <w:b/>
              </w:rPr>
              <w:t>Substantiation</w:t>
            </w:r>
          </w:p>
        </w:tc>
        <w:tc>
          <w:tcPr>
            <w:tcW w:w="6471" w:type="dxa"/>
            <w:shd w:val="clear" w:color="auto" w:fill="auto"/>
          </w:tcPr>
          <w:p w:rsidR="00372932" w:rsidRPr="0021503D" w:rsidRDefault="00372932" w:rsidP="00372932">
            <w:pPr>
              <w:pStyle w:val="TableBodyText"/>
              <w:spacing w:before="60" w:after="60"/>
              <w:ind w:left="0"/>
              <w:jc w:val="left"/>
            </w:pPr>
            <w:r w:rsidRPr="0021503D">
              <w:t xml:space="preserve">Notification for which an investigation concludes there is reasonable cause to believe that the child has been, is being or is likely to be </w:t>
            </w:r>
            <w:r w:rsidRPr="0021503D">
              <w:lastRenderedPageBreak/>
              <w:t xml:space="preserve">abused, neglected or otherwise harmed. It does not necessarily require sufficient evidence for a successful prosecution and does not imply that treatment or case management is, or is to be, provided. </w:t>
            </w:r>
          </w:p>
        </w:tc>
      </w:tr>
    </w:tbl>
    <w:p w:rsidR="00AB1DAE" w:rsidRPr="0021503D" w:rsidRDefault="00AB1DAE" w:rsidP="003A084B">
      <w:pPr>
        <w:keepNext/>
        <w:spacing w:before="480" w:line="320" w:lineRule="exact"/>
        <w:outlineLvl w:val="3"/>
        <w:rPr>
          <w:rFonts w:ascii="Arial" w:hAnsi="Arial"/>
          <w:b/>
          <w:szCs w:val="20"/>
        </w:rPr>
      </w:pPr>
      <w:bookmarkStart w:id="150" w:name="_Toc313462311"/>
      <w:bookmarkStart w:id="151" w:name="_Toc320770843"/>
      <w:bookmarkStart w:id="152" w:name="_Toc348449386"/>
      <w:bookmarkStart w:id="153" w:name="_Toc348952932"/>
      <w:bookmarkStart w:id="154" w:name="_Toc351361373"/>
      <w:r w:rsidRPr="0021503D">
        <w:rPr>
          <w:rFonts w:ascii="Arial" w:hAnsi="Arial"/>
          <w:b/>
          <w:szCs w:val="20"/>
        </w:rPr>
        <w:lastRenderedPageBreak/>
        <w:t>List of attachment tables</w:t>
      </w:r>
      <w:bookmarkEnd w:id="150"/>
      <w:bookmarkEnd w:id="151"/>
      <w:bookmarkEnd w:id="152"/>
      <w:bookmarkEnd w:id="153"/>
      <w:bookmarkEnd w:id="154"/>
    </w:p>
    <w:p w:rsidR="00AB1DAE" w:rsidRPr="0021503D" w:rsidRDefault="00AB1DAE" w:rsidP="00AB1DAE">
      <w:pPr>
        <w:spacing w:before="240" w:line="320" w:lineRule="atLeast"/>
        <w:jc w:val="both"/>
        <w:rPr>
          <w:szCs w:val="20"/>
        </w:rPr>
      </w:pPr>
      <w:r w:rsidRPr="0021503D">
        <w:rPr>
          <w:szCs w:val="20"/>
        </w:rPr>
        <w:t>Attachment tables for data within this chapter are contained in the attachment to the Compendium. These tables are identified in references throughout this chapter by a ‘15A’ prefix (for example, table 15A.3 is table 3 in the Protection and support attachment). Attachment tables are on the Review website (www.pc.gov.au/gsp).</w:t>
      </w:r>
    </w:p>
    <w:p w:rsidR="00AB1DAE" w:rsidRPr="0021503D" w:rsidRDefault="00AB1DAE" w:rsidP="00AB1DAE">
      <w:pPr>
        <w:spacing w:before="240" w:line="320" w:lineRule="atLeast"/>
        <w:jc w:val="both"/>
        <w:rPr>
          <w:szCs w:val="20"/>
        </w:rPr>
      </w:pPr>
    </w:p>
    <w:tbl>
      <w:tblPr>
        <w:tblW w:w="8860" w:type="dxa"/>
        <w:tblInd w:w="93" w:type="dxa"/>
        <w:tblLook w:val="04A0" w:firstRow="1" w:lastRow="0" w:firstColumn="1" w:lastColumn="0" w:noHBand="0" w:noVBand="1"/>
      </w:tblPr>
      <w:tblGrid>
        <w:gridCol w:w="1575"/>
        <w:gridCol w:w="7285"/>
      </w:tblGrid>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15A.5</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 protection notifications, investigations and substantiations by Indigenous status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15A.6</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admitted to and discharged from care and protection orders by Indigenous status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15A.7</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on care and protection orders by type of order and Indigenous status, at 30 June  </w:t>
            </w:r>
          </w:p>
        </w:tc>
      </w:tr>
      <w:tr w:rsidR="00121AB7" w:rsidRPr="00121AB7" w:rsidTr="00EF1DA7">
        <w:trPr>
          <w:trHeight w:val="867"/>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15A.8</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notifications, investigations and substantiations and children on care and protection orders: number and rate per 1000 children in the target populations by Indigenous status    </w:t>
            </w:r>
          </w:p>
        </w:tc>
      </w:tr>
      <w:tr w:rsidR="00121AB7" w:rsidRPr="00121AB7" w:rsidTr="00EF1DA7">
        <w:trPr>
          <w:trHeight w:val="357"/>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15A.16</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with documented case plans, by Indigenous status, at 30 June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15A.17</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number and rate per 1000 children aged 0–17 years by Indigenous status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15A.18</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by Indigenous status and placement type, 30 June (number)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15A.19</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by Indigenous status and whether on a care and protection order, 30 June (number)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15A.20</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by Indigenous status and length of time in continuous out-of-home care, 30 June (number)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15A.21</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who exited care during the year by Indigenous status and length of time spent in care (number)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15A.22</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placed with relatives/kin by Indigenous status, 30 June </w:t>
            </w:r>
          </w:p>
        </w:tc>
      </w:tr>
      <w:tr w:rsidR="00121AB7" w:rsidRPr="00121AB7" w:rsidTr="00EF1DA7">
        <w:trPr>
          <w:trHeight w:val="357"/>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15A.23</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Indigenous children in out-of-home care by relationship of caregiver, 30 June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15A.24</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aged under 12 years in out-of-home care and in a home-based placement by Indigenous status, 30 June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15A.29</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Intensive family support services: number of children aged 0–17 years commencing intensive family support services by Indigenous status and gender  </w:t>
            </w:r>
          </w:p>
        </w:tc>
      </w:tr>
      <w:tr w:rsidR="00121AB7" w:rsidRPr="00121AB7" w:rsidTr="00EF1DA7">
        <w:trPr>
          <w:trHeight w:val="357"/>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15A.32</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Target population data used for annual data, December ('000)  </w:t>
            </w:r>
          </w:p>
        </w:tc>
      </w:tr>
      <w:tr w:rsidR="00121AB7" w:rsidRPr="00121AB7" w:rsidTr="00EF1DA7">
        <w:trPr>
          <w:trHeight w:val="357"/>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15A.33</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Target population data used for end of financial year data, March ('000)   </w:t>
            </w:r>
          </w:p>
        </w:tc>
      </w:tr>
      <w:tr w:rsidR="00121AB7" w:rsidRPr="00121AB7" w:rsidTr="00121AB7">
        <w:trPr>
          <w:trHeight w:val="357"/>
        </w:trPr>
        <w:tc>
          <w:tcPr>
            <w:tcW w:w="8860" w:type="dxa"/>
            <w:gridSpan w:val="2"/>
            <w:tcBorders>
              <w:top w:val="nil"/>
              <w:left w:val="nil"/>
              <w:bottom w:val="nil"/>
              <w:right w:val="nil"/>
            </w:tcBorders>
            <w:shd w:val="clear" w:color="auto" w:fill="auto"/>
            <w:noWrap/>
            <w:hideMark/>
          </w:tcPr>
          <w:p w:rsidR="00121AB7" w:rsidRPr="00121AB7" w:rsidRDefault="00121AB7" w:rsidP="009B542C">
            <w:pPr>
              <w:keepNext/>
              <w:rPr>
                <w:rFonts w:ascii="Arial" w:hAnsi="Arial" w:cs="Arial"/>
                <w:b/>
                <w:bCs/>
                <w:i/>
                <w:sz w:val="20"/>
                <w:szCs w:val="20"/>
              </w:rPr>
            </w:pPr>
            <w:r w:rsidRPr="00121AB7">
              <w:rPr>
                <w:rFonts w:ascii="Arial" w:hAnsi="Arial" w:cs="Arial"/>
                <w:b/>
                <w:sz w:val="20"/>
                <w:szCs w:val="20"/>
              </w:rPr>
              <w:lastRenderedPageBreak/>
              <w:t>Single jurisdiction data NSW</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15A.35</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 protection notifications, investigations and substantiations by Indigenous status, NSW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15A.36</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admitted to and discharged from care and protection orders by Indigenous status, NSW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15A.37</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on care and protection orders at 30 June by type of order and Indigenous status, NSW  </w:t>
            </w:r>
          </w:p>
        </w:tc>
      </w:tr>
      <w:tr w:rsidR="00121AB7" w:rsidRPr="00121AB7" w:rsidTr="00EF1DA7">
        <w:trPr>
          <w:trHeight w:val="867"/>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15A.38</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notifications, investigations and substantiations and children on care and protection orders: Number and rate per 1000 children in the target populations by Indigenous status, NSW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15A.42</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number and rate per 1000 children aged 0–17 years, by Indigenous status, NSW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15A.43</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placement type, NSW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15A.44</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whether on a care and protection order, NSW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15A.45</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length of time in continuous out-of-home care, NSW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15A.46</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who exited care during the year by Indigenous status and length of time spent in care, NSW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15A.47</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placed with relatives/kin, by Indigenous status, NSW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15A.48</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Indigenous children in out-of-home care at 30 June by Indigenous status and relationship of caregiver, NSW</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15A.49</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aged under 12 years in out-of-home care in a home based placement at 30 June, by Indigenous status, NSW  </w:t>
            </w:r>
          </w:p>
        </w:tc>
      </w:tr>
      <w:tr w:rsidR="00121AB7" w:rsidRPr="00121AB7" w:rsidTr="00121AB7">
        <w:trPr>
          <w:trHeight w:val="357"/>
        </w:trPr>
        <w:tc>
          <w:tcPr>
            <w:tcW w:w="8860" w:type="dxa"/>
            <w:gridSpan w:val="2"/>
            <w:tcBorders>
              <w:top w:val="nil"/>
              <w:left w:val="nil"/>
              <w:bottom w:val="nil"/>
              <w:right w:val="nil"/>
            </w:tcBorders>
            <w:shd w:val="clear" w:color="auto" w:fill="auto"/>
            <w:noWrap/>
            <w:hideMark/>
          </w:tcPr>
          <w:p w:rsidR="00121AB7" w:rsidRPr="00121AB7" w:rsidRDefault="00121AB7" w:rsidP="00121AB7">
            <w:pPr>
              <w:rPr>
                <w:rFonts w:ascii="Arial" w:hAnsi="Arial" w:cs="Arial"/>
                <w:b/>
                <w:bCs/>
                <w:sz w:val="20"/>
                <w:szCs w:val="20"/>
              </w:rPr>
            </w:pPr>
            <w:r w:rsidRPr="00121AB7">
              <w:rPr>
                <w:rFonts w:ascii="Arial" w:hAnsi="Arial" w:cs="Arial"/>
                <w:b/>
                <w:sz w:val="20"/>
                <w:szCs w:val="20"/>
              </w:rPr>
              <w:t>Single jurisdiction data VIC</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15A.53</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 protection notifications, investigations and substantiations by Indigenous status, VIC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15A.54</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admitted to and discharged from care and protection orders by Indigenous status, VIC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15A.55</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on care and protection orders at 30 June by type of order and Indigenous status, VIC   </w:t>
            </w:r>
          </w:p>
        </w:tc>
      </w:tr>
      <w:tr w:rsidR="00121AB7" w:rsidRPr="00121AB7" w:rsidTr="00EF1DA7">
        <w:trPr>
          <w:trHeight w:val="867"/>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15A.56</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notifications, investigations and substantiations and children on care and protection orders: Number and rate per 1000 children in the target populations by Indigenous status, VIC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15A.60</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number and rate per 1000 children aged 0–17 years, by Indigenous status, VIC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15A.61</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placement type, VIC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15A.62</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whether on a care and protection order, VIC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lastRenderedPageBreak/>
              <w:t>Table 15A.63</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length of time in continuous out-of-home care, VIC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15A.64</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who exited care during the year by Indigenous status and length of time spent in care, VIC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15A.65</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Indigenous children in out-of-home care at 30 June by Indigenous status and relationship of caregiver, VIC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15A.66</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placed with relatives/kin, by Indigenous status, VIC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15A.67</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aged under 12 years in out-of-home care in a home based placement at 30 June, by Indigenous status, VIC     </w:t>
            </w:r>
          </w:p>
        </w:tc>
      </w:tr>
      <w:tr w:rsidR="00121AB7" w:rsidRPr="00121AB7" w:rsidTr="00121AB7">
        <w:trPr>
          <w:trHeight w:val="357"/>
        </w:trPr>
        <w:tc>
          <w:tcPr>
            <w:tcW w:w="8860" w:type="dxa"/>
            <w:gridSpan w:val="2"/>
            <w:tcBorders>
              <w:top w:val="nil"/>
              <w:left w:val="nil"/>
              <w:bottom w:val="nil"/>
              <w:right w:val="nil"/>
            </w:tcBorders>
            <w:shd w:val="clear" w:color="auto" w:fill="auto"/>
            <w:noWrap/>
            <w:hideMark/>
          </w:tcPr>
          <w:p w:rsidR="00121AB7" w:rsidRPr="00121AB7" w:rsidRDefault="00121AB7" w:rsidP="00121AB7">
            <w:pPr>
              <w:rPr>
                <w:rFonts w:ascii="Arial" w:hAnsi="Arial" w:cs="Arial"/>
                <w:b/>
                <w:bCs/>
                <w:sz w:val="20"/>
                <w:szCs w:val="20"/>
              </w:rPr>
            </w:pPr>
            <w:r w:rsidRPr="00121AB7">
              <w:rPr>
                <w:rFonts w:ascii="Arial" w:hAnsi="Arial" w:cs="Arial"/>
                <w:b/>
                <w:sz w:val="20"/>
                <w:szCs w:val="20"/>
              </w:rPr>
              <w:t>Single jurisdiction data QLD</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15A.71</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 protection notifications, investigations and substantiations by Indigenous status, Qld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15A.72</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admitted to and discharged from care and protection orders by Indigenous status, Qld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15A.73</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on care and protection orders at 30 June by type of order and Indigenous status, Qld </w:t>
            </w:r>
          </w:p>
        </w:tc>
      </w:tr>
      <w:tr w:rsidR="00121AB7" w:rsidRPr="00121AB7" w:rsidTr="00121AB7">
        <w:trPr>
          <w:trHeight w:val="867"/>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15A.74</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notifications, investigations and substantiations and children on care and protection orders: Number and rate per 1000 children in the target populations by Indigenous status, Qld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15A.78</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number and rate per 1000 children aged 0–17 years, by Indigenous status, Qld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15A.79</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placement type, Qld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15A.80</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whether on a care and protection order, Qld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15A.81</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length of time in continuous out-of-home care, Qld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15A.82</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who exited care during the year by Indigenous status and length of time spent in care, Qld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15A.83</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placed with relatives/kin, by Indigenous status, Qld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15A.84</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Indigenous children in out-of-home care at 30 June by Indigenous status and relationship of caregiver, Qld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15A.85</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aged under 12 years in out-of-home care in a home based placement at 30 June, by Indigenous status, Qld  </w:t>
            </w:r>
          </w:p>
        </w:tc>
      </w:tr>
      <w:tr w:rsidR="00121AB7" w:rsidRPr="00121AB7" w:rsidTr="00121AB7">
        <w:trPr>
          <w:trHeight w:val="357"/>
        </w:trPr>
        <w:tc>
          <w:tcPr>
            <w:tcW w:w="8860" w:type="dxa"/>
            <w:gridSpan w:val="2"/>
            <w:tcBorders>
              <w:top w:val="nil"/>
              <w:left w:val="nil"/>
              <w:bottom w:val="nil"/>
              <w:right w:val="nil"/>
            </w:tcBorders>
            <w:shd w:val="clear" w:color="auto" w:fill="auto"/>
            <w:noWrap/>
            <w:hideMark/>
          </w:tcPr>
          <w:p w:rsidR="00121AB7" w:rsidRPr="00121AB7" w:rsidRDefault="00121AB7" w:rsidP="00121AB7">
            <w:pPr>
              <w:rPr>
                <w:rFonts w:ascii="Arial" w:hAnsi="Arial" w:cs="Arial"/>
                <w:b/>
                <w:bCs/>
                <w:sz w:val="20"/>
                <w:szCs w:val="20"/>
              </w:rPr>
            </w:pPr>
            <w:r w:rsidRPr="00121AB7">
              <w:rPr>
                <w:rFonts w:ascii="Arial" w:hAnsi="Arial" w:cs="Arial"/>
                <w:b/>
                <w:sz w:val="20"/>
                <w:szCs w:val="20"/>
              </w:rPr>
              <w:t>Single jurisdiction data WA</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15A.89</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 protection notifications, investigations and substantiations by Indigenous status, WA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15A.90</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admitted to and discharged from care and protection orders by Indigenous status, WA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15A.91</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on care and protection orders at 30 June by type of order and Indigenous status, WA     </w:t>
            </w:r>
          </w:p>
        </w:tc>
      </w:tr>
      <w:tr w:rsidR="00121AB7" w:rsidRPr="00121AB7" w:rsidTr="00121AB7">
        <w:trPr>
          <w:trHeight w:val="867"/>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lastRenderedPageBreak/>
              <w:t>Table 15A.92</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notifications, investigations and substantiations and children on care and protection orders: Number and rate per 1000 children in the target populations by Indigenous status, WA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15A.96</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number and rate per 1000 children aged 0–17 years, by Indigenous status, WA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15A.97</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placement type, WA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15A.98</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whether on a care and protection order, WA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15A.99</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length of time in continuous out-of-home care, WA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15A.100</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who exited care during the year by Indigenous status and length of time spent in care, WA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15A.101</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placed with relatives/kin, by Indigenous status, WA    </w:t>
            </w:r>
          </w:p>
        </w:tc>
      </w:tr>
      <w:tr w:rsidR="00121AB7" w:rsidRPr="00121AB7" w:rsidTr="00121AB7">
        <w:trPr>
          <w:trHeight w:val="612"/>
        </w:trPr>
        <w:tc>
          <w:tcPr>
            <w:tcW w:w="1575" w:type="dxa"/>
            <w:tcBorders>
              <w:top w:val="nil"/>
              <w:left w:val="nil"/>
              <w:bottom w:val="nil"/>
              <w:right w:val="nil"/>
            </w:tcBorders>
            <w:shd w:val="clear" w:color="auto" w:fill="auto"/>
            <w:noWrap/>
            <w:hideMark/>
          </w:tcPr>
          <w:p w:rsidR="00121AB7" w:rsidRPr="00121AB7" w:rsidRDefault="00121AB7" w:rsidP="00121AB7">
            <w:pPr>
              <w:rPr>
                <w:rFonts w:ascii="Arial" w:hAnsi="Arial" w:cs="Arial"/>
                <w:b/>
                <w:sz w:val="20"/>
                <w:szCs w:val="20"/>
              </w:rPr>
            </w:pPr>
            <w:r w:rsidRPr="00121AB7">
              <w:rPr>
                <w:rFonts w:ascii="Arial" w:hAnsi="Arial" w:cs="Arial"/>
                <w:b/>
                <w:sz w:val="20"/>
                <w:szCs w:val="20"/>
              </w:rPr>
              <w:t>Table 15A.102</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Indigenous children in out-of-home care at 30 June by Indigenous status and relationship of caregiver, WA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bCs/>
                <w:sz w:val="20"/>
                <w:szCs w:val="20"/>
              </w:rPr>
            </w:pPr>
            <w:r w:rsidRPr="00EF1DA7">
              <w:rPr>
                <w:rFonts w:ascii="Arial" w:hAnsi="Arial" w:cs="Arial"/>
                <w:b/>
                <w:sz w:val="20"/>
                <w:szCs w:val="20"/>
              </w:rPr>
              <w:t>Table 15A.103</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aged under 12 years in out-of-home care in a home based placement at 30 June, by Indigenous status, WA  </w:t>
            </w:r>
          </w:p>
        </w:tc>
      </w:tr>
      <w:tr w:rsidR="00121AB7" w:rsidRPr="00121AB7" w:rsidTr="00121AB7">
        <w:trPr>
          <w:trHeight w:val="357"/>
        </w:trPr>
        <w:tc>
          <w:tcPr>
            <w:tcW w:w="8860" w:type="dxa"/>
            <w:gridSpan w:val="2"/>
            <w:tcBorders>
              <w:top w:val="nil"/>
              <w:left w:val="nil"/>
              <w:bottom w:val="nil"/>
              <w:right w:val="nil"/>
            </w:tcBorders>
            <w:shd w:val="clear" w:color="auto" w:fill="auto"/>
            <w:noWrap/>
            <w:hideMark/>
          </w:tcPr>
          <w:p w:rsidR="00121AB7" w:rsidRPr="00EF1DA7" w:rsidRDefault="00121AB7" w:rsidP="00121AB7">
            <w:pPr>
              <w:rPr>
                <w:rFonts w:ascii="Arial" w:hAnsi="Arial" w:cs="Arial"/>
                <w:b/>
                <w:bCs/>
                <w:sz w:val="20"/>
                <w:szCs w:val="20"/>
              </w:rPr>
            </w:pPr>
            <w:r w:rsidRPr="00EF1DA7">
              <w:rPr>
                <w:rFonts w:ascii="Arial" w:hAnsi="Arial" w:cs="Arial"/>
                <w:b/>
                <w:sz w:val="20"/>
                <w:szCs w:val="20"/>
              </w:rPr>
              <w:t>Single jurisdiction data SA</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15A.107</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 protection notifications, investigations and substantiations by Indigenous status, SA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15A.108</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admitted to and discharged from care and protection orders by Indigenous status, SA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15A.109</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on care and protection orders at 30 June by type of order and Indigenous status, SA  </w:t>
            </w:r>
          </w:p>
        </w:tc>
      </w:tr>
      <w:tr w:rsidR="00121AB7" w:rsidRPr="00121AB7" w:rsidTr="00EF1DA7">
        <w:trPr>
          <w:trHeight w:val="867"/>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15A.110</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notifications, investigations and substantiations and children on care and protection orders: Number and rate per 1000 children in the target populations by Indigenous status, SA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15A.114</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number and rate per 1000 children aged 0–17 years, by Indigenous status, SA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15A.115</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placement type, SA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15A.116</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whether on a care and protection order, SA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15A.117</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length of time in continuous out-of-home care, SA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15A.118</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who exited care during the year by Indigenous status and length of time spent in care, SA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15A.119</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placed with relatives/kin, by Indigenous status, SA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15A.120</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Indigenous children in out-of-home care at 30 June by Indigenous status and relationship of caregiver, SA</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lastRenderedPageBreak/>
              <w:t>Table 15A.121</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aged under 12 years in out-of-home care in a home based placement at 30 June, by Indigenous status, SA  </w:t>
            </w:r>
          </w:p>
        </w:tc>
      </w:tr>
      <w:tr w:rsidR="00121AB7" w:rsidRPr="00121AB7" w:rsidTr="00121AB7">
        <w:trPr>
          <w:trHeight w:val="357"/>
        </w:trPr>
        <w:tc>
          <w:tcPr>
            <w:tcW w:w="8860" w:type="dxa"/>
            <w:gridSpan w:val="2"/>
            <w:tcBorders>
              <w:top w:val="nil"/>
              <w:left w:val="nil"/>
              <w:bottom w:val="nil"/>
              <w:right w:val="nil"/>
            </w:tcBorders>
            <w:shd w:val="clear" w:color="auto" w:fill="auto"/>
            <w:noWrap/>
            <w:hideMark/>
          </w:tcPr>
          <w:p w:rsidR="00121AB7" w:rsidRPr="00EF1DA7" w:rsidRDefault="00121AB7" w:rsidP="00121AB7">
            <w:pPr>
              <w:rPr>
                <w:rFonts w:ascii="Arial" w:hAnsi="Arial" w:cs="Arial"/>
                <w:b/>
                <w:bCs/>
                <w:sz w:val="20"/>
                <w:szCs w:val="20"/>
              </w:rPr>
            </w:pPr>
            <w:r w:rsidRPr="00EF1DA7">
              <w:rPr>
                <w:rFonts w:ascii="Arial" w:hAnsi="Arial" w:cs="Arial"/>
                <w:b/>
                <w:sz w:val="20"/>
                <w:szCs w:val="20"/>
              </w:rPr>
              <w:t>Single jurisdiction data TAS</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15A.125</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 protection notifications, investigations and substantiations by Indigenous status, TAS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15A.126</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admitted to and discharged from care and protection orders by Indigenous status, TAS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15A.127</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on care and protection orders at 30 June by type of order and Indigenous status, TAS </w:t>
            </w:r>
          </w:p>
        </w:tc>
      </w:tr>
      <w:tr w:rsidR="00121AB7" w:rsidRPr="00121AB7" w:rsidTr="00EF1DA7">
        <w:trPr>
          <w:trHeight w:val="867"/>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15A.128</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notifications, investigations and substantiations and children on care and protection orders: Number and rate per 1000 children in the target populations by Indigenous status, TAS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15A.132</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number and rate per 1000 children aged 0–17 years, by Indigenous status, TAS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15A.133</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placement type, TAS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15A.134</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whether on a care and protection order, TAS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15A.135</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length of time in continuous out-of-home care, TAS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15A.136</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who exited care during the year by Indigenous status and length of time spent in care, TAS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15A.137</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placed with relatives/kin, by Indigenous status, TAS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15A.138</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Indigenous children in out-of-home care at 30 June by Indigenous status and relationship of caregiver, TAS</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15A.139</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aged under 12 years in out-of-home care in a home based placement at 30 June, by Indigenous status, TAS  </w:t>
            </w:r>
          </w:p>
        </w:tc>
      </w:tr>
      <w:tr w:rsidR="00121AB7" w:rsidRPr="00121AB7" w:rsidTr="00121AB7">
        <w:trPr>
          <w:trHeight w:val="357"/>
        </w:trPr>
        <w:tc>
          <w:tcPr>
            <w:tcW w:w="8860" w:type="dxa"/>
            <w:gridSpan w:val="2"/>
            <w:tcBorders>
              <w:top w:val="nil"/>
              <w:left w:val="nil"/>
              <w:bottom w:val="nil"/>
              <w:right w:val="nil"/>
            </w:tcBorders>
            <w:shd w:val="clear" w:color="auto" w:fill="auto"/>
            <w:noWrap/>
            <w:hideMark/>
          </w:tcPr>
          <w:p w:rsidR="00121AB7" w:rsidRPr="00EF1DA7" w:rsidRDefault="00121AB7" w:rsidP="00121AB7">
            <w:pPr>
              <w:rPr>
                <w:rFonts w:ascii="Arial" w:hAnsi="Arial" w:cs="Arial"/>
                <w:b/>
                <w:bCs/>
                <w:sz w:val="20"/>
                <w:szCs w:val="20"/>
              </w:rPr>
            </w:pPr>
            <w:r w:rsidRPr="00EF1DA7">
              <w:rPr>
                <w:rFonts w:ascii="Arial" w:hAnsi="Arial" w:cs="Arial"/>
                <w:b/>
                <w:sz w:val="20"/>
                <w:szCs w:val="20"/>
              </w:rPr>
              <w:t>Single jurisdiction data ACT</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15A.143</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 protection notifications, investigations and substantiations by Indigenous status, ACT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15A.144</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admitted to and discharged from care and protection orders by Indigenous status, ACT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15A.145</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on care and protection orders at 30 June by type of order and Indigenous status, ACT </w:t>
            </w:r>
          </w:p>
        </w:tc>
      </w:tr>
      <w:tr w:rsidR="00121AB7" w:rsidRPr="00121AB7" w:rsidTr="00EF1DA7">
        <w:trPr>
          <w:trHeight w:val="867"/>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15A.146</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notifications, investigations and substantiations and children on care and protection orders: Number and rate per 1000 children in the target populations by Indigenous status, ACT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15A.150</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number and rate per 1000 children aged 0–17 years, by Indigenous status, ACT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15A.151</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placement type, ACT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lastRenderedPageBreak/>
              <w:t>Table 15A.152</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whether on a care and protection order, ACT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15A.153</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length of time in continuous out-of-home care, ACT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15A.154</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who exited care during the year by Indigenous status and length of time spent in care, ACT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15A.155</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placed with relatives/kin, by Indigenous status, ACT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15A.156</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Indigenous children in out-of-home care at 30 June by Indigenous status and relationship of caregiver, ACT</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15A.157</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aged under 12 years in out-of-home care in a home based placement at 30 June, by Indigenous status, ACT  </w:t>
            </w:r>
          </w:p>
        </w:tc>
      </w:tr>
      <w:tr w:rsidR="00121AB7" w:rsidRPr="00121AB7" w:rsidTr="00121AB7">
        <w:trPr>
          <w:trHeight w:val="357"/>
        </w:trPr>
        <w:tc>
          <w:tcPr>
            <w:tcW w:w="8860" w:type="dxa"/>
            <w:gridSpan w:val="2"/>
            <w:tcBorders>
              <w:top w:val="nil"/>
              <w:left w:val="nil"/>
              <w:bottom w:val="nil"/>
              <w:right w:val="nil"/>
            </w:tcBorders>
            <w:shd w:val="clear" w:color="auto" w:fill="auto"/>
            <w:noWrap/>
            <w:hideMark/>
          </w:tcPr>
          <w:p w:rsidR="00121AB7" w:rsidRPr="00EF1DA7" w:rsidRDefault="00121AB7" w:rsidP="00121AB7">
            <w:pPr>
              <w:jc w:val="both"/>
              <w:rPr>
                <w:rFonts w:ascii="Arial" w:hAnsi="Arial" w:cs="Arial"/>
                <w:b/>
                <w:bCs/>
                <w:sz w:val="20"/>
                <w:szCs w:val="20"/>
              </w:rPr>
            </w:pPr>
            <w:r w:rsidRPr="00EF1DA7">
              <w:rPr>
                <w:rFonts w:ascii="Arial" w:hAnsi="Arial" w:cs="Arial"/>
                <w:b/>
                <w:sz w:val="20"/>
                <w:szCs w:val="20"/>
              </w:rPr>
              <w:t>Single jurisdiction data NT</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15A.161</w:t>
            </w:r>
          </w:p>
        </w:tc>
        <w:tc>
          <w:tcPr>
            <w:tcW w:w="7285" w:type="dxa"/>
            <w:tcBorders>
              <w:top w:val="nil"/>
              <w:left w:val="nil"/>
              <w:bottom w:val="nil"/>
              <w:right w:val="nil"/>
            </w:tcBorders>
            <w:shd w:val="clear" w:color="auto" w:fill="auto"/>
            <w:hideMark/>
          </w:tcPr>
          <w:p w:rsidR="00121AB7" w:rsidRPr="00EF1DA7" w:rsidRDefault="00121AB7" w:rsidP="00121AB7">
            <w:pPr>
              <w:jc w:val="both"/>
              <w:rPr>
                <w:rFonts w:ascii="Arial" w:hAnsi="Arial" w:cs="Arial"/>
                <w:sz w:val="20"/>
                <w:szCs w:val="20"/>
              </w:rPr>
            </w:pPr>
            <w:r w:rsidRPr="00EF1DA7">
              <w:rPr>
                <w:rFonts w:ascii="Arial" w:hAnsi="Arial" w:cs="Arial"/>
                <w:sz w:val="20"/>
                <w:szCs w:val="20"/>
              </w:rPr>
              <w:t xml:space="preserve">Child protection notifications, investigations and substantiations by Indigenous status, NT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15A.162</w:t>
            </w:r>
          </w:p>
        </w:tc>
        <w:tc>
          <w:tcPr>
            <w:tcW w:w="7285" w:type="dxa"/>
            <w:tcBorders>
              <w:top w:val="nil"/>
              <w:left w:val="nil"/>
              <w:bottom w:val="nil"/>
              <w:right w:val="nil"/>
            </w:tcBorders>
            <w:shd w:val="clear" w:color="auto" w:fill="auto"/>
            <w:hideMark/>
          </w:tcPr>
          <w:p w:rsidR="00121AB7" w:rsidRPr="00EF1DA7" w:rsidRDefault="00121AB7" w:rsidP="00121AB7">
            <w:pPr>
              <w:jc w:val="both"/>
              <w:rPr>
                <w:rFonts w:ascii="Arial" w:hAnsi="Arial" w:cs="Arial"/>
                <w:sz w:val="20"/>
                <w:szCs w:val="20"/>
              </w:rPr>
            </w:pPr>
            <w:r w:rsidRPr="00EF1DA7">
              <w:rPr>
                <w:rFonts w:ascii="Arial" w:hAnsi="Arial" w:cs="Arial"/>
                <w:sz w:val="20"/>
                <w:szCs w:val="20"/>
              </w:rPr>
              <w:t xml:space="preserve">Number of children admitted to and discharged from care and protection orders by Indigenous status, NT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15A.163</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on care and protection orders at 30 June by type of order and Indigenous status, NT  </w:t>
            </w:r>
          </w:p>
        </w:tc>
      </w:tr>
      <w:tr w:rsidR="00121AB7" w:rsidRPr="00121AB7" w:rsidTr="00EF1DA7">
        <w:trPr>
          <w:trHeight w:val="867"/>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15A.164</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notifications, investigations and substantiations and children on care and protection orders: Number and rate per 1000 children in the target populations by Indigenous status, NT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15A.168</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number and rate per 1000 children aged 0–17 years, by Indigenous status, NT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15A.169</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placement type, NT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15A.170</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whether on a care and protection order, NT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15A.171</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in out-of-home care at 30 June, by Indigenous status and length of time in continuous out-of-home care, NT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15A.172</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Number of children who exited care during the year by Indigenous status and length of time spent in care, NT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15A.173</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in out-of-home care at 30 June placed with relatives/kin, by Indigenous status, NT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15A.174</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Indigenous children in out-of-home care at 30 June by Indigenous status and relationship of caregiver, NT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rPr>
                <w:rFonts w:ascii="Arial" w:hAnsi="Arial" w:cs="Arial"/>
                <w:b/>
                <w:sz w:val="20"/>
                <w:szCs w:val="20"/>
              </w:rPr>
            </w:pPr>
            <w:r w:rsidRPr="00EF1DA7">
              <w:rPr>
                <w:rFonts w:ascii="Arial" w:hAnsi="Arial" w:cs="Arial"/>
                <w:b/>
                <w:sz w:val="20"/>
                <w:szCs w:val="20"/>
              </w:rPr>
              <w:t>Table 15A.175</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Children aged under 12 years in out-of-home care in a home based placement at 30 June, by Indigenous status, NT   </w:t>
            </w:r>
          </w:p>
        </w:tc>
      </w:tr>
      <w:tr w:rsidR="00121AB7" w:rsidRPr="00121AB7" w:rsidTr="00121AB7">
        <w:trPr>
          <w:trHeight w:val="357"/>
        </w:trPr>
        <w:tc>
          <w:tcPr>
            <w:tcW w:w="8860" w:type="dxa"/>
            <w:gridSpan w:val="2"/>
            <w:tcBorders>
              <w:top w:val="nil"/>
              <w:left w:val="nil"/>
              <w:bottom w:val="nil"/>
              <w:right w:val="nil"/>
            </w:tcBorders>
            <w:shd w:val="clear" w:color="auto" w:fill="auto"/>
            <w:noWrap/>
            <w:hideMark/>
          </w:tcPr>
          <w:p w:rsidR="00121AB7" w:rsidRPr="00EF1DA7" w:rsidRDefault="00121AB7" w:rsidP="00121AB7">
            <w:pPr>
              <w:jc w:val="both"/>
              <w:rPr>
                <w:rFonts w:ascii="Arial" w:hAnsi="Arial" w:cs="Arial"/>
                <w:b/>
                <w:bCs/>
                <w:sz w:val="20"/>
                <w:szCs w:val="20"/>
              </w:rPr>
            </w:pPr>
            <w:r w:rsidRPr="00EF1DA7">
              <w:rPr>
                <w:rFonts w:ascii="Arial" w:hAnsi="Arial" w:cs="Arial"/>
                <w:b/>
                <w:sz w:val="20"/>
                <w:szCs w:val="20"/>
              </w:rPr>
              <w:t>All jurisdiction data</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jc w:val="both"/>
              <w:rPr>
                <w:rFonts w:ascii="Arial" w:hAnsi="Arial" w:cs="Arial"/>
                <w:b/>
                <w:sz w:val="20"/>
                <w:szCs w:val="20"/>
              </w:rPr>
            </w:pPr>
            <w:r w:rsidRPr="00EF1DA7">
              <w:rPr>
                <w:rFonts w:ascii="Arial" w:hAnsi="Arial" w:cs="Arial"/>
                <w:b/>
                <w:sz w:val="20"/>
                <w:szCs w:val="20"/>
              </w:rPr>
              <w:t>Table 15A.186</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Daily average number and rate of Indigenous young people aged 10–17 years in detention     </w:t>
            </w:r>
          </w:p>
        </w:tc>
      </w:tr>
      <w:tr w:rsidR="00121AB7" w:rsidRPr="00121AB7" w:rsidTr="00EF1DA7">
        <w:trPr>
          <w:trHeight w:val="612"/>
        </w:trPr>
        <w:tc>
          <w:tcPr>
            <w:tcW w:w="1575" w:type="dxa"/>
            <w:tcBorders>
              <w:top w:val="nil"/>
              <w:left w:val="nil"/>
              <w:bottom w:val="nil"/>
              <w:right w:val="nil"/>
            </w:tcBorders>
            <w:shd w:val="clear" w:color="auto" w:fill="auto"/>
            <w:noWrap/>
            <w:hideMark/>
          </w:tcPr>
          <w:p w:rsidR="00121AB7" w:rsidRPr="00EF1DA7" w:rsidRDefault="00121AB7" w:rsidP="00121AB7">
            <w:pPr>
              <w:jc w:val="both"/>
              <w:rPr>
                <w:rFonts w:ascii="Arial" w:hAnsi="Arial" w:cs="Arial"/>
                <w:b/>
                <w:sz w:val="20"/>
                <w:szCs w:val="20"/>
              </w:rPr>
            </w:pPr>
            <w:r w:rsidRPr="00EF1DA7">
              <w:rPr>
                <w:rFonts w:ascii="Arial" w:hAnsi="Arial" w:cs="Arial"/>
                <w:b/>
                <w:sz w:val="20"/>
                <w:szCs w:val="20"/>
              </w:rPr>
              <w:t>Table 15A.187</w:t>
            </w:r>
          </w:p>
        </w:tc>
        <w:tc>
          <w:tcPr>
            <w:tcW w:w="7285" w:type="dxa"/>
            <w:tcBorders>
              <w:top w:val="nil"/>
              <w:left w:val="nil"/>
              <w:bottom w:val="nil"/>
              <w:right w:val="nil"/>
            </w:tcBorders>
            <w:shd w:val="clear" w:color="auto" w:fill="auto"/>
            <w:hideMark/>
          </w:tcPr>
          <w:p w:rsidR="00121AB7" w:rsidRPr="00121AB7" w:rsidRDefault="00121AB7" w:rsidP="00121AB7">
            <w:pPr>
              <w:jc w:val="both"/>
              <w:rPr>
                <w:rFonts w:ascii="Arial" w:hAnsi="Arial" w:cs="Arial"/>
                <w:sz w:val="20"/>
                <w:szCs w:val="20"/>
              </w:rPr>
            </w:pPr>
            <w:r w:rsidRPr="00121AB7">
              <w:rPr>
                <w:rFonts w:ascii="Arial" w:hAnsi="Arial" w:cs="Arial"/>
                <w:sz w:val="20"/>
                <w:szCs w:val="20"/>
              </w:rPr>
              <w:t xml:space="preserve">Daily average number and rate of Indigenous young people aged 10–17 years subject to community-based supervision     </w:t>
            </w:r>
          </w:p>
        </w:tc>
      </w:tr>
      <w:tr w:rsidR="00121AB7" w:rsidRPr="0021503D" w:rsidTr="00EF1DA7">
        <w:trPr>
          <w:trHeight w:val="612"/>
        </w:trPr>
        <w:tc>
          <w:tcPr>
            <w:tcW w:w="1575" w:type="dxa"/>
            <w:tcBorders>
              <w:top w:val="nil"/>
              <w:left w:val="nil"/>
              <w:bottom w:val="nil"/>
              <w:right w:val="nil"/>
            </w:tcBorders>
            <w:shd w:val="clear" w:color="auto" w:fill="auto"/>
            <w:noWrap/>
            <w:hideMark/>
          </w:tcPr>
          <w:p w:rsidR="00121AB7" w:rsidRPr="0021503D" w:rsidRDefault="00121AB7" w:rsidP="00121AB7">
            <w:pPr>
              <w:jc w:val="both"/>
              <w:rPr>
                <w:rFonts w:ascii="Arial" w:hAnsi="Arial" w:cs="Arial"/>
                <w:b/>
                <w:sz w:val="20"/>
                <w:szCs w:val="20"/>
              </w:rPr>
            </w:pPr>
            <w:r w:rsidRPr="0021503D">
              <w:rPr>
                <w:rFonts w:ascii="Arial" w:hAnsi="Arial" w:cs="Arial"/>
                <w:b/>
                <w:sz w:val="20"/>
                <w:szCs w:val="20"/>
              </w:rPr>
              <w:lastRenderedPageBreak/>
              <w:t>Table 15A.188</w:t>
            </w:r>
          </w:p>
        </w:tc>
        <w:tc>
          <w:tcPr>
            <w:tcW w:w="7285" w:type="dxa"/>
            <w:tcBorders>
              <w:top w:val="nil"/>
              <w:left w:val="nil"/>
              <w:bottom w:val="nil"/>
              <w:right w:val="nil"/>
            </w:tcBorders>
            <w:shd w:val="clear" w:color="auto" w:fill="auto"/>
            <w:hideMark/>
          </w:tcPr>
          <w:p w:rsidR="00121AB7" w:rsidRPr="0021503D" w:rsidRDefault="00121AB7" w:rsidP="00121AB7">
            <w:pPr>
              <w:jc w:val="both"/>
              <w:rPr>
                <w:rFonts w:ascii="Arial" w:hAnsi="Arial" w:cs="Arial"/>
                <w:sz w:val="20"/>
                <w:szCs w:val="20"/>
              </w:rPr>
            </w:pPr>
            <w:r w:rsidRPr="0021503D">
              <w:rPr>
                <w:rFonts w:ascii="Arial" w:hAnsi="Arial" w:cs="Arial"/>
                <w:sz w:val="20"/>
                <w:szCs w:val="20"/>
              </w:rPr>
              <w:t xml:space="preserve">Average rates of detention and Indigenous rate ratio, young people aged 10-17 years in juvenile detention, per 100 000 people    </w:t>
            </w:r>
          </w:p>
        </w:tc>
      </w:tr>
      <w:tr w:rsidR="00121AB7" w:rsidRPr="0021503D" w:rsidTr="00EF1DA7">
        <w:trPr>
          <w:trHeight w:val="357"/>
        </w:trPr>
        <w:tc>
          <w:tcPr>
            <w:tcW w:w="1575" w:type="dxa"/>
            <w:tcBorders>
              <w:top w:val="nil"/>
              <w:left w:val="nil"/>
              <w:bottom w:val="nil"/>
              <w:right w:val="nil"/>
            </w:tcBorders>
            <w:shd w:val="clear" w:color="auto" w:fill="auto"/>
            <w:noWrap/>
            <w:hideMark/>
          </w:tcPr>
          <w:p w:rsidR="00121AB7" w:rsidRPr="0021503D" w:rsidRDefault="00121AB7" w:rsidP="00121AB7">
            <w:pPr>
              <w:jc w:val="both"/>
              <w:rPr>
                <w:rFonts w:ascii="Arial" w:hAnsi="Arial" w:cs="Arial"/>
                <w:b/>
                <w:sz w:val="20"/>
                <w:szCs w:val="20"/>
              </w:rPr>
            </w:pPr>
            <w:r w:rsidRPr="0021503D">
              <w:rPr>
                <w:rFonts w:ascii="Arial" w:hAnsi="Arial" w:cs="Arial"/>
                <w:b/>
                <w:sz w:val="20"/>
                <w:szCs w:val="20"/>
              </w:rPr>
              <w:t>Table 15A.189</w:t>
            </w:r>
          </w:p>
        </w:tc>
        <w:tc>
          <w:tcPr>
            <w:tcW w:w="7285" w:type="dxa"/>
            <w:tcBorders>
              <w:top w:val="nil"/>
              <w:left w:val="nil"/>
              <w:bottom w:val="nil"/>
              <w:right w:val="nil"/>
            </w:tcBorders>
            <w:shd w:val="clear" w:color="auto" w:fill="auto"/>
            <w:hideMark/>
          </w:tcPr>
          <w:p w:rsidR="00121AB7" w:rsidRPr="0021503D" w:rsidRDefault="00121AB7" w:rsidP="00121AB7">
            <w:pPr>
              <w:jc w:val="both"/>
              <w:rPr>
                <w:rFonts w:ascii="Arial" w:hAnsi="Arial" w:cs="Arial"/>
                <w:sz w:val="20"/>
                <w:szCs w:val="20"/>
              </w:rPr>
            </w:pPr>
            <w:r w:rsidRPr="0021503D">
              <w:rPr>
                <w:rFonts w:ascii="Arial" w:hAnsi="Arial" w:cs="Arial"/>
                <w:sz w:val="20"/>
                <w:szCs w:val="20"/>
              </w:rPr>
              <w:t>Custody nights, by Indigenous status</w:t>
            </w:r>
          </w:p>
        </w:tc>
      </w:tr>
      <w:tr w:rsidR="00121AB7" w:rsidRPr="0021503D" w:rsidTr="00EF1DA7">
        <w:trPr>
          <w:trHeight w:val="612"/>
        </w:trPr>
        <w:tc>
          <w:tcPr>
            <w:tcW w:w="1575" w:type="dxa"/>
            <w:tcBorders>
              <w:top w:val="nil"/>
              <w:left w:val="nil"/>
              <w:bottom w:val="nil"/>
              <w:right w:val="nil"/>
            </w:tcBorders>
            <w:shd w:val="clear" w:color="auto" w:fill="auto"/>
            <w:noWrap/>
            <w:hideMark/>
          </w:tcPr>
          <w:p w:rsidR="00121AB7" w:rsidRPr="0021503D" w:rsidRDefault="00121AB7" w:rsidP="00121AB7">
            <w:pPr>
              <w:jc w:val="both"/>
              <w:rPr>
                <w:rFonts w:ascii="Arial" w:hAnsi="Arial" w:cs="Arial"/>
                <w:b/>
                <w:sz w:val="20"/>
                <w:szCs w:val="20"/>
              </w:rPr>
            </w:pPr>
            <w:r w:rsidRPr="0021503D">
              <w:rPr>
                <w:rFonts w:ascii="Arial" w:hAnsi="Arial" w:cs="Arial"/>
                <w:b/>
                <w:sz w:val="20"/>
                <w:szCs w:val="20"/>
              </w:rPr>
              <w:t>Table 15A.190</w:t>
            </w:r>
          </w:p>
        </w:tc>
        <w:tc>
          <w:tcPr>
            <w:tcW w:w="7285" w:type="dxa"/>
            <w:tcBorders>
              <w:top w:val="nil"/>
              <w:left w:val="nil"/>
              <w:bottom w:val="nil"/>
              <w:right w:val="nil"/>
            </w:tcBorders>
            <w:shd w:val="clear" w:color="auto" w:fill="auto"/>
            <w:hideMark/>
          </w:tcPr>
          <w:p w:rsidR="00121AB7" w:rsidRPr="0021503D" w:rsidRDefault="00121AB7" w:rsidP="00121AB7">
            <w:pPr>
              <w:jc w:val="both"/>
              <w:rPr>
                <w:rFonts w:ascii="Arial" w:hAnsi="Arial" w:cs="Arial"/>
                <w:sz w:val="20"/>
                <w:szCs w:val="20"/>
              </w:rPr>
            </w:pPr>
            <w:r w:rsidRPr="0021503D">
              <w:rPr>
                <w:rFonts w:ascii="Arial" w:hAnsi="Arial" w:cs="Arial"/>
                <w:sz w:val="20"/>
                <w:szCs w:val="20"/>
              </w:rPr>
              <w:t xml:space="preserve">Proportion of pre-sentence reports completed by youth justice agencies, by Indigenous status </w:t>
            </w:r>
          </w:p>
        </w:tc>
      </w:tr>
      <w:tr w:rsidR="00121AB7" w:rsidRPr="0021503D" w:rsidTr="00EF1DA7">
        <w:trPr>
          <w:trHeight w:val="357"/>
        </w:trPr>
        <w:tc>
          <w:tcPr>
            <w:tcW w:w="1575" w:type="dxa"/>
            <w:tcBorders>
              <w:top w:val="nil"/>
              <w:left w:val="nil"/>
              <w:bottom w:val="nil"/>
              <w:right w:val="nil"/>
            </w:tcBorders>
            <w:shd w:val="clear" w:color="auto" w:fill="auto"/>
            <w:noWrap/>
            <w:hideMark/>
          </w:tcPr>
          <w:p w:rsidR="00121AB7" w:rsidRPr="0021503D" w:rsidRDefault="00121AB7" w:rsidP="00121AB7">
            <w:pPr>
              <w:jc w:val="both"/>
              <w:rPr>
                <w:rFonts w:ascii="Arial" w:hAnsi="Arial" w:cs="Arial"/>
                <w:b/>
                <w:sz w:val="20"/>
                <w:szCs w:val="20"/>
              </w:rPr>
            </w:pPr>
            <w:r w:rsidRPr="0021503D">
              <w:rPr>
                <w:rFonts w:ascii="Arial" w:hAnsi="Arial" w:cs="Arial"/>
                <w:b/>
                <w:sz w:val="20"/>
                <w:szCs w:val="20"/>
              </w:rPr>
              <w:t>Table 15A.191</w:t>
            </w:r>
          </w:p>
        </w:tc>
        <w:tc>
          <w:tcPr>
            <w:tcW w:w="7285" w:type="dxa"/>
            <w:tcBorders>
              <w:top w:val="nil"/>
              <w:left w:val="nil"/>
              <w:bottom w:val="nil"/>
              <w:right w:val="nil"/>
            </w:tcBorders>
            <w:shd w:val="clear" w:color="auto" w:fill="auto"/>
            <w:hideMark/>
          </w:tcPr>
          <w:p w:rsidR="00121AB7" w:rsidRPr="0021503D" w:rsidRDefault="00121AB7" w:rsidP="00121AB7">
            <w:pPr>
              <w:jc w:val="both"/>
              <w:rPr>
                <w:rFonts w:ascii="Arial" w:hAnsi="Arial" w:cs="Arial"/>
                <w:sz w:val="20"/>
                <w:szCs w:val="20"/>
              </w:rPr>
            </w:pPr>
            <w:r w:rsidRPr="0021503D">
              <w:rPr>
                <w:rFonts w:ascii="Arial" w:hAnsi="Arial" w:cs="Arial"/>
                <w:sz w:val="20"/>
                <w:szCs w:val="20"/>
              </w:rPr>
              <w:t xml:space="preserve">Proportion of group conferences resulting in an agreement, by Indigenous status   </w:t>
            </w:r>
          </w:p>
        </w:tc>
      </w:tr>
      <w:tr w:rsidR="00121AB7" w:rsidRPr="0021503D" w:rsidTr="00EF1DA7">
        <w:trPr>
          <w:trHeight w:val="357"/>
        </w:trPr>
        <w:tc>
          <w:tcPr>
            <w:tcW w:w="1575" w:type="dxa"/>
            <w:tcBorders>
              <w:top w:val="nil"/>
              <w:left w:val="nil"/>
              <w:bottom w:val="nil"/>
              <w:right w:val="nil"/>
            </w:tcBorders>
            <w:shd w:val="clear" w:color="auto" w:fill="auto"/>
            <w:noWrap/>
            <w:hideMark/>
          </w:tcPr>
          <w:p w:rsidR="00121AB7" w:rsidRPr="0021503D" w:rsidRDefault="00121AB7" w:rsidP="00121AB7">
            <w:pPr>
              <w:jc w:val="both"/>
              <w:rPr>
                <w:rFonts w:ascii="Arial" w:hAnsi="Arial" w:cs="Arial"/>
                <w:b/>
                <w:sz w:val="20"/>
                <w:szCs w:val="20"/>
              </w:rPr>
            </w:pPr>
            <w:r w:rsidRPr="0021503D">
              <w:rPr>
                <w:rFonts w:ascii="Arial" w:hAnsi="Arial" w:cs="Arial"/>
                <w:b/>
                <w:sz w:val="20"/>
                <w:szCs w:val="20"/>
              </w:rPr>
              <w:t>Table 15A.192</w:t>
            </w:r>
          </w:p>
        </w:tc>
        <w:tc>
          <w:tcPr>
            <w:tcW w:w="7285" w:type="dxa"/>
            <w:tcBorders>
              <w:top w:val="nil"/>
              <w:left w:val="nil"/>
              <w:bottom w:val="nil"/>
              <w:right w:val="nil"/>
            </w:tcBorders>
            <w:shd w:val="clear" w:color="auto" w:fill="auto"/>
            <w:hideMark/>
          </w:tcPr>
          <w:p w:rsidR="00121AB7" w:rsidRPr="0021503D" w:rsidRDefault="00121AB7" w:rsidP="00121AB7">
            <w:pPr>
              <w:jc w:val="both"/>
              <w:rPr>
                <w:rFonts w:ascii="Arial" w:hAnsi="Arial" w:cs="Arial"/>
                <w:sz w:val="20"/>
                <w:szCs w:val="20"/>
              </w:rPr>
            </w:pPr>
            <w:r w:rsidRPr="0021503D">
              <w:rPr>
                <w:rFonts w:ascii="Arial" w:hAnsi="Arial" w:cs="Arial"/>
                <w:sz w:val="20"/>
                <w:szCs w:val="20"/>
              </w:rPr>
              <w:t>Deaths in custody, by Indigenous status</w:t>
            </w:r>
          </w:p>
        </w:tc>
      </w:tr>
      <w:tr w:rsidR="00121AB7" w:rsidRPr="0021503D" w:rsidTr="00EF1DA7">
        <w:trPr>
          <w:trHeight w:val="357"/>
        </w:trPr>
        <w:tc>
          <w:tcPr>
            <w:tcW w:w="1575" w:type="dxa"/>
            <w:tcBorders>
              <w:top w:val="nil"/>
              <w:left w:val="nil"/>
              <w:bottom w:val="nil"/>
              <w:right w:val="nil"/>
            </w:tcBorders>
            <w:shd w:val="clear" w:color="auto" w:fill="auto"/>
            <w:noWrap/>
            <w:hideMark/>
          </w:tcPr>
          <w:p w:rsidR="00121AB7" w:rsidRPr="0021503D" w:rsidRDefault="00121AB7" w:rsidP="00121AB7">
            <w:pPr>
              <w:jc w:val="both"/>
              <w:rPr>
                <w:rFonts w:ascii="Arial" w:hAnsi="Arial" w:cs="Arial"/>
                <w:b/>
                <w:sz w:val="20"/>
                <w:szCs w:val="20"/>
              </w:rPr>
            </w:pPr>
            <w:r w:rsidRPr="0021503D">
              <w:rPr>
                <w:rFonts w:ascii="Arial" w:hAnsi="Arial" w:cs="Arial"/>
                <w:b/>
                <w:sz w:val="20"/>
                <w:szCs w:val="20"/>
              </w:rPr>
              <w:t>Table 15A.193</w:t>
            </w:r>
          </w:p>
        </w:tc>
        <w:tc>
          <w:tcPr>
            <w:tcW w:w="7285" w:type="dxa"/>
            <w:tcBorders>
              <w:top w:val="nil"/>
              <w:left w:val="nil"/>
              <w:bottom w:val="nil"/>
              <w:right w:val="nil"/>
            </w:tcBorders>
            <w:shd w:val="clear" w:color="auto" w:fill="auto"/>
            <w:hideMark/>
          </w:tcPr>
          <w:p w:rsidR="00121AB7" w:rsidRPr="0021503D" w:rsidRDefault="00121AB7" w:rsidP="00121AB7">
            <w:pPr>
              <w:jc w:val="both"/>
              <w:rPr>
                <w:rFonts w:ascii="Arial" w:hAnsi="Arial" w:cs="Arial"/>
                <w:sz w:val="20"/>
                <w:szCs w:val="20"/>
              </w:rPr>
            </w:pPr>
            <w:r w:rsidRPr="0021503D">
              <w:rPr>
                <w:rFonts w:ascii="Arial" w:hAnsi="Arial" w:cs="Arial"/>
                <w:sz w:val="20"/>
                <w:szCs w:val="20"/>
              </w:rPr>
              <w:t xml:space="preserve">Young people in detention attending education and training, by Indigenous status </w:t>
            </w:r>
          </w:p>
        </w:tc>
      </w:tr>
      <w:tr w:rsidR="00121AB7" w:rsidRPr="0021503D" w:rsidTr="00EF1DA7">
        <w:trPr>
          <w:trHeight w:val="357"/>
        </w:trPr>
        <w:tc>
          <w:tcPr>
            <w:tcW w:w="1575" w:type="dxa"/>
            <w:tcBorders>
              <w:top w:val="nil"/>
              <w:left w:val="nil"/>
              <w:bottom w:val="nil"/>
              <w:right w:val="nil"/>
            </w:tcBorders>
            <w:shd w:val="clear" w:color="auto" w:fill="auto"/>
            <w:noWrap/>
            <w:hideMark/>
          </w:tcPr>
          <w:p w:rsidR="00121AB7" w:rsidRPr="0021503D" w:rsidRDefault="00121AB7" w:rsidP="00121AB7">
            <w:pPr>
              <w:jc w:val="both"/>
              <w:rPr>
                <w:rFonts w:ascii="Arial" w:hAnsi="Arial" w:cs="Arial"/>
                <w:b/>
                <w:sz w:val="20"/>
                <w:szCs w:val="20"/>
              </w:rPr>
            </w:pPr>
            <w:r w:rsidRPr="0021503D">
              <w:rPr>
                <w:rFonts w:ascii="Arial" w:hAnsi="Arial" w:cs="Arial"/>
                <w:b/>
                <w:sz w:val="20"/>
                <w:szCs w:val="20"/>
              </w:rPr>
              <w:t>Table 15A.194</w:t>
            </w:r>
          </w:p>
        </w:tc>
        <w:tc>
          <w:tcPr>
            <w:tcW w:w="7285" w:type="dxa"/>
            <w:tcBorders>
              <w:top w:val="nil"/>
              <w:left w:val="nil"/>
              <w:bottom w:val="nil"/>
              <w:right w:val="nil"/>
            </w:tcBorders>
            <w:shd w:val="clear" w:color="auto" w:fill="auto"/>
            <w:hideMark/>
          </w:tcPr>
          <w:p w:rsidR="00121AB7" w:rsidRPr="0021503D" w:rsidRDefault="00121AB7" w:rsidP="00121AB7">
            <w:pPr>
              <w:jc w:val="both"/>
              <w:rPr>
                <w:rFonts w:ascii="Arial" w:hAnsi="Arial" w:cs="Arial"/>
                <w:sz w:val="20"/>
                <w:szCs w:val="20"/>
              </w:rPr>
            </w:pPr>
            <w:r w:rsidRPr="0021503D">
              <w:rPr>
                <w:rFonts w:ascii="Arial" w:hAnsi="Arial" w:cs="Arial"/>
                <w:sz w:val="20"/>
                <w:szCs w:val="20"/>
              </w:rPr>
              <w:t>Escapes from detention and escorted movement, by Indigenous status</w:t>
            </w:r>
          </w:p>
        </w:tc>
      </w:tr>
      <w:tr w:rsidR="00121AB7" w:rsidRPr="0021503D" w:rsidTr="00EF1DA7">
        <w:trPr>
          <w:trHeight w:val="357"/>
        </w:trPr>
        <w:tc>
          <w:tcPr>
            <w:tcW w:w="1575" w:type="dxa"/>
            <w:tcBorders>
              <w:top w:val="nil"/>
              <w:left w:val="nil"/>
              <w:bottom w:val="nil"/>
              <w:right w:val="nil"/>
            </w:tcBorders>
            <w:shd w:val="clear" w:color="auto" w:fill="auto"/>
            <w:noWrap/>
            <w:hideMark/>
          </w:tcPr>
          <w:p w:rsidR="00121AB7" w:rsidRPr="0021503D" w:rsidRDefault="00121AB7" w:rsidP="00121AB7">
            <w:pPr>
              <w:jc w:val="both"/>
              <w:rPr>
                <w:rFonts w:ascii="Arial" w:hAnsi="Arial" w:cs="Arial"/>
                <w:b/>
                <w:sz w:val="20"/>
                <w:szCs w:val="20"/>
              </w:rPr>
            </w:pPr>
            <w:r w:rsidRPr="0021503D">
              <w:rPr>
                <w:rFonts w:ascii="Arial" w:hAnsi="Arial" w:cs="Arial"/>
                <w:b/>
                <w:sz w:val="20"/>
                <w:szCs w:val="20"/>
              </w:rPr>
              <w:t>Table 15A.195</w:t>
            </w:r>
          </w:p>
        </w:tc>
        <w:tc>
          <w:tcPr>
            <w:tcW w:w="7285" w:type="dxa"/>
            <w:tcBorders>
              <w:top w:val="nil"/>
              <w:left w:val="nil"/>
              <w:bottom w:val="nil"/>
              <w:right w:val="nil"/>
            </w:tcBorders>
            <w:shd w:val="clear" w:color="auto" w:fill="auto"/>
            <w:hideMark/>
          </w:tcPr>
          <w:p w:rsidR="00121AB7" w:rsidRPr="0021503D" w:rsidRDefault="00121AB7" w:rsidP="00121AB7">
            <w:pPr>
              <w:jc w:val="both"/>
              <w:rPr>
                <w:rFonts w:ascii="Arial" w:hAnsi="Arial" w:cs="Arial"/>
                <w:sz w:val="20"/>
                <w:szCs w:val="20"/>
              </w:rPr>
            </w:pPr>
            <w:r w:rsidRPr="0021503D">
              <w:rPr>
                <w:rFonts w:ascii="Arial" w:hAnsi="Arial" w:cs="Arial"/>
                <w:sz w:val="20"/>
                <w:szCs w:val="20"/>
              </w:rPr>
              <w:t xml:space="preserve">Absconds from unescorted leave, by Indigenous status </w:t>
            </w:r>
          </w:p>
        </w:tc>
      </w:tr>
      <w:tr w:rsidR="00121AB7" w:rsidRPr="0021503D" w:rsidTr="00EF1DA7">
        <w:trPr>
          <w:trHeight w:val="357"/>
        </w:trPr>
        <w:tc>
          <w:tcPr>
            <w:tcW w:w="1575" w:type="dxa"/>
            <w:tcBorders>
              <w:top w:val="nil"/>
              <w:left w:val="nil"/>
              <w:bottom w:val="nil"/>
              <w:right w:val="nil"/>
            </w:tcBorders>
            <w:shd w:val="clear" w:color="auto" w:fill="auto"/>
            <w:noWrap/>
            <w:hideMark/>
          </w:tcPr>
          <w:p w:rsidR="00121AB7" w:rsidRPr="0021503D" w:rsidRDefault="00121AB7" w:rsidP="00121AB7">
            <w:pPr>
              <w:jc w:val="both"/>
              <w:rPr>
                <w:rFonts w:ascii="Arial" w:hAnsi="Arial" w:cs="Arial"/>
                <w:b/>
                <w:sz w:val="20"/>
                <w:szCs w:val="20"/>
              </w:rPr>
            </w:pPr>
            <w:r w:rsidRPr="0021503D">
              <w:rPr>
                <w:rFonts w:ascii="Arial" w:hAnsi="Arial" w:cs="Arial"/>
                <w:b/>
                <w:sz w:val="20"/>
                <w:szCs w:val="20"/>
              </w:rPr>
              <w:t>Table 15A.196</w:t>
            </w:r>
          </w:p>
        </w:tc>
        <w:tc>
          <w:tcPr>
            <w:tcW w:w="7285" w:type="dxa"/>
            <w:tcBorders>
              <w:top w:val="nil"/>
              <w:left w:val="nil"/>
              <w:bottom w:val="nil"/>
              <w:right w:val="nil"/>
            </w:tcBorders>
            <w:shd w:val="clear" w:color="auto" w:fill="auto"/>
            <w:hideMark/>
          </w:tcPr>
          <w:p w:rsidR="00121AB7" w:rsidRPr="0021503D" w:rsidRDefault="00121AB7" w:rsidP="00121AB7">
            <w:pPr>
              <w:jc w:val="both"/>
              <w:rPr>
                <w:rFonts w:ascii="Arial" w:hAnsi="Arial" w:cs="Arial"/>
                <w:sz w:val="20"/>
                <w:szCs w:val="20"/>
              </w:rPr>
            </w:pPr>
            <w:r w:rsidRPr="0021503D">
              <w:rPr>
                <w:rFonts w:ascii="Arial" w:hAnsi="Arial" w:cs="Arial"/>
                <w:sz w:val="20"/>
                <w:szCs w:val="20"/>
              </w:rPr>
              <w:t xml:space="preserve">Serious assaults in custody, by Indigenous status </w:t>
            </w:r>
          </w:p>
        </w:tc>
      </w:tr>
      <w:tr w:rsidR="00121AB7" w:rsidRPr="0021503D" w:rsidTr="00EF1DA7">
        <w:trPr>
          <w:trHeight w:val="357"/>
        </w:trPr>
        <w:tc>
          <w:tcPr>
            <w:tcW w:w="1575" w:type="dxa"/>
            <w:tcBorders>
              <w:top w:val="nil"/>
              <w:left w:val="nil"/>
              <w:bottom w:val="nil"/>
              <w:right w:val="nil"/>
            </w:tcBorders>
            <w:shd w:val="clear" w:color="auto" w:fill="auto"/>
            <w:noWrap/>
            <w:hideMark/>
          </w:tcPr>
          <w:p w:rsidR="00121AB7" w:rsidRPr="0021503D" w:rsidRDefault="00121AB7" w:rsidP="00121AB7">
            <w:pPr>
              <w:jc w:val="both"/>
              <w:rPr>
                <w:rFonts w:ascii="Arial" w:hAnsi="Arial" w:cs="Arial"/>
                <w:b/>
                <w:sz w:val="20"/>
                <w:szCs w:val="20"/>
              </w:rPr>
            </w:pPr>
            <w:r w:rsidRPr="0021503D">
              <w:rPr>
                <w:rFonts w:ascii="Arial" w:hAnsi="Arial" w:cs="Arial"/>
                <w:b/>
                <w:sz w:val="20"/>
                <w:szCs w:val="20"/>
              </w:rPr>
              <w:t>Table 15A.197</w:t>
            </w:r>
          </w:p>
        </w:tc>
        <w:tc>
          <w:tcPr>
            <w:tcW w:w="7285" w:type="dxa"/>
            <w:tcBorders>
              <w:top w:val="nil"/>
              <w:left w:val="nil"/>
              <w:bottom w:val="nil"/>
              <w:right w:val="nil"/>
            </w:tcBorders>
            <w:shd w:val="clear" w:color="auto" w:fill="auto"/>
            <w:hideMark/>
          </w:tcPr>
          <w:p w:rsidR="00121AB7" w:rsidRPr="0021503D" w:rsidRDefault="00121AB7" w:rsidP="00121AB7">
            <w:pPr>
              <w:jc w:val="both"/>
              <w:rPr>
                <w:rFonts w:ascii="Arial" w:hAnsi="Arial" w:cs="Arial"/>
                <w:sz w:val="20"/>
                <w:szCs w:val="20"/>
              </w:rPr>
            </w:pPr>
            <w:r w:rsidRPr="0021503D">
              <w:rPr>
                <w:rFonts w:ascii="Arial" w:hAnsi="Arial" w:cs="Arial"/>
                <w:sz w:val="20"/>
                <w:szCs w:val="20"/>
              </w:rPr>
              <w:t xml:space="preserve">Assaults in custody, by Indigenous status  </w:t>
            </w:r>
          </w:p>
        </w:tc>
      </w:tr>
      <w:tr w:rsidR="00121AB7" w:rsidRPr="0021503D" w:rsidTr="00EF1DA7">
        <w:trPr>
          <w:trHeight w:val="357"/>
        </w:trPr>
        <w:tc>
          <w:tcPr>
            <w:tcW w:w="1575" w:type="dxa"/>
            <w:tcBorders>
              <w:top w:val="nil"/>
              <w:left w:val="nil"/>
              <w:bottom w:val="nil"/>
              <w:right w:val="nil"/>
            </w:tcBorders>
            <w:shd w:val="clear" w:color="auto" w:fill="auto"/>
            <w:noWrap/>
            <w:hideMark/>
          </w:tcPr>
          <w:p w:rsidR="00121AB7" w:rsidRPr="0021503D" w:rsidRDefault="00121AB7" w:rsidP="00121AB7">
            <w:pPr>
              <w:jc w:val="both"/>
              <w:rPr>
                <w:rFonts w:ascii="Arial" w:hAnsi="Arial" w:cs="Arial"/>
                <w:b/>
                <w:sz w:val="20"/>
                <w:szCs w:val="20"/>
              </w:rPr>
            </w:pPr>
            <w:r w:rsidRPr="0021503D">
              <w:rPr>
                <w:rFonts w:ascii="Arial" w:hAnsi="Arial" w:cs="Arial"/>
                <w:b/>
                <w:sz w:val="20"/>
                <w:szCs w:val="20"/>
              </w:rPr>
              <w:t>Table 15A.198</w:t>
            </w:r>
          </w:p>
        </w:tc>
        <w:tc>
          <w:tcPr>
            <w:tcW w:w="7285" w:type="dxa"/>
            <w:tcBorders>
              <w:top w:val="nil"/>
              <w:left w:val="nil"/>
              <w:bottom w:val="nil"/>
              <w:right w:val="nil"/>
            </w:tcBorders>
            <w:shd w:val="clear" w:color="auto" w:fill="auto"/>
            <w:hideMark/>
          </w:tcPr>
          <w:p w:rsidR="00121AB7" w:rsidRPr="0021503D" w:rsidRDefault="00121AB7" w:rsidP="00121AB7">
            <w:pPr>
              <w:jc w:val="both"/>
              <w:rPr>
                <w:rFonts w:ascii="Arial" w:hAnsi="Arial" w:cs="Arial"/>
                <w:sz w:val="20"/>
                <w:szCs w:val="20"/>
              </w:rPr>
            </w:pPr>
            <w:r w:rsidRPr="0021503D">
              <w:rPr>
                <w:rFonts w:ascii="Arial" w:hAnsi="Arial" w:cs="Arial"/>
                <w:sz w:val="20"/>
                <w:szCs w:val="20"/>
              </w:rPr>
              <w:t xml:space="preserve">Self-harm and attempted suicide in custody, by Indigenous status  </w:t>
            </w:r>
          </w:p>
        </w:tc>
      </w:tr>
      <w:tr w:rsidR="00121AB7" w:rsidRPr="0021503D" w:rsidTr="00EF1DA7">
        <w:trPr>
          <w:trHeight w:val="357"/>
        </w:trPr>
        <w:tc>
          <w:tcPr>
            <w:tcW w:w="1575" w:type="dxa"/>
            <w:tcBorders>
              <w:top w:val="nil"/>
              <w:left w:val="nil"/>
              <w:bottom w:val="nil"/>
              <w:right w:val="nil"/>
            </w:tcBorders>
            <w:shd w:val="clear" w:color="auto" w:fill="auto"/>
            <w:noWrap/>
            <w:hideMark/>
          </w:tcPr>
          <w:p w:rsidR="00121AB7" w:rsidRPr="0021503D" w:rsidRDefault="00121AB7" w:rsidP="00121AB7">
            <w:pPr>
              <w:jc w:val="both"/>
              <w:rPr>
                <w:rFonts w:ascii="Arial" w:hAnsi="Arial" w:cs="Arial"/>
                <w:b/>
                <w:sz w:val="20"/>
                <w:szCs w:val="20"/>
              </w:rPr>
            </w:pPr>
            <w:r w:rsidRPr="0021503D">
              <w:rPr>
                <w:rFonts w:ascii="Arial" w:hAnsi="Arial" w:cs="Arial"/>
                <w:b/>
                <w:sz w:val="20"/>
                <w:szCs w:val="20"/>
              </w:rPr>
              <w:t>Table 15A.199</w:t>
            </w:r>
          </w:p>
        </w:tc>
        <w:tc>
          <w:tcPr>
            <w:tcW w:w="7285" w:type="dxa"/>
            <w:tcBorders>
              <w:top w:val="nil"/>
              <w:left w:val="nil"/>
              <w:bottom w:val="nil"/>
              <w:right w:val="nil"/>
            </w:tcBorders>
            <w:shd w:val="clear" w:color="auto" w:fill="auto"/>
            <w:hideMark/>
          </w:tcPr>
          <w:p w:rsidR="00121AB7" w:rsidRPr="0021503D" w:rsidRDefault="00121AB7" w:rsidP="00121AB7">
            <w:pPr>
              <w:jc w:val="both"/>
              <w:rPr>
                <w:rFonts w:ascii="Arial" w:hAnsi="Arial" w:cs="Arial"/>
                <w:sz w:val="20"/>
                <w:szCs w:val="20"/>
              </w:rPr>
            </w:pPr>
            <w:r w:rsidRPr="0021503D">
              <w:rPr>
                <w:rFonts w:ascii="Arial" w:hAnsi="Arial" w:cs="Arial"/>
                <w:sz w:val="20"/>
                <w:szCs w:val="20"/>
              </w:rPr>
              <w:t xml:space="preserve">Completion of community-based orders, by Indigenous status </w:t>
            </w:r>
          </w:p>
        </w:tc>
      </w:tr>
      <w:tr w:rsidR="00771E96" w:rsidRPr="0021503D" w:rsidTr="00EF1DA7">
        <w:trPr>
          <w:trHeight w:val="357"/>
        </w:trPr>
        <w:tc>
          <w:tcPr>
            <w:tcW w:w="1575" w:type="dxa"/>
            <w:tcBorders>
              <w:top w:val="nil"/>
              <w:left w:val="nil"/>
              <w:bottom w:val="nil"/>
              <w:right w:val="nil"/>
            </w:tcBorders>
            <w:shd w:val="clear" w:color="auto" w:fill="auto"/>
            <w:noWrap/>
          </w:tcPr>
          <w:p w:rsidR="00771E96" w:rsidRPr="004906B4" w:rsidRDefault="00771E96" w:rsidP="00FB037C">
            <w:r>
              <w:rPr>
                <w:rFonts w:ascii="Arial" w:hAnsi="Arial" w:cs="Arial"/>
                <w:b/>
                <w:sz w:val="20"/>
                <w:szCs w:val="20"/>
              </w:rPr>
              <w:t>Table 15A.200</w:t>
            </w:r>
          </w:p>
        </w:tc>
        <w:tc>
          <w:tcPr>
            <w:tcW w:w="7285" w:type="dxa"/>
            <w:tcBorders>
              <w:top w:val="nil"/>
              <w:left w:val="nil"/>
              <w:bottom w:val="nil"/>
              <w:right w:val="nil"/>
            </w:tcBorders>
            <w:shd w:val="clear" w:color="auto" w:fill="auto"/>
          </w:tcPr>
          <w:p w:rsidR="00771E96" w:rsidRPr="00771E96" w:rsidRDefault="00771E96" w:rsidP="00771E96">
            <w:pPr>
              <w:jc w:val="both"/>
              <w:rPr>
                <w:rFonts w:ascii="Arial" w:hAnsi="Arial" w:cs="Arial"/>
                <w:sz w:val="20"/>
                <w:szCs w:val="20"/>
              </w:rPr>
            </w:pPr>
            <w:r w:rsidRPr="00771E96">
              <w:rPr>
                <w:rFonts w:ascii="Arial" w:hAnsi="Arial" w:cs="Arial"/>
                <w:sz w:val="20"/>
                <w:szCs w:val="20"/>
              </w:rPr>
              <w:t>Case plans prepared/reviewed within 6 weeks of commencing a sentenced order, by Indigenous status</w:t>
            </w:r>
          </w:p>
        </w:tc>
      </w:tr>
    </w:tbl>
    <w:p w:rsidR="00AB1DAE" w:rsidRPr="0021503D" w:rsidRDefault="00AB1DAE" w:rsidP="00AB1DAE">
      <w:pPr>
        <w:keepNext/>
        <w:spacing w:before="560" w:after="240" w:line="320" w:lineRule="exact"/>
        <w:outlineLvl w:val="2"/>
        <w:rPr>
          <w:rFonts w:ascii="Arial" w:hAnsi="Arial"/>
          <w:b/>
          <w:szCs w:val="20"/>
        </w:rPr>
      </w:pPr>
      <w:bookmarkStart w:id="155" w:name="_Toc313462312"/>
      <w:bookmarkStart w:id="156" w:name="_Toc320770844"/>
      <w:bookmarkStart w:id="157" w:name="_Toc348449387"/>
      <w:bookmarkStart w:id="158" w:name="_Toc348952933"/>
      <w:bookmarkStart w:id="159" w:name="_Toc351361374"/>
      <w:r w:rsidRPr="0021503D">
        <w:rPr>
          <w:rFonts w:ascii="Arial" w:hAnsi="Arial"/>
          <w:b/>
          <w:szCs w:val="20"/>
        </w:rPr>
        <w:t>References</w:t>
      </w:r>
      <w:bookmarkEnd w:id="155"/>
      <w:bookmarkEnd w:id="156"/>
      <w:bookmarkEnd w:id="157"/>
      <w:bookmarkEnd w:id="158"/>
      <w:bookmarkEnd w:id="159"/>
    </w:p>
    <w:p w:rsidR="003A084B" w:rsidRPr="0021503D" w:rsidRDefault="003A084B" w:rsidP="003A084B">
      <w:pPr>
        <w:pStyle w:val="Reference"/>
      </w:pPr>
      <w:r w:rsidRPr="0021503D">
        <w:t xml:space="preserve">AIHW (Australian Institute of Health and Welfare) 2006, </w:t>
      </w:r>
      <w:r w:rsidRPr="0021503D">
        <w:rPr>
          <w:i/>
        </w:rPr>
        <w:t>Family violence among Aboriginal and Torres Strait Islander peoples</w:t>
      </w:r>
      <w:r w:rsidRPr="0021503D">
        <w:t>, Cat. No. IHW 17, Canberra.</w:t>
      </w:r>
    </w:p>
    <w:p w:rsidR="007A439D" w:rsidRPr="0021503D" w:rsidRDefault="007A439D" w:rsidP="007A439D">
      <w:pPr>
        <w:pStyle w:val="Reference"/>
      </w:pPr>
      <w:r w:rsidRPr="0021503D">
        <w:t xml:space="preserve">—— forthcoming, </w:t>
      </w:r>
      <w:r w:rsidRPr="0021503D">
        <w:rPr>
          <w:i/>
        </w:rPr>
        <w:t>Child Protection Australia</w:t>
      </w:r>
      <w:r w:rsidRPr="0021503D">
        <w:t xml:space="preserve"> </w:t>
      </w:r>
      <w:r w:rsidRPr="0021503D">
        <w:rPr>
          <w:i/>
        </w:rPr>
        <w:t>2011-12</w:t>
      </w:r>
      <w:r w:rsidRPr="0021503D">
        <w:t>, Child Welfare series no. 53. Cat. no. CWS 41, Canberra: AIHW.</w:t>
      </w:r>
    </w:p>
    <w:p w:rsidR="003A084B" w:rsidRPr="0021503D" w:rsidRDefault="003A084B" w:rsidP="003A084B">
      <w:pPr>
        <w:pStyle w:val="Reference"/>
      </w:pPr>
      <w:r w:rsidRPr="0021503D">
        <w:t xml:space="preserve">Bamblett, M., Bath, H. and Roseby, R. 2010, </w:t>
      </w:r>
      <w:r w:rsidRPr="0021503D">
        <w:rPr>
          <w:i/>
        </w:rPr>
        <w:t>Growing them Strong, Together: Promoting the safety and wellbeing of the Northern Territory's children, Report of the Board of Inquiry into the Child Protection System in the Northern Territory 2010</w:t>
      </w:r>
      <w:r w:rsidRPr="0021503D">
        <w:t>, Northern Territory Government, Darwin.</w:t>
      </w:r>
    </w:p>
    <w:p w:rsidR="00A727A0" w:rsidRPr="0021503D" w:rsidRDefault="00A727A0" w:rsidP="00A727A0">
      <w:pPr>
        <w:pStyle w:val="Reference"/>
      </w:pPr>
      <w:r w:rsidRPr="0021503D">
        <w:t xml:space="preserve">Commonwealth of Australia 1991, </w:t>
      </w:r>
      <w:r w:rsidRPr="0021503D">
        <w:rPr>
          <w:i/>
        </w:rPr>
        <w:t xml:space="preserve">Royal Commission into Aboriginal Deaths in Custody Report, </w:t>
      </w:r>
      <w:r w:rsidRPr="0021503D">
        <w:t>Commonwealth of Australia, Canberra.</w:t>
      </w:r>
    </w:p>
    <w:p w:rsidR="00A727A0" w:rsidRPr="0021503D" w:rsidRDefault="00A727A0" w:rsidP="00A727A0">
      <w:pPr>
        <w:pStyle w:val="Reference"/>
      </w:pPr>
      <w:r w:rsidRPr="0021503D">
        <w:t>—— 2011</w:t>
      </w:r>
      <w:r w:rsidRPr="0021503D">
        <w:rPr>
          <w:i/>
        </w:rPr>
        <w:t>, Doing Time — Time for Doing: Indigenous youth in the criminal justice system</w:t>
      </w:r>
      <w:r w:rsidRPr="0021503D">
        <w:t>, Commonwealth of Australia, Canberra.</w:t>
      </w:r>
    </w:p>
    <w:p w:rsidR="003A084B" w:rsidRPr="0021503D" w:rsidRDefault="003A084B" w:rsidP="003A084B">
      <w:pPr>
        <w:pStyle w:val="Reference"/>
      </w:pPr>
      <w:r w:rsidRPr="0021503D">
        <w:t xml:space="preserve">DHS (Department of Human Services) 2002, </w:t>
      </w:r>
      <w:r w:rsidRPr="0021503D">
        <w:rPr>
          <w:i/>
        </w:rPr>
        <w:t>An Integrated Strategy for Child Protection and Placement Services</w:t>
      </w:r>
      <w:r w:rsidRPr="0021503D">
        <w:t xml:space="preserve">, Government of Victoria, Melbourne. </w:t>
      </w:r>
    </w:p>
    <w:p w:rsidR="003A084B" w:rsidRPr="0021503D" w:rsidRDefault="003A084B" w:rsidP="003A084B">
      <w:pPr>
        <w:pStyle w:val="Reference"/>
      </w:pPr>
      <w:r w:rsidRPr="0021503D">
        <w:t xml:space="preserve">Gordon Report (Commission of Inquiry into Response by Government Agencies to Complaints of Family Violence and Child Abuse in Aboriginal Communities, chaired by Mrs Sue Gordon) 2002, </w:t>
      </w:r>
      <w:r w:rsidRPr="0021503D">
        <w:rPr>
          <w:i/>
        </w:rPr>
        <w:t>Putting the Picture Together</w:t>
      </w:r>
      <w:r w:rsidRPr="0021503D">
        <w:t>, State Law Publishers, Perth.</w:t>
      </w:r>
    </w:p>
    <w:bookmarkEnd w:id="5"/>
    <w:bookmarkEnd w:id="6"/>
    <w:bookmarkEnd w:id="7"/>
    <w:bookmarkEnd w:id="8"/>
    <w:bookmarkEnd w:id="9"/>
    <w:p w:rsidR="003A084B" w:rsidRPr="0021503D" w:rsidRDefault="003A084B" w:rsidP="003A084B">
      <w:pPr>
        <w:pStyle w:val="Reference"/>
      </w:pPr>
      <w:r w:rsidRPr="0021503D">
        <w:lastRenderedPageBreak/>
        <w:t xml:space="preserve">Holzer, P. J., and Bromfield, L. M., 2008, </w:t>
      </w:r>
      <w:r w:rsidRPr="0021503D">
        <w:rPr>
          <w:i/>
        </w:rPr>
        <w:t>NCPASS comparability of child protection data: Project report</w:t>
      </w:r>
      <w:r w:rsidRPr="0021503D">
        <w:t>, Australian Institute of Family Studies, Melbourne.</w:t>
      </w:r>
    </w:p>
    <w:p w:rsidR="007A439D" w:rsidRPr="0021503D" w:rsidRDefault="007A439D" w:rsidP="007A439D">
      <w:pPr>
        <w:pStyle w:val="Reference"/>
      </w:pPr>
      <w:r w:rsidRPr="0021503D">
        <w:t xml:space="preserve">NLRC (NSW Law Reform Commission) 1997, </w:t>
      </w:r>
      <w:r w:rsidRPr="0021503D">
        <w:rPr>
          <w:i/>
        </w:rPr>
        <w:t>The Aboriginal Child Placement Principle</w:t>
      </w:r>
      <w:r w:rsidRPr="0021503D">
        <w:t>, Research Report no. 7, Sydney.</w:t>
      </w:r>
    </w:p>
    <w:p w:rsidR="003A084B" w:rsidRPr="0021503D" w:rsidRDefault="003A084B" w:rsidP="003A084B">
      <w:pPr>
        <w:pStyle w:val="Reference"/>
      </w:pPr>
      <w:r w:rsidRPr="0021503D">
        <w:t xml:space="preserve">Northern Territory Board of Inquiry into the Protection of Aboriginal Children from Sexual Abuse 2007, </w:t>
      </w:r>
      <w:r w:rsidRPr="0021503D">
        <w:rPr>
          <w:i/>
        </w:rPr>
        <w:t>Ampe Akelyernemane Meke Mekarle “Little Children are Sacred”</w:t>
      </w:r>
      <w:r w:rsidRPr="0021503D">
        <w:t>, Northern Territory Government.</w:t>
      </w:r>
    </w:p>
    <w:p w:rsidR="003A084B" w:rsidRDefault="003A084B" w:rsidP="003A084B">
      <w:pPr>
        <w:pStyle w:val="Reference"/>
      </w:pPr>
      <w:r w:rsidRPr="0021503D">
        <w:t xml:space="preserve">The Allen Consulting Group 2008, </w:t>
      </w:r>
      <w:r w:rsidRPr="0021503D">
        <w:rPr>
          <w:i/>
        </w:rPr>
        <w:t xml:space="preserve">Inverting the pyramid: Enhancing systems for protecting children, </w:t>
      </w:r>
      <w:r w:rsidRPr="0021503D">
        <w:t>Australian Research Alliance for Children and Youth, Australian Capital Territory.</w:t>
      </w:r>
    </w:p>
    <w:p w:rsidR="00D322D9" w:rsidRPr="00A217EC" w:rsidRDefault="00D322D9" w:rsidP="00AB1DAE">
      <w:pPr>
        <w:pStyle w:val="BodyText"/>
        <w:rPr>
          <w:rStyle w:val="Hyperlink"/>
          <w:color w:val="auto"/>
          <w:u w:val="none"/>
        </w:rPr>
      </w:pPr>
    </w:p>
    <w:sectPr w:rsidR="00D322D9" w:rsidRPr="00A217EC" w:rsidSect="00B95C6D">
      <w:headerReference w:type="even" r:id="rId24"/>
      <w:headerReference w:type="default" r:id="rId25"/>
      <w:footerReference w:type="even" r:id="rId26"/>
      <w:footerReference w:type="default" r:id="rId27"/>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AB7" w:rsidRDefault="00121AB7">
      <w:r>
        <w:separator/>
      </w:r>
    </w:p>
  </w:endnote>
  <w:endnote w:type="continuationSeparator" w:id="0">
    <w:p w:rsidR="00121AB7" w:rsidRDefault="00121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21AB7">
      <w:trPr>
        <w:trHeight w:hRule="exact" w:val="740"/>
      </w:trPr>
      <w:tc>
        <w:tcPr>
          <w:tcW w:w="510" w:type="dxa"/>
          <w:tcBorders>
            <w:top w:val="single" w:sz="6" w:space="0" w:color="auto"/>
          </w:tcBorders>
        </w:tcPr>
        <w:p w:rsidR="00121AB7" w:rsidRDefault="00B01FF9" w:rsidP="00665023">
          <w:pPr>
            <w:pStyle w:val="Footer"/>
            <w:tabs>
              <w:tab w:val="left" w:pos="0"/>
            </w:tabs>
            <w:ind w:right="0"/>
            <w:rPr>
              <w:rStyle w:val="PageNumber"/>
            </w:rPr>
          </w:pPr>
          <w:fldSimple w:instr=" COMMENTS  \* MERGEFORMAT ">
            <w:r w:rsidR="0075371B">
              <w:rPr>
                <w:rStyle w:val="PageNumber"/>
              </w:rPr>
              <w:t>1</w:t>
            </w:r>
            <w:r w:rsidR="00665023">
              <w:rPr>
                <w:rStyle w:val="PageNumber"/>
              </w:rPr>
              <w:t>5</w:t>
            </w:r>
            <w:r w:rsidR="0075371B">
              <w:rPr>
                <w:rStyle w:val="PageNumber"/>
              </w:rPr>
              <w:t>.</w:t>
            </w:r>
          </w:fldSimple>
          <w:r w:rsidR="0075371B">
            <w:rPr>
              <w:rStyle w:val="PageNumber"/>
            </w:rPr>
            <w:fldChar w:fldCharType="begin"/>
          </w:r>
          <w:r w:rsidR="0075371B">
            <w:rPr>
              <w:rStyle w:val="PageNumber"/>
            </w:rPr>
            <w:instrText xml:space="preserve">PAGE  </w:instrText>
          </w:r>
          <w:r w:rsidR="0075371B">
            <w:rPr>
              <w:rStyle w:val="PageNumber"/>
            </w:rPr>
            <w:fldChar w:fldCharType="separate"/>
          </w:r>
          <w:r w:rsidR="00485794">
            <w:rPr>
              <w:rStyle w:val="PageNumber"/>
              <w:noProof/>
            </w:rPr>
            <w:t>54</w:t>
          </w:r>
          <w:r w:rsidR="0075371B">
            <w:rPr>
              <w:rStyle w:val="PageNumber"/>
            </w:rPr>
            <w:fldChar w:fldCharType="end"/>
          </w:r>
        </w:p>
      </w:tc>
      <w:tc>
        <w:tcPr>
          <w:tcW w:w="1644" w:type="dxa"/>
          <w:tcBorders>
            <w:top w:val="single" w:sz="6" w:space="0" w:color="auto"/>
          </w:tcBorders>
        </w:tcPr>
        <w:p w:rsidR="00121AB7" w:rsidRDefault="00485794" w:rsidP="0019293B">
          <w:pPr>
            <w:pStyle w:val="Footer"/>
          </w:pPr>
          <w:r>
            <w:fldChar w:fldCharType="begin"/>
          </w:r>
          <w:r>
            <w:instrText xml:space="preserve"> SUBJECT  \* MERGEFORMAT </w:instrText>
          </w:r>
          <w:r>
            <w:fldChar w:fldCharType="separate"/>
          </w:r>
          <w:r w:rsidR="00121AB7">
            <w:t>Report on Government Services 2013</w:t>
          </w:r>
          <w:r>
            <w:fldChar w:fldCharType="end"/>
          </w:r>
        </w:p>
      </w:tc>
      <w:tc>
        <w:tcPr>
          <w:tcW w:w="6634" w:type="dxa"/>
        </w:tcPr>
        <w:p w:rsidR="00121AB7" w:rsidRDefault="00121AB7" w:rsidP="0019293B">
          <w:pPr>
            <w:pStyle w:val="Footer"/>
          </w:pPr>
        </w:p>
      </w:tc>
    </w:tr>
  </w:tbl>
  <w:p w:rsidR="00121AB7" w:rsidRDefault="00121AB7"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21AB7">
      <w:trPr>
        <w:trHeight w:hRule="exact" w:val="740"/>
      </w:trPr>
      <w:tc>
        <w:tcPr>
          <w:tcW w:w="6634" w:type="dxa"/>
        </w:tcPr>
        <w:p w:rsidR="00121AB7" w:rsidRDefault="00121AB7">
          <w:pPr>
            <w:pStyle w:val="Footer"/>
            <w:ind w:right="360" w:firstLine="360"/>
          </w:pPr>
        </w:p>
      </w:tc>
      <w:tc>
        <w:tcPr>
          <w:tcW w:w="1644" w:type="dxa"/>
          <w:tcBorders>
            <w:top w:val="single" w:sz="6" w:space="0" w:color="auto"/>
          </w:tcBorders>
        </w:tcPr>
        <w:p w:rsidR="00121AB7" w:rsidRDefault="00485794">
          <w:pPr>
            <w:pStyle w:val="Footer"/>
          </w:pPr>
          <w:r>
            <w:fldChar w:fldCharType="begin"/>
          </w:r>
          <w:r>
            <w:instrText xml:space="preserve"> TITLE  \* MERGEFORMAT </w:instrText>
          </w:r>
          <w:r>
            <w:fldChar w:fldCharType="separate"/>
          </w:r>
          <w:r w:rsidR="00121AB7">
            <w:t>Indigenous Compendium 2013</w:t>
          </w:r>
          <w:r>
            <w:fldChar w:fldCharType="end"/>
          </w:r>
        </w:p>
      </w:tc>
      <w:tc>
        <w:tcPr>
          <w:tcW w:w="510" w:type="dxa"/>
          <w:tcBorders>
            <w:top w:val="single" w:sz="6" w:space="0" w:color="auto"/>
          </w:tcBorders>
        </w:tcPr>
        <w:p w:rsidR="00121AB7" w:rsidRDefault="00B01FF9" w:rsidP="00665023">
          <w:pPr>
            <w:pStyle w:val="Footer"/>
            <w:jc w:val="right"/>
          </w:pPr>
          <w:fldSimple w:instr=" COMMENTS  \* MERGEFORMAT ">
            <w:r w:rsidR="0075371B">
              <w:rPr>
                <w:rStyle w:val="PageNumber"/>
              </w:rPr>
              <w:t>1</w:t>
            </w:r>
            <w:r w:rsidR="00665023">
              <w:rPr>
                <w:rStyle w:val="PageNumber"/>
              </w:rPr>
              <w:t>5</w:t>
            </w:r>
            <w:r w:rsidR="0075371B">
              <w:rPr>
                <w:rStyle w:val="PageNumber"/>
              </w:rPr>
              <w:t>.</w:t>
            </w:r>
          </w:fldSimple>
          <w:r w:rsidR="0075371B">
            <w:rPr>
              <w:rStyle w:val="PageNumber"/>
            </w:rPr>
            <w:fldChar w:fldCharType="begin"/>
          </w:r>
          <w:r w:rsidR="0075371B">
            <w:rPr>
              <w:rStyle w:val="PageNumber"/>
            </w:rPr>
            <w:instrText xml:space="preserve">PAGE  </w:instrText>
          </w:r>
          <w:r w:rsidR="0075371B">
            <w:rPr>
              <w:rStyle w:val="PageNumber"/>
            </w:rPr>
            <w:fldChar w:fldCharType="separate"/>
          </w:r>
          <w:r w:rsidR="00485794">
            <w:rPr>
              <w:rStyle w:val="PageNumber"/>
              <w:noProof/>
            </w:rPr>
            <w:t>1</w:t>
          </w:r>
          <w:r w:rsidR="0075371B">
            <w:rPr>
              <w:rStyle w:val="PageNumber"/>
            </w:rPr>
            <w:fldChar w:fldCharType="end"/>
          </w:r>
        </w:p>
      </w:tc>
    </w:tr>
  </w:tbl>
  <w:p w:rsidR="00121AB7" w:rsidRDefault="00121AB7">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AB7" w:rsidRDefault="00121AB7">
      <w:r>
        <w:separator/>
      </w:r>
    </w:p>
  </w:footnote>
  <w:footnote w:type="continuationSeparator" w:id="0">
    <w:p w:rsidR="00121AB7" w:rsidRDefault="00121A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21AB7">
      <w:tc>
        <w:tcPr>
          <w:tcW w:w="2155" w:type="dxa"/>
          <w:tcBorders>
            <w:top w:val="single" w:sz="24" w:space="0" w:color="auto"/>
          </w:tcBorders>
        </w:tcPr>
        <w:p w:rsidR="00121AB7" w:rsidRDefault="00121AB7" w:rsidP="0019293B">
          <w:pPr>
            <w:pStyle w:val="HeaderEven"/>
          </w:pPr>
        </w:p>
      </w:tc>
      <w:tc>
        <w:tcPr>
          <w:tcW w:w="6634" w:type="dxa"/>
          <w:tcBorders>
            <w:top w:val="single" w:sz="6" w:space="0" w:color="auto"/>
          </w:tcBorders>
        </w:tcPr>
        <w:p w:rsidR="00121AB7" w:rsidRDefault="00121AB7" w:rsidP="0019293B">
          <w:pPr>
            <w:pStyle w:val="HeaderEven"/>
          </w:pPr>
        </w:p>
      </w:tc>
    </w:tr>
  </w:tbl>
  <w:p w:rsidR="00121AB7" w:rsidRDefault="00121AB7"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21AB7">
      <w:tc>
        <w:tcPr>
          <w:tcW w:w="6634" w:type="dxa"/>
          <w:tcBorders>
            <w:top w:val="single" w:sz="6" w:space="0" w:color="auto"/>
          </w:tcBorders>
        </w:tcPr>
        <w:p w:rsidR="00121AB7" w:rsidRDefault="00121AB7" w:rsidP="00E669E2">
          <w:pPr>
            <w:pStyle w:val="HeaderOdd"/>
          </w:pPr>
        </w:p>
      </w:tc>
      <w:tc>
        <w:tcPr>
          <w:tcW w:w="2155" w:type="dxa"/>
          <w:tcBorders>
            <w:top w:val="single" w:sz="24" w:space="0" w:color="auto"/>
          </w:tcBorders>
        </w:tcPr>
        <w:p w:rsidR="00121AB7" w:rsidRDefault="00121AB7" w:rsidP="00E669E2">
          <w:pPr>
            <w:pStyle w:val="HeaderOdd"/>
          </w:pPr>
        </w:p>
      </w:tc>
    </w:tr>
  </w:tbl>
  <w:p w:rsidR="00121AB7" w:rsidRDefault="00121AB7"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1">
    <w:nsid w:val="FFFFFFFE"/>
    <w:multiLevelType w:val="singleLevel"/>
    <w:tmpl w:val="3594BE5E"/>
    <w:lvl w:ilvl="0">
      <w:numFmt w:val="bullet"/>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DoubleDot"/>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B341AC"/>
    <w:multiLevelType w:val="hybridMultilevel"/>
    <w:tmpl w:val="57AE1FDC"/>
    <w:lvl w:ilvl="0" w:tplc="6400C8F6">
      <w:start w:val="1"/>
      <w:numFmt w:val="bullet"/>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1CB460EC"/>
    <w:multiLevelType w:val="hybridMultilevel"/>
    <w:tmpl w:val="F3827CE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
    <w:nsid w:val="1F984843"/>
    <w:multiLevelType w:val="hybridMultilevel"/>
    <w:tmpl w:val="EF6A7642"/>
    <w:lvl w:ilvl="0" w:tplc="DBF26090">
      <w:start w:val="12"/>
      <w:numFmt w:val="decimal"/>
      <w:lvlText w:val="%1"/>
      <w:lvlJc w:val="left"/>
      <w:pPr>
        <w:tabs>
          <w:tab w:val="num" w:pos="900"/>
        </w:tabs>
        <w:ind w:left="900" w:hanging="90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7440C8B"/>
    <w:multiLevelType w:val="multilevel"/>
    <w:tmpl w:val="F2A403A2"/>
    <w:lvl w:ilvl="0">
      <w:start w:val="1"/>
      <w:numFmt w:val="bullet"/>
      <w:lvlRestart w:val="0"/>
      <w:lvlText w:val="•"/>
      <w:lvlJc w:val="left"/>
      <w:pPr>
        <w:tabs>
          <w:tab w:val="num" w:pos="283"/>
        </w:tabs>
        <w:ind w:left="283" w:hanging="283"/>
      </w:pPr>
      <w:rPr>
        <w:rFonts w:ascii="Times New Roman" w:hAnsi="Times New Roman"/>
        <w:b w:val="0"/>
        <w:i w:val="0"/>
      </w:rPr>
    </w:lvl>
    <w:lvl w:ilvl="1">
      <w:start w:val="1"/>
      <w:numFmt w:val="bullet"/>
      <w:lvlText w:val="–"/>
      <w:lvlJc w:val="left"/>
      <w:pPr>
        <w:tabs>
          <w:tab w:val="num" w:pos="567"/>
        </w:tabs>
        <w:ind w:left="567" w:hanging="284"/>
      </w:pPr>
      <w:rPr>
        <w:rFonts w:ascii="Times New Roman" w:hAnsi="Times New Roman"/>
        <w:b w:val="0"/>
        <w:i w:val="0"/>
      </w:rPr>
    </w:lvl>
    <w:lvl w:ilvl="2">
      <w:start w:val="1"/>
      <w:numFmt w:val="bullet"/>
      <w:lvlText w:val=":"/>
      <w:lvlJc w:val="left"/>
      <w:pPr>
        <w:tabs>
          <w:tab w:val="num" w:pos="850"/>
        </w:tabs>
        <w:ind w:left="850" w:hanging="283"/>
      </w:pPr>
      <w:rPr>
        <w:rFonts w:ascii="Times New Roman" w:hAnsi="Times New Roman"/>
        <w:b w:val="0"/>
        <w:i w:val="0"/>
      </w:rPr>
    </w:lvl>
    <w:lvl w:ilvl="3">
      <w:start w:val="1"/>
      <w:numFmt w:val="decimal"/>
      <w:lvlText w:val="(%4)"/>
      <w:lvlJc w:val="left"/>
      <w:pPr>
        <w:tabs>
          <w:tab w:val="num" w:pos="1440"/>
        </w:tabs>
        <w:ind w:left="1440" w:hanging="360"/>
      </w:pPr>
      <w:rPr>
        <w:rFonts w:cs="Times New Roman"/>
        <w:b w:val="0"/>
        <w:i w:val="0"/>
      </w:rPr>
    </w:lvl>
    <w:lvl w:ilvl="4">
      <w:start w:val="1"/>
      <w:numFmt w:val="lowerLetter"/>
      <w:lvlText w:val="(%5)"/>
      <w:lvlJc w:val="left"/>
      <w:pPr>
        <w:tabs>
          <w:tab w:val="num" w:pos="1800"/>
        </w:tabs>
        <w:ind w:left="1800" w:hanging="360"/>
      </w:pPr>
      <w:rPr>
        <w:rFonts w:cs="Times New Roman"/>
        <w:b w:val="0"/>
        <w:i w:val="0"/>
      </w:rPr>
    </w:lvl>
    <w:lvl w:ilvl="5">
      <w:start w:val="1"/>
      <w:numFmt w:val="lowerRoman"/>
      <w:lvlText w:val="(%6)"/>
      <w:lvlJc w:val="left"/>
      <w:pPr>
        <w:tabs>
          <w:tab w:val="num" w:pos="2160"/>
        </w:tabs>
        <w:ind w:left="2160" w:hanging="360"/>
      </w:pPr>
      <w:rPr>
        <w:rFonts w:cs="Times New Roman"/>
        <w:b w:val="0"/>
        <w:i w:val="0"/>
      </w:rPr>
    </w:lvl>
    <w:lvl w:ilvl="6">
      <w:start w:val="1"/>
      <w:numFmt w:val="decimal"/>
      <w:lvlText w:val="%7."/>
      <w:lvlJc w:val="left"/>
      <w:pPr>
        <w:tabs>
          <w:tab w:val="num" w:pos="2520"/>
        </w:tabs>
        <w:ind w:left="2520" w:hanging="360"/>
      </w:pPr>
      <w:rPr>
        <w:rFonts w:cs="Times New Roman"/>
        <w:b w:val="0"/>
        <w:i w:val="0"/>
      </w:rPr>
    </w:lvl>
    <w:lvl w:ilvl="7">
      <w:start w:val="1"/>
      <w:numFmt w:val="lowerLetter"/>
      <w:lvlText w:val="%8."/>
      <w:lvlJc w:val="left"/>
      <w:pPr>
        <w:tabs>
          <w:tab w:val="num" w:pos="2880"/>
        </w:tabs>
        <w:ind w:left="2880" w:hanging="360"/>
      </w:pPr>
      <w:rPr>
        <w:rFonts w:cs="Times New Roman"/>
        <w:b w:val="0"/>
        <w:i w:val="0"/>
      </w:rPr>
    </w:lvl>
    <w:lvl w:ilvl="8">
      <w:start w:val="1"/>
      <w:numFmt w:val="lowerRoman"/>
      <w:lvlText w:val="%9."/>
      <w:lvlJc w:val="left"/>
      <w:pPr>
        <w:tabs>
          <w:tab w:val="num" w:pos="3240"/>
        </w:tabs>
        <w:ind w:left="3240" w:hanging="360"/>
      </w:pPr>
      <w:rPr>
        <w:rFonts w:cs="Times New Roman"/>
        <w:b w:val="0"/>
        <w:i w:val="0"/>
      </w:rPr>
    </w:lvl>
  </w:abstractNum>
  <w:abstractNum w:abstractNumId="13">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68610DDB"/>
    <w:multiLevelType w:val="hybridMultilevel"/>
    <w:tmpl w:val="811689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2"/>
  </w:num>
  <w:num w:numId="2">
    <w:abstractNumId w:val="2"/>
  </w:num>
  <w:num w:numId="3">
    <w:abstractNumId w:val="16"/>
  </w:num>
  <w:num w:numId="4">
    <w:abstractNumId w:val="3"/>
  </w:num>
  <w:num w:numId="5">
    <w:abstractNumId w:val="20"/>
  </w:num>
  <w:num w:numId="6">
    <w:abstractNumId w:val="18"/>
  </w:num>
  <w:num w:numId="7">
    <w:abstractNumId w:val="23"/>
  </w:num>
  <w:num w:numId="8">
    <w:abstractNumId w:val="7"/>
  </w:num>
  <w:num w:numId="9">
    <w:abstractNumId w:val="17"/>
  </w:num>
  <w:num w:numId="10">
    <w:abstractNumId w:val="6"/>
  </w:num>
  <w:num w:numId="11">
    <w:abstractNumId w:val="5"/>
  </w:num>
  <w:num w:numId="12">
    <w:abstractNumId w:val="11"/>
  </w:num>
  <w:num w:numId="13">
    <w:abstractNumId w:val="13"/>
  </w:num>
  <w:num w:numId="14">
    <w:abstractNumId w:val="15"/>
  </w:num>
  <w:num w:numId="15">
    <w:abstractNumId w:val="4"/>
  </w:num>
  <w:num w:numId="16">
    <w:abstractNumId w:val="19"/>
  </w:num>
  <w:num w:numId="17">
    <w:abstractNumId w:val="14"/>
  </w:num>
  <w:num w:numId="18">
    <w:abstractNumId w:val="0"/>
  </w:num>
  <w:num w:numId="19">
    <w:abstractNumId w:val="10"/>
  </w:num>
  <w:num w:numId="20">
    <w:abstractNumId w:val="9"/>
  </w:num>
  <w:num w:numId="21">
    <w:abstractNumId w:val="1"/>
    <w:lvlOverride w:ilvl="0">
      <w:lvl w:ilvl="0">
        <w:start w:val="1"/>
        <w:numFmt w:val="bullet"/>
        <w:lvlText w:val="–"/>
        <w:legacy w:legacy="1" w:legacySpace="0" w:legacyIndent="283"/>
        <w:lvlJc w:val="left"/>
        <w:pPr>
          <w:ind w:left="567" w:hanging="283"/>
        </w:pPr>
        <w:rPr>
          <w:rFonts w:ascii="Times New Roman" w:hAnsi="Times New Roman" w:cs="Times New Roman" w:hint="default"/>
        </w:rPr>
      </w:lvl>
    </w:lvlOverride>
  </w:num>
  <w:num w:numId="22">
    <w:abstractNumId w:val="12"/>
  </w:num>
  <w:num w:numId="23">
    <w:abstractNumId w:val="8"/>
  </w:num>
  <w:num w:numId="24">
    <w:abstractNumId w:val="21"/>
  </w:num>
  <w:num w:numId="25">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F"/>
    <w:docVar w:name="FindingOptions" w:val="1"/>
    <w:docVar w:name="RecOptions" w:val="111"/>
    <w:docVar w:name="ShortChapterTitle" w:val="Indigenous Compendium 2013"/>
    <w:docVar w:name="ShortReportTitle" w:val="Report on Government Services 2013"/>
  </w:docVars>
  <w:rsids>
    <w:rsidRoot w:val="00B86CB4"/>
    <w:rsid w:val="00002CC5"/>
    <w:rsid w:val="000227D5"/>
    <w:rsid w:val="000245AA"/>
    <w:rsid w:val="00025E33"/>
    <w:rsid w:val="0003664B"/>
    <w:rsid w:val="00037202"/>
    <w:rsid w:val="0004111F"/>
    <w:rsid w:val="000444A1"/>
    <w:rsid w:val="00044F32"/>
    <w:rsid w:val="000565B3"/>
    <w:rsid w:val="0006341C"/>
    <w:rsid w:val="0007150B"/>
    <w:rsid w:val="0007163D"/>
    <w:rsid w:val="000759D7"/>
    <w:rsid w:val="00076021"/>
    <w:rsid w:val="00083647"/>
    <w:rsid w:val="00085ED5"/>
    <w:rsid w:val="00092918"/>
    <w:rsid w:val="000938F5"/>
    <w:rsid w:val="00096E55"/>
    <w:rsid w:val="00096F64"/>
    <w:rsid w:val="000A144E"/>
    <w:rsid w:val="000B5F1D"/>
    <w:rsid w:val="000B601B"/>
    <w:rsid w:val="000B7D9A"/>
    <w:rsid w:val="000C207E"/>
    <w:rsid w:val="000C65C8"/>
    <w:rsid w:val="000D1E2A"/>
    <w:rsid w:val="000D44C0"/>
    <w:rsid w:val="000D5988"/>
    <w:rsid w:val="000D5D65"/>
    <w:rsid w:val="000E35CE"/>
    <w:rsid w:val="000E39D8"/>
    <w:rsid w:val="000E4ACF"/>
    <w:rsid w:val="000F0035"/>
    <w:rsid w:val="000F420B"/>
    <w:rsid w:val="00103666"/>
    <w:rsid w:val="00110116"/>
    <w:rsid w:val="0011279A"/>
    <w:rsid w:val="00114B50"/>
    <w:rsid w:val="00117823"/>
    <w:rsid w:val="0011785C"/>
    <w:rsid w:val="00120072"/>
    <w:rsid w:val="0012158A"/>
    <w:rsid w:val="00121AB7"/>
    <w:rsid w:val="00126EB8"/>
    <w:rsid w:val="001274D4"/>
    <w:rsid w:val="00132146"/>
    <w:rsid w:val="001350E7"/>
    <w:rsid w:val="001363AA"/>
    <w:rsid w:val="00144BE9"/>
    <w:rsid w:val="001457FC"/>
    <w:rsid w:val="00147147"/>
    <w:rsid w:val="00156907"/>
    <w:rsid w:val="001678E5"/>
    <w:rsid w:val="00167CA3"/>
    <w:rsid w:val="00172567"/>
    <w:rsid w:val="00172838"/>
    <w:rsid w:val="00177A10"/>
    <w:rsid w:val="001838A3"/>
    <w:rsid w:val="00183B72"/>
    <w:rsid w:val="00183E82"/>
    <w:rsid w:val="001875E0"/>
    <w:rsid w:val="001876B5"/>
    <w:rsid w:val="001878BB"/>
    <w:rsid w:val="00187EEA"/>
    <w:rsid w:val="001918E7"/>
    <w:rsid w:val="00191AE0"/>
    <w:rsid w:val="0019293B"/>
    <w:rsid w:val="00195954"/>
    <w:rsid w:val="0019670B"/>
    <w:rsid w:val="001A5435"/>
    <w:rsid w:val="001B0F05"/>
    <w:rsid w:val="001B2BE6"/>
    <w:rsid w:val="001B62EC"/>
    <w:rsid w:val="001B7720"/>
    <w:rsid w:val="001C0485"/>
    <w:rsid w:val="001C0865"/>
    <w:rsid w:val="001C18F8"/>
    <w:rsid w:val="001C3ABA"/>
    <w:rsid w:val="001C5B5C"/>
    <w:rsid w:val="001C601E"/>
    <w:rsid w:val="001D0A18"/>
    <w:rsid w:val="001D15F9"/>
    <w:rsid w:val="001D4ABC"/>
    <w:rsid w:val="001D4BAC"/>
    <w:rsid w:val="001E7BE8"/>
    <w:rsid w:val="001F0248"/>
    <w:rsid w:val="001F2E1B"/>
    <w:rsid w:val="001F3EB3"/>
    <w:rsid w:val="001F4F86"/>
    <w:rsid w:val="001F677F"/>
    <w:rsid w:val="00201E83"/>
    <w:rsid w:val="00202C2C"/>
    <w:rsid w:val="0020524B"/>
    <w:rsid w:val="002059A0"/>
    <w:rsid w:val="002135AB"/>
    <w:rsid w:val="002144BE"/>
    <w:rsid w:val="0021503D"/>
    <w:rsid w:val="00222B03"/>
    <w:rsid w:val="0023047A"/>
    <w:rsid w:val="00231ED8"/>
    <w:rsid w:val="002339BA"/>
    <w:rsid w:val="0023568D"/>
    <w:rsid w:val="00240CB3"/>
    <w:rsid w:val="00242279"/>
    <w:rsid w:val="00245C82"/>
    <w:rsid w:val="0024657F"/>
    <w:rsid w:val="002504EE"/>
    <w:rsid w:val="00250C90"/>
    <w:rsid w:val="00257995"/>
    <w:rsid w:val="00260781"/>
    <w:rsid w:val="00266112"/>
    <w:rsid w:val="00270B27"/>
    <w:rsid w:val="00271A32"/>
    <w:rsid w:val="00273B38"/>
    <w:rsid w:val="0028038E"/>
    <w:rsid w:val="00280AA3"/>
    <w:rsid w:val="00280FB3"/>
    <w:rsid w:val="00281803"/>
    <w:rsid w:val="00285231"/>
    <w:rsid w:val="00287BA4"/>
    <w:rsid w:val="00287D81"/>
    <w:rsid w:val="0029178B"/>
    <w:rsid w:val="00291B40"/>
    <w:rsid w:val="00292D1E"/>
    <w:rsid w:val="002A286E"/>
    <w:rsid w:val="002A390F"/>
    <w:rsid w:val="002A478F"/>
    <w:rsid w:val="002A6626"/>
    <w:rsid w:val="002B4008"/>
    <w:rsid w:val="002B4766"/>
    <w:rsid w:val="002C0C2B"/>
    <w:rsid w:val="002C0FA5"/>
    <w:rsid w:val="002C7C8E"/>
    <w:rsid w:val="002D0E8E"/>
    <w:rsid w:val="002D7767"/>
    <w:rsid w:val="002E7DDE"/>
    <w:rsid w:val="002F658B"/>
    <w:rsid w:val="00301189"/>
    <w:rsid w:val="003024A0"/>
    <w:rsid w:val="003028AA"/>
    <w:rsid w:val="00310609"/>
    <w:rsid w:val="003133E9"/>
    <w:rsid w:val="003226FB"/>
    <w:rsid w:val="00322BD9"/>
    <w:rsid w:val="00323E09"/>
    <w:rsid w:val="003268C5"/>
    <w:rsid w:val="00331FA8"/>
    <w:rsid w:val="00333932"/>
    <w:rsid w:val="003345AE"/>
    <w:rsid w:val="00342143"/>
    <w:rsid w:val="00344001"/>
    <w:rsid w:val="00346421"/>
    <w:rsid w:val="00351694"/>
    <w:rsid w:val="003518AA"/>
    <w:rsid w:val="003519C6"/>
    <w:rsid w:val="00351D66"/>
    <w:rsid w:val="00352165"/>
    <w:rsid w:val="0035307E"/>
    <w:rsid w:val="00353182"/>
    <w:rsid w:val="00353AAF"/>
    <w:rsid w:val="003548DC"/>
    <w:rsid w:val="00355DF0"/>
    <w:rsid w:val="003565D9"/>
    <w:rsid w:val="003568DE"/>
    <w:rsid w:val="00357194"/>
    <w:rsid w:val="003602E1"/>
    <w:rsid w:val="003615E0"/>
    <w:rsid w:val="0036683E"/>
    <w:rsid w:val="0037026F"/>
    <w:rsid w:val="003703CB"/>
    <w:rsid w:val="00371131"/>
    <w:rsid w:val="0037121A"/>
    <w:rsid w:val="00371240"/>
    <w:rsid w:val="00371A1C"/>
    <w:rsid w:val="00372932"/>
    <w:rsid w:val="00374731"/>
    <w:rsid w:val="00374877"/>
    <w:rsid w:val="00376E59"/>
    <w:rsid w:val="003771FF"/>
    <w:rsid w:val="00381267"/>
    <w:rsid w:val="003919F9"/>
    <w:rsid w:val="00393A0D"/>
    <w:rsid w:val="0039497F"/>
    <w:rsid w:val="003977D8"/>
    <w:rsid w:val="003A084B"/>
    <w:rsid w:val="003A2850"/>
    <w:rsid w:val="003B08D7"/>
    <w:rsid w:val="003C1570"/>
    <w:rsid w:val="003C38B5"/>
    <w:rsid w:val="003C5D99"/>
    <w:rsid w:val="003D15C0"/>
    <w:rsid w:val="003D2050"/>
    <w:rsid w:val="003D3B04"/>
    <w:rsid w:val="003D530B"/>
    <w:rsid w:val="003D5E1E"/>
    <w:rsid w:val="003E2F59"/>
    <w:rsid w:val="003E64C4"/>
    <w:rsid w:val="003F0789"/>
    <w:rsid w:val="003F61EB"/>
    <w:rsid w:val="003F77E5"/>
    <w:rsid w:val="00401882"/>
    <w:rsid w:val="00405CFE"/>
    <w:rsid w:val="00407AFB"/>
    <w:rsid w:val="004100C8"/>
    <w:rsid w:val="00411DBD"/>
    <w:rsid w:val="00412066"/>
    <w:rsid w:val="00412ACE"/>
    <w:rsid w:val="00416111"/>
    <w:rsid w:val="0041694A"/>
    <w:rsid w:val="004218A0"/>
    <w:rsid w:val="00422688"/>
    <w:rsid w:val="00422B5F"/>
    <w:rsid w:val="0042414C"/>
    <w:rsid w:val="00431249"/>
    <w:rsid w:val="00434C19"/>
    <w:rsid w:val="004417C1"/>
    <w:rsid w:val="004445D5"/>
    <w:rsid w:val="00445388"/>
    <w:rsid w:val="004476A9"/>
    <w:rsid w:val="00450810"/>
    <w:rsid w:val="004546FE"/>
    <w:rsid w:val="00461F54"/>
    <w:rsid w:val="00464B60"/>
    <w:rsid w:val="004663EC"/>
    <w:rsid w:val="00475C2A"/>
    <w:rsid w:val="00477144"/>
    <w:rsid w:val="00482397"/>
    <w:rsid w:val="00482CB9"/>
    <w:rsid w:val="00485794"/>
    <w:rsid w:val="00485B11"/>
    <w:rsid w:val="00486AC8"/>
    <w:rsid w:val="004904F1"/>
    <w:rsid w:val="00490D83"/>
    <w:rsid w:val="00490E5D"/>
    <w:rsid w:val="00491380"/>
    <w:rsid w:val="00492BF6"/>
    <w:rsid w:val="0049459F"/>
    <w:rsid w:val="004956FF"/>
    <w:rsid w:val="00497199"/>
    <w:rsid w:val="004A0126"/>
    <w:rsid w:val="004A292E"/>
    <w:rsid w:val="004A38DD"/>
    <w:rsid w:val="004A67C8"/>
    <w:rsid w:val="004B16F9"/>
    <w:rsid w:val="004B43AE"/>
    <w:rsid w:val="004B77C9"/>
    <w:rsid w:val="004C30ED"/>
    <w:rsid w:val="004D5675"/>
    <w:rsid w:val="004E01E4"/>
    <w:rsid w:val="004E1C9C"/>
    <w:rsid w:val="004E4C1D"/>
    <w:rsid w:val="004F3586"/>
    <w:rsid w:val="004F52A5"/>
    <w:rsid w:val="00502461"/>
    <w:rsid w:val="005050E8"/>
    <w:rsid w:val="00506E88"/>
    <w:rsid w:val="00523639"/>
    <w:rsid w:val="00531FE5"/>
    <w:rsid w:val="00532335"/>
    <w:rsid w:val="005354FD"/>
    <w:rsid w:val="00535A59"/>
    <w:rsid w:val="005426DE"/>
    <w:rsid w:val="0056313E"/>
    <w:rsid w:val="0056489A"/>
    <w:rsid w:val="00573705"/>
    <w:rsid w:val="00576AD4"/>
    <w:rsid w:val="005831C7"/>
    <w:rsid w:val="00583C39"/>
    <w:rsid w:val="00587B38"/>
    <w:rsid w:val="00587F28"/>
    <w:rsid w:val="005909CF"/>
    <w:rsid w:val="00590DAD"/>
    <w:rsid w:val="0059116E"/>
    <w:rsid w:val="00591E71"/>
    <w:rsid w:val="005946CF"/>
    <w:rsid w:val="005A0D41"/>
    <w:rsid w:val="005A1951"/>
    <w:rsid w:val="005A2C7D"/>
    <w:rsid w:val="005A45DD"/>
    <w:rsid w:val="005A4B47"/>
    <w:rsid w:val="005A7405"/>
    <w:rsid w:val="005B28C0"/>
    <w:rsid w:val="005B6662"/>
    <w:rsid w:val="005B6701"/>
    <w:rsid w:val="005B7C3F"/>
    <w:rsid w:val="005C174F"/>
    <w:rsid w:val="005D09F1"/>
    <w:rsid w:val="005D3127"/>
    <w:rsid w:val="005D4164"/>
    <w:rsid w:val="005D44E1"/>
    <w:rsid w:val="005D46C2"/>
    <w:rsid w:val="005E200F"/>
    <w:rsid w:val="005E2138"/>
    <w:rsid w:val="005E5169"/>
    <w:rsid w:val="005F3481"/>
    <w:rsid w:val="005F4C5C"/>
    <w:rsid w:val="005F6B0C"/>
    <w:rsid w:val="006050F4"/>
    <w:rsid w:val="00607BF1"/>
    <w:rsid w:val="0061036A"/>
    <w:rsid w:val="00616292"/>
    <w:rsid w:val="00621D7F"/>
    <w:rsid w:val="00621DFC"/>
    <w:rsid w:val="00623F20"/>
    <w:rsid w:val="00625C15"/>
    <w:rsid w:val="00630D4D"/>
    <w:rsid w:val="006322C8"/>
    <w:rsid w:val="00632A74"/>
    <w:rsid w:val="006337B2"/>
    <w:rsid w:val="00636F7C"/>
    <w:rsid w:val="00641D7B"/>
    <w:rsid w:val="006504C7"/>
    <w:rsid w:val="0066167A"/>
    <w:rsid w:val="00661EBF"/>
    <w:rsid w:val="00665023"/>
    <w:rsid w:val="00675BC8"/>
    <w:rsid w:val="00676C2D"/>
    <w:rsid w:val="006877C0"/>
    <w:rsid w:val="00691800"/>
    <w:rsid w:val="0069518A"/>
    <w:rsid w:val="0069741B"/>
    <w:rsid w:val="006A4655"/>
    <w:rsid w:val="006A4704"/>
    <w:rsid w:val="006B0CF1"/>
    <w:rsid w:val="006B2B3C"/>
    <w:rsid w:val="006C1D81"/>
    <w:rsid w:val="006C6EED"/>
    <w:rsid w:val="006C7038"/>
    <w:rsid w:val="006C7C14"/>
    <w:rsid w:val="006D2455"/>
    <w:rsid w:val="006D7ACC"/>
    <w:rsid w:val="006E0FFA"/>
    <w:rsid w:val="006E177F"/>
    <w:rsid w:val="006E73EF"/>
    <w:rsid w:val="006F0613"/>
    <w:rsid w:val="00700C86"/>
    <w:rsid w:val="00704DCC"/>
    <w:rsid w:val="00707B10"/>
    <w:rsid w:val="00707BE0"/>
    <w:rsid w:val="007119F3"/>
    <w:rsid w:val="00714D4D"/>
    <w:rsid w:val="00715BD1"/>
    <w:rsid w:val="00721197"/>
    <w:rsid w:val="0072192B"/>
    <w:rsid w:val="007222B6"/>
    <w:rsid w:val="00722BE7"/>
    <w:rsid w:val="00723B87"/>
    <w:rsid w:val="007262E3"/>
    <w:rsid w:val="00733B6D"/>
    <w:rsid w:val="00734316"/>
    <w:rsid w:val="0074069E"/>
    <w:rsid w:val="00743052"/>
    <w:rsid w:val="007442CE"/>
    <w:rsid w:val="0075371B"/>
    <w:rsid w:val="00757BDE"/>
    <w:rsid w:val="007604BB"/>
    <w:rsid w:val="0076310E"/>
    <w:rsid w:val="00765910"/>
    <w:rsid w:val="00771E96"/>
    <w:rsid w:val="00772DFC"/>
    <w:rsid w:val="00775986"/>
    <w:rsid w:val="00775DC1"/>
    <w:rsid w:val="00776B37"/>
    <w:rsid w:val="00785232"/>
    <w:rsid w:val="0079170F"/>
    <w:rsid w:val="007A21EB"/>
    <w:rsid w:val="007A2D09"/>
    <w:rsid w:val="007A439D"/>
    <w:rsid w:val="007B1A93"/>
    <w:rsid w:val="007C0018"/>
    <w:rsid w:val="007C09A7"/>
    <w:rsid w:val="007C1CDB"/>
    <w:rsid w:val="007C36C9"/>
    <w:rsid w:val="007D2E0E"/>
    <w:rsid w:val="007D6401"/>
    <w:rsid w:val="007E01E4"/>
    <w:rsid w:val="007E210F"/>
    <w:rsid w:val="007E58C5"/>
    <w:rsid w:val="007F4085"/>
    <w:rsid w:val="007F7107"/>
    <w:rsid w:val="00800D4C"/>
    <w:rsid w:val="0080142C"/>
    <w:rsid w:val="0080417A"/>
    <w:rsid w:val="0081030F"/>
    <w:rsid w:val="00810DD5"/>
    <w:rsid w:val="00816367"/>
    <w:rsid w:val="0082087D"/>
    <w:rsid w:val="0082454B"/>
    <w:rsid w:val="00827003"/>
    <w:rsid w:val="00827929"/>
    <w:rsid w:val="00831511"/>
    <w:rsid w:val="008328FB"/>
    <w:rsid w:val="00835771"/>
    <w:rsid w:val="00842933"/>
    <w:rsid w:val="00852E24"/>
    <w:rsid w:val="0086082C"/>
    <w:rsid w:val="00860C85"/>
    <w:rsid w:val="00862650"/>
    <w:rsid w:val="00864ADC"/>
    <w:rsid w:val="00876D47"/>
    <w:rsid w:val="00880153"/>
    <w:rsid w:val="00880F97"/>
    <w:rsid w:val="0088133A"/>
    <w:rsid w:val="00882899"/>
    <w:rsid w:val="00885BB0"/>
    <w:rsid w:val="0088688A"/>
    <w:rsid w:val="0089285E"/>
    <w:rsid w:val="0089436C"/>
    <w:rsid w:val="008A4D38"/>
    <w:rsid w:val="008A6F90"/>
    <w:rsid w:val="008B203B"/>
    <w:rsid w:val="008C2AE7"/>
    <w:rsid w:val="008C2B5F"/>
    <w:rsid w:val="008C2E3D"/>
    <w:rsid w:val="008C5379"/>
    <w:rsid w:val="008C5635"/>
    <w:rsid w:val="008D0CB9"/>
    <w:rsid w:val="008D0F22"/>
    <w:rsid w:val="008D365C"/>
    <w:rsid w:val="008D743B"/>
    <w:rsid w:val="008E0ABE"/>
    <w:rsid w:val="008E1073"/>
    <w:rsid w:val="008E24C8"/>
    <w:rsid w:val="008E5E58"/>
    <w:rsid w:val="008F24E1"/>
    <w:rsid w:val="008F50FE"/>
    <w:rsid w:val="00900FAA"/>
    <w:rsid w:val="00902762"/>
    <w:rsid w:val="009030BF"/>
    <w:rsid w:val="00903322"/>
    <w:rsid w:val="00904D33"/>
    <w:rsid w:val="0091032F"/>
    <w:rsid w:val="0091304B"/>
    <w:rsid w:val="00914368"/>
    <w:rsid w:val="00914EEF"/>
    <w:rsid w:val="00916A84"/>
    <w:rsid w:val="00923580"/>
    <w:rsid w:val="00927436"/>
    <w:rsid w:val="00931076"/>
    <w:rsid w:val="0093198C"/>
    <w:rsid w:val="009330DF"/>
    <w:rsid w:val="009339C4"/>
    <w:rsid w:val="009345D9"/>
    <w:rsid w:val="009345F5"/>
    <w:rsid w:val="0093496A"/>
    <w:rsid w:val="00934B15"/>
    <w:rsid w:val="00942B62"/>
    <w:rsid w:val="00943779"/>
    <w:rsid w:val="00947D41"/>
    <w:rsid w:val="00953F88"/>
    <w:rsid w:val="009552F0"/>
    <w:rsid w:val="009562F7"/>
    <w:rsid w:val="00956A0C"/>
    <w:rsid w:val="00956BD9"/>
    <w:rsid w:val="00962489"/>
    <w:rsid w:val="009677A8"/>
    <w:rsid w:val="009807AD"/>
    <w:rsid w:val="00990C2C"/>
    <w:rsid w:val="009932EB"/>
    <w:rsid w:val="009A0700"/>
    <w:rsid w:val="009A18E4"/>
    <w:rsid w:val="009A675C"/>
    <w:rsid w:val="009A7948"/>
    <w:rsid w:val="009B111A"/>
    <w:rsid w:val="009B1ECE"/>
    <w:rsid w:val="009B542C"/>
    <w:rsid w:val="009B5AA4"/>
    <w:rsid w:val="009C4295"/>
    <w:rsid w:val="009C61AF"/>
    <w:rsid w:val="009D08F4"/>
    <w:rsid w:val="009D279D"/>
    <w:rsid w:val="009D333E"/>
    <w:rsid w:val="009D376A"/>
    <w:rsid w:val="009D409D"/>
    <w:rsid w:val="009D519A"/>
    <w:rsid w:val="009E2C6A"/>
    <w:rsid w:val="009E4186"/>
    <w:rsid w:val="009E44A4"/>
    <w:rsid w:val="009F0D1B"/>
    <w:rsid w:val="009F41E6"/>
    <w:rsid w:val="009F5380"/>
    <w:rsid w:val="009F54BA"/>
    <w:rsid w:val="009F696D"/>
    <w:rsid w:val="009F6BC6"/>
    <w:rsid w:val="009F6DA5"/>
    <w:rsid w:val="00A02721"/>
    <w:rsid w:val="00A02C7C"/>
    <w:rsid w:val="00A12154"/>
    <w:rsid w:val="00A1471D"/>
    <w:rsid w:val="00A151B9"/>
    <w:rsid w:val="00A17328"/>
    <w:rsid w:val="00A217EC"/>
    <w:rsid w:val="00A23A20"/>
    <w:rsid w:val="00A24E69"/>
    <w:rsid w:val="00A268B9"/>
    <w:rsid w:val="00A2703A"/>
    <w:rsid w:val="00A33DFF"/>
    <w:rsid w:val="00A35115"/>
    <w:rsid w:val="00A36D9A"/>
    <w:rsid w:val="00A40B8E"/>
    <w:rsid w:val="00A52210"/>
    <w:rsid w:val="00A5394A"/>
    <w:rsid w:val="00A554AB"/>
    <w:rsid w:val="00A57062"/>
    <w:rsid w:val="00A61FBF"/>
    <w:rsid w:val="00A7115F"/>
    <w:rsid w:val="00A72677"/>
    <w:rsid w:val="00A727A0"/>
    <w:rsid w:val="00A85DA1"/>
    <w:rsid w:val="00A9231C"/>
    <w:rsid w:val="00A92B53"/>
    <w:rsid w:val="00A94FA6"/>
    <w:rsid w:val="00AA49A0"/>
    <w:rsid w:val="00AA6710"/>
    <w:rsid w:val="00AA6848"/>
    <w:rsid w:val="00AA6D99"/>
    <w:rsid w:val="00AA6DFD"/>
    <w:rsid w:val="00AB0681"/>
    <w:rsid w:val="00AB1DAE"/>
    <w:rsid w:val="00AC2983"/>
    <w:rsid w:val="00AD520B"/>
    <w:rsid w:val="00AE07E6"/>
    <w:rsid w:val="00B0085D"/>
    <w:rsid w:val="00B01FF9"/>
    <w:rsid w:val="00B02FC4"/>
    <w:rsid w:val="00B0351E"/>
    <w:rsid w:val="00B04947"/>
    <w:rsid w:val="00B1624E"/>
    <w:rsid w:val="00B20091"/>
    <w:rsid w:val="00B27B21"/>
    <w:rsid w:val="00B31ED3"/>
    <w:rsid w:val="00B4104A"/>
    <w:rsid w:val="00B425C3"/>
    <w:rsid w:val="00B440AD"/>
    <w:rsid w:val="00B53A33"/>
    <w:rsid w:val="00B53E7E"/>
    <w:rsid w:val="00B61700"/>
    <w:rsid w:val="00B61C2C"/>
    <w:rsid w:val="00B6342E"/>
    <w:rsid w:val="00B64295"/>
    <w:rsid w:val="00B64F45"/>
    <w:rsid w:val="00B65CF9"/>
    <w:rsid w:val="00B7113F"/>
    <w:rsid w:val="00B8584C"/>
    <w:rsid w:val="00B86CB4"/>
    <w:rsid w:val="00B87DE1"/>
    <w:rsid w:val="00B93513"/>
    <w:rsid w:val="00B949D4"/>
    <w:rsid w:val="00B95C6D"/>
    <w:rsid w:val="00BA73B6"/>
    <w:rsid w:val="00BA7E27"/>
    <w:rsid w:val="00BB2603"/>
    <w:rsid w:val="00BB4FCD"/>
    <w:rsid w:val="00BB71A6"/>
    <w:rsid w:val="00BD0D9E"/>
    <w:rsid w:val="00BD13EA"/>
    <w:rsid w:val="00BE3808"/>
    <w:rsid w:val="00BE7E13"/>
    <w:rsid w:val="00BF0BB5"/>
    <w:rsid w:val="00BF18F1"/>
    <w:rsid w:val="00BF1D01"/>
    <w:rsid w:val="00BF3091"/>
    <w:rsid w:val="00BF389C"/>
    <w:rsid w:val="00BF6C9C"/>
    <w:rsid w:val="00C05B06"/>
    <w:rsid w:val="00C062E9"/>
    <w:rsid w:val="00C073E1"/>
    <w:rsid w:val="00C07B64"/>
    <w:rsid w:val="00C13721"/>
    <w:rsid w:val="00C14FE4"/>
    <w:rsid w:val="00C16B02"/>
    <w:rsid w:val="00C17FB7"/>
    <w:rsid w:val="00C21B60"/>
    <w:rsid w:val="00C3066D"/>
    <w:rsid w:val="00C34193"/>
    <w:rsid w:val="00C35A4D"/>
    <w:rsid w:val="00C40DBF"/>
    <w:rsid w:val="00C42AD5"/>
    <w:rsid w:val="00C543F4"/>
    <w:rsid w:val="00C6291C"/>
    <w:rsid w:val="00C633CB"/>
    <w:rsid w:val="00C63BA9"/>
    <w:rsid w:val="00C63EDC"/>
    <w:rsid w:val="00C65D2B"/>
    <w:rsid w:val="00C662FF"/>
    <w:rsid w:val="00C66D3D"/>
    <w:rsid w:val="00C67AE1"/>
    <w:rsid w:val="00C70324"/>
    <w:rsid w:val="00C7116B"/>
    <w:rsid w:val="00C72769"/>
    <w:rsid w:val="00C7471F"/>
    <w:rsid w:val="00C81D4A"/>
    <w:rsid w:val="00C85A52"/>
    <w:rsid w:val="00C8762C"/>
    <w:rsid w:val="00C9019E"/>
    <w:rsid w:val="00C93E29"/>
    <w:rsid w:val="00C9588D"/>
    <w:rsid w:val="00C962E9"/>
    <w:rsid w:val="00CA00F9"/>
    <w:rsid w:val="00CA1919"/>
    <w:rsid w:val="00CA2961"/>
    <w:rsid w:val="00CA3DF2"/>
    <w:rsid w:val="00CA745F"/>
    <w:rsid w:val="00CA7596"/>
    <w:rsid w:val="00CB434C"/>
    <w:rsid w:val="00CB50D7"/>
    <w:rsid w:val="00CB7177"/>
    <w:rsid w:val="00CC1998"/>
    <w:rsid w:val="00CC34EF"/>
    <w:rsid w:val="00CC4946"/>
    <w:rsid w:val="00CD02F3"/>
    <w:rsid w:val="00CE01A1"/>
    <w:rsid w:val="00CF0B63"/>
    <w:rsid w:val="00CF3F93"/>
    <w:rsid w:val="00D06E46"/>
    <w:rsid w:val="00D103EE"/>
    <w:rsid w:val="00D122C9"/>
    <w:rsid w:val="00D13483"/>
    <w:rsid w:val="00D16EE4"/>
    <w:rsid w:val="00D16FB3"/>
    <w:rsid w:val="00D171E7"/>
    <w:rsid w:val="00D270A4"/>
    <w:rsid w:val="00D31FE9"/>
    <w:rsid w:val="00D322D9"/>
    <w:rsid w:val="00D336E8"/>
    <w:rsid w:val="00D34E1B"/>
    <w:rsid w:val="00D376BA"/>
    <w:rsid w:val="00D4112D"/>
    <w:rsid w:val="00D42157"/>
    <w:rsid w:val="00D45634"/>
    <w:rsid w:val="00D45A2A"/>
    <w:rsid w:val="00D527E8"/>
    <w:rsid w:val="00D5568A"/>
    <w:rsid w:val="00D571F0"/>
    <w:rsid w:val="00D57558"/>
    <w:rsid w:val="00D63D73"/>
    <w:rsid w:val="00D64452"/>
    <w:rsid w:val="00D6577A"/>
    <w:rsid w:val="00D66BAC"/>
    <w:rsid w:val="00D66E1E"/>
    <w:rsid w:val="00D70AD8"/>
    <w:rsid w:val="00D70E28"/>
    <w:rsid w:val="00D72B4D"/>
    <w:rsid w:val="00D75722"/>
    <w:rsid w:val="00D75A24"/>
    <w:rsid w:val="00D765A8"/>
    <w:rsid w:val="00D77A45"/>
    <w:rsid w:val="00D80CF5"/>
    <w:rsid w:val="00D84457"/>
    <w:rsid w:val="00D8576B"/>
    <w:rsid w:val="00D96A29"/>
    <w:rsid w:val="00D97630"/>
    <w:rsid w:val="00D97BDD"/>
    <w:rsid w:val="00DA0CD2"/>
    <w:rsid w:val="00DA5BBA"/>
    <w:rsid w:val="00DB26D2"/>
    <w:rsid w:val="00DB67C9"/>
    <w:rsid w:val="00DB776A"/>
    <w:rsid w:val="00DC0C95"/>
    <w:rsid w:val="00DC75E3"/>
    <w:rsid w:val="00DD4A36"/>
    <w:rsid w:val="00DD6580"/>
    <w:rsid w:val="00DD7B49"/>
    <w:rsid w:val="00DE174F"/>
    <w:rsid w:val="00DE28B3"/>
    <w:rsid w:val="00DE4726"/>
    <w:rsid w:val="00DF0215"/>
    <w:rsid w:val="00DF70FF"/>
    <w:rsid w:val="00E0363B"/>
    <w:rsid w:val="00E0484A"/>
    <w:rsid w:val="00E04885"/>
    <w:rsid w:val="00E07B0F"/>
    <w:rsid w:val="00E17C72"/>
    <w:rsid w:val="00E21FC6"/>
    <w:rsid w:val="00E22A42"/>
    <w:rsid w:val="00E364D1"/>
    <w:rsid w:val="00E421A3"/>
    <w:rsid w:val="00E431A9"/>
    <w:rsid w:val="00E441AE"/>
    <w:rsid w:val="00E568F3"/>
    <w:rsid w:val="00E63E73"/>
    <w:rsid w:val="00E669E2"/>
    <w:rsid w:val="00E72082"/>
    <w:rsid w:val="00E750D9"/>
    <w:rsid w:val="00E76135"/>
    <w:rsid w:val="00E815A0"/>
    <w:rsid w:val="00E82F4F"/>
    <w:rsid w:val="00E96FF8"/>
    <w:rsid w:val="00EA484B"/>
    <w:rsid w:val="00EA4F63"/>
    <w:rsid w:val="00EB50D0"/>
    <w:rsid w:val="00EB77CC"/>
    <w:rsid w:val="00EC0432"/>
    <w:rsid w:val="00EC2844"/>
    <w:rsid w:val="00EC2A85"/>
    <w:rsid w:val="00EC5500"/>
    <w:rsid w:val="00EC56EE"/>
    <w:rsid w:val="00ED73AE"/>
    <w:rsid w:val="00EE6319"/>
    <w:rsid w:val="00EF1DA7"/>
    <w:rsid w:val="00EF5CBE"/>
    <w:rsid w:val="00EF6C6C"/>
    <w:rsid w:val="00F056FC"/>
    <w:rsid w:val="00F10476"/>
    <w:rsid w:val="00F135D8"/>
    <w:rsid w:val="00F22391"/>
    <w:rsid w:val="00F31299"/>
    <w:rsid w:val="00F32BDD"/>
    <w:rsid w:val="00F3517A"/>
    <w:rsid w:val="00F3534A"/>
    <w:rsid w:val="00F36DB3"/>
    <w:rsid w:val="00F47F91"/>
    <w:rsid w:val="00F51609"/>
    <w:rsid w:val="00F64679"/>
    <w:rsid w:val="00F7280D"/>
    <w:rsid w:val="00F7572F"/>
    <w:rsid w:val="00F82740"/>
    <w:rsid w:val="00F85325"/>
    <w:rsid w:val="00F85A3F"/>
    <w:rsid w:val="00F8746D"/>
    <w:rsid w:val="00F93830"/>
    <w:rsid w:val="00F94683"/>
    <w:rsid w:val="00F96B09"/>
    <w:rsid w:val="00FA5355"/>
    <w:rsid w:val="00FB57A6"/>
    <w:rsid w:val="00FC1E1A"/>
    <w:rsid w:val="00FC678D"/>
    <w:rsid w:val="00FC7C26"/>
    <w:rsid w:val="00FD1710"/>
    <w:rsid w:val="00FD22B1"/>
    <w:rsid w:val="00FE09EA"/>
    <w:rsid w:val="00FE0CD0"/>
    <w:rsid w:val="00FE3578"/>
    <w:rsid w:val="00FF1C15"/>
    <w:rsid w:val="00FF409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C0432"/>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3D2050"/>
    <w:pPr>
      <w:spacing w:before="560" w:line="320" w:lineRule="exact"/>
      <w:ind w:left="0" w:firstLine="0"/>
      <w:outlineLvl w:val="2"/>
    </w:pPr>
    <w:rPr>
      <w:sz w:val="26"/>
      <w:szCs w:val="20"/>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3D2050"/>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link w:val="BoxSourceChar"/>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3D2050"/>
    <w:pPr>
      <w:numPr>
        <w:numId w:val="25"/>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3D2050"/>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3D2050"/>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paragraph" w:customStyle="1" w:styleId="D">
    <w:name w:val="D"/>
    <w:basedOn w:val="BodyText"/>
    <w:rsid w:val="00270B27"/>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E07B0F"/>
    <w:rPr>
      <w:sz w:val="52"/>
      <w:szCs w:val="24"/>
    </w:rPr>
  </w:style>
  <w:style w:type="character" w:customStyle="1" w:styleId="BoxListNumberChar">
    <w:name w:val="Box List Number Char"/>
    <w:basedOn w:val="BoxChar"/>
    <w:link w:val="BoxListNumber"/>
    <w:rsid w:val="00AB1DAE"/>
    <w:rPr>
      <w:rFonts w:ascii="Arial" w:hAnsi="Arial"/>
      <w:sz w:val="22"/>
    </w:rPr>
  </w:style>
  <w:style w:type="character" w:customStyle="1" w:styleId="BoxListNumber2Char">
    <w:name w:val="Box List Number 2 Char"/>
    <w:basedOn w:val="BoxListNumberChar"/>
    <w:link w:val="BoxListNumber2"/>
    <w:rsid w:val="00AB1DAE"/>
    <w:rPr>
      <w:rFonts w:ascii="Arial" w:hAnsi="Arial"/>
      <w:sz w:val="22"/>
    </w:rPr>
  </w:style>
  <w:style w:type="character" w:customStyle="1" w:styleId="BoxSourceChar">
    <w:name w:val="Box Source Char"/>
    <w:basedOn w:val="SourceChar"/>
    <w:link w:val="BoxSource"/>
    <w:rsid w:val="00AB1DAE"/>
    <w:rPr>
      <w:rFonts w:ascii="Arial" w:hAnsi="Arial"/>
      <w:sz w:val="18"/>
    </w:rPr>
  </w:style>
  <w:style w:type="paragraph" w:customStyle="1" w:styleId="Bullet">
    <w:name w:val="Bullet"/>
    <w:basedOn w:val="Normal"/>
    <w:link w:val="BulletChar"/>
    <w:rsid w:val="00AB1DAE"/>
    <w:pPr>
      <w:tabs>
        <w:tab w:val="num" w:pos="567"/>
      </w:tabs>
      <w:spacing w:after="240" w:line="260" w:lineRule="exact"/>
      <w:ind w:left="567" w:hanging="283"/>
      <w:jc w:val="both"/>
    </w:pPr>
    <w:rPr>
      <w:rFonts w:ascii="Corbel" w:hAnsi="Corbel"/>
      <w:color w:val="000000"/>
      <w:sz w:val="23"/>
      <w:szCs w:val="20"/>
    </w:rPr>
  </w:style>
  <w:style w:type="character" w:customStyle="1" w:styleId="BulletChar">
    <w:name w:val="Bullet Char"/>
    <w:link w:val="Bullet"/>
    <w:locked/>
    <w:rsid w:val="00AB1DAE"/>
    <w:rPr>
      <w:rFonts w:ascii="Corbel" w:hAnsi="Corbel"/>
      <w:color w:val="000000"/>
      <w:sz w:val="23"/>
    </w:rPr>
  </w:style>
  <w:style w:type="paragraph" w:customStyle="1" w:styleId="Dash">
    <w:name w:val="Dash"/>
    <w:basedOn w:val="Normal"/>
    <w:rsid w:val="00AB1DAE"/>
    <w:pPr>
      <w:numPr>
        <w:ilvl w:val="1"/>
        <w:numId w:val="15"/>
      </w:numPr>
      <w:spacing w:after="240" w:line="260" w:lineRule="exact"/>
      <w:jc w:val="both"/>
    </w:pPr>
    <w:rPr>
      <w:rFonts w:ascii="Corbel" w:hAnsi="Corbel"/>
      <w:color w:val="000000"/>
      <w:sz w:val="23"/>
      <w:szCs w:val="20"/>
    </w:rPr>
  </w:style>
  <w:style w:type="paragraph" w:customStyle="1" w:styleId="DoubleDot">
    <w:name w:val="Double Dot"/>
    <w:basedOn w:val="Normal"/>
    <w:rsid w:val="00AB1DAE"/>
    <w:pPr>
      <w:numPr>
        <w:ilvl w:val="2"/>
        <w:numId w:val="15"/>
      </w:numPr>
      <w:spacing w:after="240" w:line="260" w:lineRule="exact"/>
      <w:jc w:val="both"/>
    </w:pPr>
    <w:rPr>
      <w:rFonts w:ascii="Corbel" w:hAnsi="Corbel"/>
      <w:color w:val="000000"/>
      <w:sz w:val="23"/>
      <w:szCs w:val="20"/>
    </w:rPr>
  </w:style>
  <w:style w:type="paragraph" w:customStyle="1" w:styleId="AlphaParagraph">
    <w:name w:val="Alpha Paragraph"/>
    <w:basedOn w:val="Normal"/>
    <w:rsid w:val="00AB1DAE"/>
    <w:pPr>
      <w:tabs>
        <w:tab w:val="num" w:pos="318"/>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AB1DAE"/>
    <w:rPr>
      <w:rFonts w:ascii="Verdana" w:hAnsi="Verdana" w:cs="Times New Roman"/>
      <w:b/>
      <w:bCs/>
      <w:color w:val="663366"/>
      <w:sz w:val="36"/>
      <w:szCs w:val="36"/>
      <w:u w:val="none"/>
      <w:effect w:val="none"/>
    </w:rPr>
  </w:style>
  <w:style w:type="paragraph" w:styleId="DocumentMap">
    <w:name w:val="Document Map"/>
    <w:basedOn w:val="Normal"/>
    <w:link w:val="DocumentMapChar"/>
    <w:rsid w:val="00AB1DA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B1DAE"/>
    <w:rPr>
      <w:rFonts w:ascii="Tahoma" w:hAnsi="Tahoma" w:cs="Tahoma"/>
      <w:shd w:val="clear" w:color="auto" w:fill="000080"/>
    </w:rPr>
  </w:style>
  <w:style w:type="paragraph" w:customStyle="1" w:styleId="indenta">
    <w:name w:val="indent(a)"/>
    <w:aliases w:val="a"/>
    <w:basedOn w:val="Normal"/>
    <w:rsid w:val="00AB1DAE"/>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AB1DAE"/>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AB1DAE"/>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AB1DAE"/>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AB1DAE"/>
    <w:rPr>
      <w:rFonts w:ascii="Book Antiqua" w:hAnsi="Book Antiqua"/>
      <w:color w:val="000000"/>
      <w:sz w:val="22"/>
      <w:lang w:eastAsia="en-US"/>
    </w:rPr>
  </w:style>
  <w:style w:type="paragraph" w:customStyle="1" w:styleId="Bullet1">
    <w:name w:val="Bullet 1"/>
    <w:basedOn w:val="Normal"/>
    <w:link w:val="Bullet1Char"/>
    <w:rsid w:val="00AB1DAE"/>
    <w:pPr>
      <w:spacing w:before="40" w:after="40" w:line="260" w:lineRule="atLeast"/>
      <w:ind w:left="1287" w:hanging="360"/>
    </w:pPr>
    <w:rPr>
      <w:rFonts w:ascii="Book Antiqua" w:hAnsi="Book Antiqua"/>
      <w:color w:val="000000"/>
      <w:sz w:val="22"/>
      <w:szCs w:val="20"/>
      <w:lang w:eastAsia="en-US"/>
    </w:rPr>
  </w:style>
  <w:style w:type="character" w:customStyle="1" w:styleId="Bullet1Char">
    <w:name w:val="Bullet 1 Char"/>
    <w:link w:val="Bullet1"/>
    <w:locked/>
    <w:rsid w:val="00AB1DAE"/>
    <w:rPr>
      <w:rFonts w:ascii="Book Antiqua" w:hAnsi="Book Antiqua"/>
      <w:color w:val="000000"/>
      <w:sz w:val="22"/>
      <w:lang w:eastAsia="en-US"/>
    </w:rPr>
  </w:style>
  <w:style w:type="paragraph" w:customStyle="1" w:styleId="TableBullet2">
    <w:name w:val="Table Bullet 2"/>
    <w:basedOn w:val="TableBullet"/>
    <w:rsid w:val="00AB1DAE"/>
    <w:pPr>
      <w:numPr>
        <w:numId w:val="0"/>
      </w:numPr>
      <w:tabs>
        <w:tab w:val="num" w:pos="340"/>
      </w:tabs>
      <w:ind w:left="340" w:hanging="340"/>
    </w:pPr>
  </w:style>
  <w:style w:type="character" w:customStyle="1" w:styleId="CaptionChar">
    <w:name w:val="Caption Char"/>
    <w:basedOn w:val="DefaultParagraphFont"/>
    <w:link w:val="Caption"/>
    <w:rsid w:val="00AB1DAE"/>
    <w:rPr>
      <w:rFonts w:ascii="Arial" w:hAnsi="Arial"/>
      <w:b/>
      <w:sz w:val="26"/>
      <w:szCs w:val="24"/>
    </w:rPr>
  </w:style>
  <w:style w:type="character" w:customStyle="1" w:styleId="TableTitleChar">
    <w:name w:val="Table Title Char"/>
    <w:basedOn w:val="CaptionChar"/>
    <w:link w:val="TableTitle"/>
    <w:rsid w:val="00AB1DAE"/>
    <w:rPr>
      <w:rFonts w:ascii="Arial" w:hAnsi="Arial"/>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EC0432"/>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3D2050"/>
    <w:pPr>
      <w:spacing w:before="560" w:line="320" w:lineRule="exact"/>
      <w:ind w:left="0" w:firstLine="0"/>
      <w:outlineLvl w:val="2"/>
    </w:pPr>
    <w:rPr>
      <w:sz w:val="26"/>
      <w:szCs w:val="20"/>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3D2050"/>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link w:val="BoxSourceChar"/>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3D2050"/>
    <w:pPr>
      <w:numPr>
        <w:numId w:val="25"/>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3D2050"/>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3D2050"/>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paragraph" w:customStyle="1" w:styleId="D">
    <w:name w:val="D"/>
    <w:basedOn w:val="BodyText"/>
    <w:rsid w:val="00270B27"/>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E07B0F"/>
    <w:rPr>
      <w:sz w:val="52"/>
      <w:szCs w:val="24"/>
    </w:rPr>
  </w:style>
  <w:style w:type="character" w:customStyle="1" w:styleId="BoxListNumberChar">
    <w:name w:val="Box List Number Char"/>
    <w:basedOn w:val="BoxChar"/>
    <w:link w:val="BoxListNumber"/>
    <w:rsid w:val="00AB1DAE"/>
    <w:rPr>
      <w:rFonts w:ascii="Arial" w:hAnsi="Arial"/>
      <w:sz w:val="22"/>
    </w:rPr>
  </w:style>
  <w:style w:type="character" w:customStyle="1" w:styleId="BoxListNumber2Char">
    <w:name w:val="Box List Number 2 Char"/>
    <w:basedOn w:val="BoxListNumberChar"/>
    <w:link w:val="BoxListNumber2"/>
    <w:rsid w:val="00AB1DAE"/>
    <w:rPr>
      <w:rFonts w:ascii="Arial" w:hAnsi="Arial"/>
      <w:sz w:val="22"/>
    </w:rPr>
  </w:style>
  <w:style w:type="character" w:customStyle="1" w:styleId="BoxSourceChar">
    <w:name w:val="Box Source Char"/>
    <w:basedOn w:val="SourceChar"/>
    <w:link w:val="BoxSource"/>
    <w:rsid w:val="00AB1DAE"/>
    <w:rPr>
      <w:rFonts w:ascii="Arial" w:hAnsi="Arial"/>
      <w:sz w:val="18"/>
    </w:rPr>
  </w:style>
  <w:style w:type="paragraph" w:customStyle="1" w:styleId="Bullet">
    <w:name w:val="Bullet"/>
    <w:basedOn w:val="Normal"/>
    <w:link w:val="BulletChar"/>
    <w:rsid w:val="00AB1DAE"/>
    <w:pPr>
      <w:tabs>
        <w:tab w:val="num" w:pos="567"/>
      </w:tabs>
      <w:spacing w:after="240" w:line="260" w:lineRule="exact"/>
      <w:ind w:left="567" w:hanging="283"/>
      <w:jc w:val="both"/>
    </w:pPr>
    <w:rPr>
      <w:rFonts w:ascii="Corbel" w:hAnsi="Corbel"/>
      <w:color w:val="000000"/>
      <w:sz w:val="23"/>
      <w:szCs w:val="20"/>
    </w:rPr>
  </w:style>
  <w:style w:type="character" w:customStyle="1" w:styleId="BulletChar">
    <w:name w:val="Bullet Char"/>
    <w:link w:val="Bullet"/>
    <w:locked/>
    <w:rsid w:val="00AB1DAE"/>
    <w:rPr>
      <w:rFonts w:ascii="Corbel" w:hAnsi="Corbel"/>
      <w:color w:val="000000"/>
      <w:sz w:val="23"/>
    </w:rPr>
  </w:style>
  <w:style w:type="paragraph" w:customStyle="1" w:styleId="Dash">
    <w:name w:val="Dash"/>
    <w:basedOn w:val="Normal"/>
    <w:rsid w:val="00AB1DAE"/>
    <w:pPr>
      <w:numPr>
        <w:ilvl w:val="1"/>
        <w:numId w:val="15"/>
      </w:numPr>
      <w:spacing w:after="240" w:line="260" w:lineRule="exact"/>
      <w:jc w:val="both"/>
    </w:pPr>
    <w:rPr>
      <w:rFonts w:ascii="Corbel" w:hAnsi="Corbel"/>
      <w:color w:val="000000"/>
      <w:sz w:val="23"/>
      <w:szCs w:val="20"/>
    </w:rPr>
  </w:style>
  <w:style w:type="paragraph" w:customStyle="1" w:styleId="DoubleDot">
    <w:name w:val="Double Dot"/>
    <w:basedOn w:val="Normal"/>
    <w:rsid w:val="00AB1DAE"/>
    <w:pPr>
      <w:numPr>
        <w:ilvl w:val="2"/>
        <w:numId w:val="15"/>
      </w:numPr>
      <w:spacing w:after="240" w:line="260" w:lineRule="exact"/>
      <w:jc w:val="both"/>
    </w:pPr>
    <w:rPr>
      <w:rFonts w:ascii="Corbel" w:hAnsi="Corbel"/>
      <w:color w:val="000000"/>
      <w:sz w:val="23"/>
      <w:szCs w:val="20"/>
    </w:rPr>
  </w:style>
  <w:style w:type="paragraph" w:customStyle="1" w:styleId="AlphaParagraph">
    <w:name w:val="Alpha Paragraph"/>
    <w:basedOn w:val="Normal"/>
    <w:rsid w:val="00AB1DAE"/>
    <w:pPr>
      <w:tabs>
        <w:tab w:val="num" w:pos="318"/>
        <w:tab w:val="num" w:pos="1134"/>
      </w:tabs>
      <w:spacing w:after="240" w:line="260" w:lineRule="exact"/>
      <w:ind w:left="1134" w:hanging="567"/>
      <w:jc w:val="both"/>
    </w:pPr>
    <w:rPr>
      <w:rFonts w:ascii="Corbel" w:hAnsi="Corbel"/>
      <w:color w:val="000000"/>
      <w:sz w:val="23"/>
      <w:szCs w:val="20"/>
    </w:rPr>
  </w:style>
  <w:style w:type="character" w:customStyle="1" w:styleId="doctitle1">
    <w:name w:val="doctitle1"/>
    <w:rsid w:val="00AB1DAE"/>
    <w:rPr>
      <w:rFonts w:ascii="Verdana" w:hAnsi="Verdana" w:cs="Times New Roman"/>
      <w:b/>
      <w:bCs/>
      <w:color w:val="663366"/>
      <w:sz w:val="36"/>
      <w:szCs w:val="36"/>
      <w:u w:val="none"/>
      <w:effect w:val="none"/>
    </w:rPr>
  </w:style>
  <w:style w:type="paragraph" w:styleId="DocumentMap">
    <w:name w:val="Document Map"/>
    <w:basedOn w:val="Normal"/>
    <w:link w:val="DocumentMapChar"/>
    <w:rsid w:val="00AB1DA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AB1DAE"/>
    <w:rPr>
      <w:rFonts w:ascii="Tahoma" w:hAnsi="Tahoma" w:cs="Tahoma"/>
      <w:shd w:val="clear" w:color="auto" w:fill="000080"/>
    </w:rPr>
  </w:style>
  <w:style w:type="paragraph" w:customStyle="1" w:styleId="indenta">
    <w:name w:val="indent(a)"/>
    <w:aliases w:val="a"/>
    <w:basedOn w:val="Normal"/>
    <w:rsid w:val="00AB1DAE"/>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AB1DAE"/>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AB1DAE"/>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AB1DAE"/>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AB1DAE"/>
    <w:rPr>
      <w:rFonts w:ascii="Book Antiqua" w:hAnsi="Book Antiqua"/>
      <w:color w:val="000000"/>
      <w:sz w:val="22"/>
      <w:lang w:eastAsia="en-US"/>
    </w:rPr>
  </w:style>
  <w:style w:type="paragraph" w:customStyle="1" w:styleId="Bullet1">
    <w:name w:val="Bullet 1"/>
    <w:basedOn w:val="Normal"/>
    <w:link w:val="Bullet1Char"/>
    <w:rsid w:val="00AB1DAE"/>
    <w:pPr>
      <w:spacing w:before="40" w:after="40" w:line="260" w:lineRule="atLeast"/>
      <w:ind w:left="1287" w:hanging="360"/>
    </w:pPr>
    <w:rPr>
      <w:rFonts w:ascii="Book Antiqua" w:hAnsi="Book Antiqua"/>
      <w:color w:val="000000"/>
      <w:sz w:val="22"/>
      <w:szCs w:val="20"/>
      <w:lang w:eastAsia="en-US"/>
    </w:rPr>
  </w:style>
  <w:style w:type="character" w:customStyle="1" w:styleId="Bullet1Char">
    <w:name w:val="Bullet 1 Char"/>
    <w:link w:val="Bullet1"/>
    <w:locked/>
    <w:rsid w:val="00AB1DAE"/>
    <w:rPr>
      <w:rFonts w:ascii="Book Antiqua" w:hAnsi="Book Antiqua"/>
      <w:color w:val="000000"/>
      <w:sz w:val="22"/>
      <w:lang w:eastAsia="en-US"/>
    </w:rPr>
  </w:style>
  <w:style w:type="paragraph" w:customStyle="1" w:styleId="TableBullet2">
    <w:name w:val="Table Bullet 2"/>
    <w:basedOn w:val="TableBullet"/>
    <w:rsid w:val="00AB1DAE"/>
    <w:pPr>
      <w:numPr>
        <w:numId w:val="0"/>
      </w:numPr>
      <w:tabs>
        <w:tab w:val="num" w:pos="340"/>
      </w:tabs>
      <w:ind w:left="340" w:hanging="340"/>
    </w:pPr>
  </w:style>
  <w:style w:type="character" w:customStyle="1" w:styleId="CaptionChar">
    <w:name w:val="Caption Char"/>
    <w:basedOn w:val="DefaultParagraphFont"/>
    <w:link w:val="Caption"/>
    <w:rsid w:val="00AB1DAE"/>
    <w:rPr>
      <w:rFonts w:ascii="Arial" w:hAnsi="Arial"/>
      <w:b/>
      <w:sz w:val="26"/>
      <w:szCs w:val="24"/>
    </w:rPr>
  </w:style>
  <w:style w:type="character" w:customStyle="1" w:styleId="TableTitleChar">
    <w:name w:val="Table Title Char"/>
    <w:basedOn w:val="CaptionChar"/>
    <w:link w:val="TableTitle"/>
    <w:rsid w:val="00AB1DAE"/>
    <w:rPr>
      <w:rFonts w:ascii="Arial"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264458787">
      <w:bodyDiv w:val="1"/>
      <w:marLeft w:val="0"/>
      <w:marRight w:val="0"/>
      <w:marTop w:val="0"/>
      <w:marBottom w:val="0"/>
      <w:divBdr>
        <w:top w:val="none" w:sz="0" w:space="0" w:color="auto"/>
        <w:left w:val="none" w:sz="0" w:space="0" w:color="auto"/>
        <w:bottom w:val="none" w:sz="0" w:space="0" w:color="auto"/>
        <w:right w:val="none" w:sz="0" w:space="0" w:color="auto"/>
      </w:divBdr>
    </w:div>
    <w:div w:id="269515613">
      <w:bodyDiv w:val="1"/>
      <w:marLeft w:val="0"/>
      <w:marRight w:val="0"/>
      <w:marTop w:val="0"/>
      <w:marBottom w:val="0"/>
      <w:divBdr>
        <w:top w:val="none" w:sz="0" w:space="0" w:color="auto"/>
        <w:left w:val="none" w:sz="0" w:space="0" w:color="auto"/>
        <w:bottom w:val="none" w:sz="0" w:space="0" w:color="auto"/>
        <w:right w:val="none" w:sz="0" w:space="0" w:color="auto"/>
      </w:divBdr>
    </w:div>
    <w:div w:id="680283300">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866330306">
      <w:bodyDiv w:val="1"/>
      <w:marLeft w:val="0"/>
      <w:marRight w:val="0"/>
      <w:marTop w:val="0"/>
      <w:marBottom w:val="0"/>
      <w:divBdr>
        <w:top w:val="none" w:sz="0" w:space="0" w:color="auto"/>
        <w:left w:val="none" w:sz="0" w:space="0" w:color="auto"/>
        <w:bottom w:val="none" w:sz="0" w:space="0" w:color="auto"/>
        <w:right w:val="none" w:sz="0" w:space="0" w:color="auto"/>
      </w:divBdr>
    </w:div>
    <w:div w:id="1003363648">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571117911">
      <w:bodyDiv w:val="1"/>
      <w:marLeft w:val="0"/>
      <w:marRight w:val="0"/>
      <w:marTop w:val="0"/>
      <w:marBottom w:val="0"/>
      <w:divBdr>
        <w:top w:val="none" w:sz="0" w:space="0" w:color="auto"/>
        <w:left w:val="none" w:sz="0" w:space="0" w:color="auto"/>
        <w:bottom w:val="none" w:sz="0" w:space="0" w:color="auto"/>
        <w:right w:val="none" w:sz="0" w:space="0" w:color="auto"/>
      </w:divBdr>
    </w:div>
    <w:div w:id="1602755878">
      <w:bodyDiv w:val="1"/>
      <w:marLeft w:val="0"/>
      <w:marRight w:val="0"/>
      <w:marTop w:val="0"/>
      <w:marBottom w:val="0"/>
      <w:divBdr>
        <w:top w:val="none" w:sz="0" w:space="0" w:color="auto"/>
        <w:left w:val="none" w:sz="0" w:space="0" w:color="auto"/>
        <w:bottom w:val="none" w:sz="0" w:space="0" w:color="auto"/>
        <w:right w:val="none" w:sz="0" w:space="0" w:color="auto"/>
      </w:divBdr>
    </w:div>
    <w:div w:id="1677075150">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23387246">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 w:id="214279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7.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6.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chart" Target="charts/chart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chart" Target="charts/chart12.xml"/><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chart" Target="charts/chart8.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4.xml"/><Relationship Id="rId22" Type="http://schemas.openxmlformats.org/officeDocument/2006/relationships/chart" Target="charts/chart11.xml"/><Relationship Id="rId27"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2.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'Chn in home based placement'!$A$2</c:f>
              <c:strCache>
                <c:ptCount val="1"/>
                <c:pt idx="0">
                  <c:v>Indigenous</c:v>
                </c:pt>
              </c:strCache>
            </c:strRef>
          </c:tx>
          <c:spPr>
            <a:solidFill>
              <a:sysClr val="window" lastClr="FFFFFF">
                <a:lumMod val="75000"/>
              </a:sysClr>
            </a:solidFill>
            <a:ln>
              <a:solidFill>
                <a:srgbClr val="000000"/>
              </a:solidFill>
            </a:ln>
          </c:spPr>
          <c:invertIfNegative val="0"/>
          <c:cat>
            <c:strRef>
              <c:f>'Chn in home based placement'!$B$1:$J$1</c:f>
              <c:strCache>
                <c:ptCount val="9"/>
                <c:pt idx="0">
                  <c:v>NSW</c:v>
                </c:pt>
                <c:pt idx="1">
                  <c:v>Vic</c:v>
                </c:pt>
                <c:pt idx="2">
                  <c:v>Qld</c:v>
                </c:pt>
                <c:pt idx="3">
                  <c:v>WA</c:v>
                </c:pt>
                <c:pt idx="4">
                  <c:v>SA</c:v>
                </c:pt>
                <c:pt idx="5">
                  <c:v>Tas</c:v>
                </c:pt>
                <c:pt idx="6">
                  <c:v>ACT</c:v>
                </c:pt>
                <c:pt idx="7">
                  <c:v>NT</c:v>
                </c:pt>
                <c:pt idx="8">
                  <c:v>Aust</c:v>
                </c:pt>
              </c:strCache>
            </c:strRef>
          </c:cat>
          <c:val>
            <c:numRef>
              <c:f>'Chn in home based placement'!$B$2:$J$2</c:f>
              <c:numCache>
                <c:formatCode>0.0</c:formatCode>
                <c:ptCount val="9"/>
                <c:pt idx="0">
                  <c:v>99.709934735315443</c:v>
                </c:pt>
                <c:pt idx="1">
                  <c:v>97.103448275862064</c:v>
                </c:pt>
                <c:pt idx="2">
                  <c:v>96.403812824956674</c:v>
                </c:pt>
                <c:pt idx="3">
                  <c:v>90.392648287385128</c:v>
                </c:pt>
                <c:pt idx="4">
                  <c:v>88.06262230919765</c:v>
                </c:pt>
                <c:pt idx="5">
                  <c:v>98.125</c:v>
                </c:pt>
                <c:pt idx="6">
                  <c:v>100</c:v>
                </c:pt>
                <c:pt idx="7">
                  <c:v>89.950980392156865</c:v>
                </c:pt>
                <c:pt idx="8">
                  <c:v>96.479094624331978</c:v>
                </c:pt>
              </c:numCache>
            </c:numRef>
          </c:val>
        </c:ser>
        <c:ser>
          <c:idx val="1"/>
          <c:order val="1"/>
          <c:tx>
            <c:strRef>
              <c:f>'Chn in home based placement'!$A$3</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'Chn in home based placement'!$B$1:$J$1</c:f>
              <c:strCache>
                <c:ptCount val="9"/>
                <c:pt idx="0">
                  <c:v>NSW</c:v>
                </c:pt>
                <c:pt idx="1">
                  <c:v>Vic</c:v>
                </c:pt>
                <c:pt idx="2">
                  <c:v>Qld</c:v>
                </c:pt>
                <c:pt idx="3">
                  <c:v>WA</c:v>
                </c:pt>
                <c:pt idx="4">
                  <c:v>SA</c:v>
                </c:pt>
                <c:pt idx="5">
                  <c:v>Tas</c:v>
                </c:pt>
                <c:pt idx="6">
                  <c:v>ACT</c:v>
                </c:pt>
                <c:pt idx="7">
                  <c:v>NT</c:v>
                </c:pt>
                <c:pt idx="8">
                  <c:v>Aust</c:v>
                </c:pt>
              </c:strCache>
            </c:strRef>
          </c:cat>
          <c:val>
            <c:numRef>
              <c:f>'Chn in home based placement'!$B$3:$J$3</c:f>
              <c:numCache>
                <c:formatCode>0.0</c:formatCode>
                <c:ptCount val="9"/>
                <c:pt idx="0">
                  <c:v>99.425208703982477</c:v>
                </c:pt>
                <c:pt idx="1">
                  <c:v>98.145081152699561</c:v>
                </c:pt>
                <c:pt idx="2">
                  <c:v>98.158944461491259</c:v>
                </c:pt>
                <c:pt idx="3">
                  <c:v>95.727986050566699</c:v>
                </c:pt>
                <c:pt idx="4">
                  <c:v>92.134831460674164</c:v>
                </c:pt>
                <c:pt idx="5">
                  <c:v>97.718631178707227</c:v>
                </c:pt>
                <c:pt idx="6">
                  <c:v>98.932384341637018</c:v>
                </c:pt>
                <c:pt idx="7">
                  <c:v>91.428571428571431</c:v>
                </c:pt>
                <c:pt idx="8">
                  <c:v>98.065855829130825</c:v>
                </c:pt>
              </c:numCache>
            </c:numRef>
          </c:val>
        </c:ser>
        <c:ser>
          <c:idx val="2"/>
          <c:order val="2"/>
          <c:tx>
            <c:strRef>
              <c:f>'Chn in home based placement'!$A$4</c:f>
              <c:strCache>
                <c:ptCount val="1"/>
                <c:pt idx="0">
                  <c:v>Unknown</c:v>
                </c:pt>
              </c:strCache>
            </c:strRef>
          </c:tx>
          <c:spPr>
            <a:solidFill>
              <a:schemeClr val="bg1">
                <a:lumMod val="50000"/>
              </a:schemeClr>
            </a:solidFill>
            <a:ln>
              <a:solidFill>
                <a:sysClr val="windowText" lastClr="000000"/>
              </a:solidFill>
            </a:ln>
          </c:spPr>
          <c:invertIfNegative val="0"/>
          <c:cat>
            <c:strRef>
              <c:f>'Chn in home based placement'!$B$1:$J$1</c:f>
              <c:strCache>
                <c:ptCount val="9"/>
                <c:pt idx="0">
                  <c:v>NSW</c:v>
                </c:pt>
                <c:pt idx="1">
                  <c:v>Vic</c:v>
                </c:pt>
                <c:pt idx="2">
                  <c:v>Qld</c:v>
                </c:pt>
                <c:pt idx="3">
                  <c:v>WA</c:v>
                </c:pt>
                <c:pt idx="4">
                  <c:v>SA</c:v>
                </c:pt>
                <c:pt idx="5">
                  <c:v>Tas</c:v>
                </c:pt>
                <c:pt idx="6">
                  <c:v>ACT</c:v>
                </c:pt>
                <c:pt idx="7">
                  <c:v>NT</c:v>
                </c:pt>
                <c:pt idx="8">
                  <c:v>Aust</c:v>
                </c:pt>
              </c:strCache>
            </c:strRef>
          </c:cat>
          <c:val>
            <c:numRef>
              <c:f>'Chn in home based placement'!$B$4:$J$4</c:f>
              <c:numCache>
                <c:formatCode>0.0</c:formatCode>
                <c:ptCount val="9"/>
                <c:pt idx="0">
                  <c:v>94.73684210526315</c:v>
                </c:pt>
                <c:pt idx="1">
                  <c:v>100</c:v>
                </c:pt>
                <c:pt idx="2">
                  <c:v>96.774193548387103</c:v>
                </c:pt>
                <c:pt idx="3">
                  <c:v>100</c:v>
                </c:pt>
                <c:pt idx="4">
                  <c:v>100</c:v>
                </c:pt>
                <c:pt idx="5">
                  <c:v>100</c:v>
                </c:pt>
                <c:pt idx="6">
                  <c:v>100</c:v>
                </c:pt>
                <c:pt idx="7">
                  <c:v>0</c:v>
                </c:pt>
                <c:pt idx="8">
                  <c:v>98.591549295774655</c:v>
                </c:pt>
              </c:numCache>
            </c:numRef>
          </c:val>
        </c:ser>
        <c:ser>
          <c:idx val="3"/>
          <c:order val="3"/>
          <c:tx>
            <c:strRef>
              <c:f>'Chn in home based placement'!$A$5</c:f>
              <c:strCache>
                <c:ptCount val="1"/>
                <c:pt idx="0">
                  <c:v>All children</c:v>
                </c:pt>
              </c:strCache>
            </c:strRef>
          </c:tx>
          <c:spPr>
            <a:pattFill prst="openDmnd">
              <a:fgClr>
                <a:schemeClr val="tx1"/>
              </a:fgClr>
              <a:bgClr>
                <a:schemeClr val="bg1"/>
              </a:bgClr>
            </a:pattFill>
            <a:ln>
              <a:solidFill>
                <a:sysClr val="windowText" lastClr="000000"/>
              </a:solidFill>
            </a:ln>
          </c:spPr>
          <c:invertIfNegative val="0"/>
          <c:cat>
            <c:strRef>
              <c:f>'Chn in home based placement'!$B$1:$J$1</c:f>
              <c:strCache>
                <c:ptCount val="9"/>
                <c:pt idx="0">
                  <c:v>NSW</c:v>
                </c:pt>
                <c:pt idx="1">
                  <c:v>Vic</c:v>
                </c:pt>
                <c:pt idx="2">
                  <c:v>Qld</c:v>
                </c:pt>
                <c:pt idx="3">
                  <c:v>WA</c:v>
                </c:pt>
                <c:pt idx="4">
                  <c:v>SA</c:v>
                </c:pt>
                <c:pt idx="5">
                  <c:v>Tas</c:v>
                </c:pt>
                <c:pt idx="6">
                  <c:v>ACT</c:v>
                </c:pt>
                <c:pt idx="7">
                  <c:v>NT</c:v>
                </c:pt>
                <c:pt idx="8">
                  <c:v>Aust</c:v>
                </c:pt>
              </c:strCache>
            </c:strRef>
          </c:cat>
          <c:val>
            <c:numRef>
              <c:f>'Chn in home based placement'!$B$5:$J$5</c:f>
              <c:numCache>
                <c:formatCode>0.0</c:formatCode>
                <c:ptCount val="9"/>
                <c:pt idx="0">
                  <c:v>99.520195411323385</c:v>
                </c:pt>
                <c:pt idx="1">
                  <c:v>97.971014492753625</c:v>
                </c:pt>
                <c:pt idx="2">
                  <c:v>97.427652733118975</c:v>
                </c:pt>
                <c:pt idx="3">
                  <c:v>93.053790766624317</c:v>
                </c:pt>
                <c:pt idx="4">
                  <c:v>91.016949152542367</c:v>
                </c:pt>
                <c:pt idx="5">
                  <c:v>97.826086956521735</c:v>
                </c:pt>
                <c:pt idx="6">
                  <c:v>99.220779220779221</c:v>
                </c:pt>
                <c:pt idx="7">
                  <c:v>90.1673640167364</c:v>
                </c:pt>
                <c:pt idx="8">
                  <c:v>97.498116051243414</c:v>
                </c:pt>
              </c:numCache>
            </c:numRef>
          </c:val>
        </c:ser>
        <c:dLbls>
          <c:showLegendKey val="0"/>
          <c:showVal val="0"/>
          <c:showCatName val="0"/>
          <c:showSerName val="0"/>
          <c:showPercent val="0"/>
          <c:showBubbleSize val="0"/>
        </c:dLbls>
        <c:gapWidth val="150"/>
        <c:axId val="176080000"/>
        <c:axId val="176081536"/>
      </c:barChart>
      <c:catAx>
        <c:axId val="176080000"/>
        <c:scaling>
          <c:orientation val="minMax"/>
        </c:scaling>
        <c:delete val="0"/>
        <c:axPos val="b"/>
        <c:numFmt formatCode="General" sourceLinked="1"/>
        <c:majorTickMark val="out"/>
        <c:minorTickMark val="none"/>
        <c:tickLblPos val="nextTo"/>
        <c:crossAx val="176081536"/>
        <c:crosses val="autoZero"/>
        <c:auto val="1"/>
        <c:lblAlgn val="ctr"/>
        <c:lblOffset val="100"/>
        <c:noMultiLvlLbl val="0"/>
      </c:catAx>
      <c:valAx>
        <c:axId val="176081536"/>
        <c:scaling>
          <c:orientation val="minMax"/>
          <c:max val="100"/>
        </c:scaling>
        <c:delete val="0"/>
        <c:axPos val="l"/>
        <c:majorGridlines/>
        <c:title>
          <c:tx>
            <c:rich>
              <a:bodyPr rot="-5400000" vert="horz"/>
              <a:lstStyle/>
              <a:p>
                <a:pPr>
                  <a:defRPr/>
                </a:pPr>
                <a:r>
                  <a:rPr lang="en-AU"/>
                  <a:t>Per cent</a:t>
                </a:r>
              </a:p>
            </c:rich>
          </c:tx>
          <c:overlay val="0"/>
        </c:title>
        <c:numFmt formatCode="0" sourceLinked="0"/>
        <c:majorTickMark val="out"/>
        <c:minorTickMark val="none"/>
        <c:tickLblPos val="nextTo"/>
        <c:spPr>
          <a:ln>
            <a:solidFill>
              <a:schemeClr val="tx1"/>
            </a:solidFill>
          </a:ln>
        </c:spPr>
        <c:crossAx val="176080000"/>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'Case plans prepared data'!$B$17</c:f>
              <c:strCache>
                <c:ptCount val="1"/>
                <c:pt idx="0">
                  <c:v>Indigenous</c:v>
                </c:pt>
              </c:strCache>
            </c:strRef>
          </c:tx>
          <c:spPr>
            <a:solidFill>
              <a:sysClr val="window" lastClr="FFFFFF">
                <a:lumMod val="75000"/>
              </a:sysClr>
            </a:solidFill>
            <a:ln>
              <a:solidFill>
                <a:srgbClr val="000000"/>
              </a:solidFill>
            </a:ln>
          </c:spPr>
          <c:invertIfNegative val="0"/>
          <c:cat>
            <c:strRef>
              <c:f>'Case plans prepared data'!$C$4:$K$4</c:f>
              <c:strCache>
                <c:ptCount val="9"/>
                <c:pt idx="0">
                  <c:v>NSW</c:v>
                </c:pt>
                <c:pt idx="1">
                  <c:v>Vic</c:v>
                </c:pt>
                <c:pt idx="2">
                  <c:v>Qld</c:v>
                </c:pt>
                <c:pt idx="3">
                  <c:v>WA</c:v>
                </c:pt>
                <c:pt idx="4">
                  <c:v>SA</c:v>
                </c:pt>
                <c:pt idx="5">
                  <c:v>Tas</c:v>
                </c:pt>
                <c:pt idx="6">
                  <c:v>ACT</c:v>
                </c:pt>
                <c:pt idx="7">
                  <c:v>NT</c:v>
                </c:pt>
                <c:pt idx="8">
                  <c:v>Aust</c:v>
                </c:pt>
              </c:strCache>
            </c:strRef>
          </c:cat>
          <c:val>
            <c:numRef>
              <c:f>'Case plans prepared data'!$C$17:$K$17</c:f>
              <c:numCache>
                <c:formatCode>###\ ###\ ##0.0;\-###\ ###\ ##0.0;"–"</c:formatCode>
                <c:ptCount val="9"/>
                <c:pt idx="0">
                  <c:v>98.990918264379417</c:v>
                </c:pt>
                <c:pt idx="1">
                  <c:v>95.488721804511272</c:v>
                </c:pt>
                <c:pt idx="2">
                  <c:v>70.996732026143789</c:v>
                </c:pt>
                <c:pt idx="3">
                  <c:v>0</c:v>
                </c:pt>
                <c:pt idx="4">
                  <c:v>0</c:v>
                </c:pt>
                <c:pt idx="5">
                  <c:v>0</c:v>
                </c:pt>
                <c:pt idx="6">
                  <c:v>92.857142857142861</c:v>
                </c:pt>
                <c:pt idx="7">
                  <c:v>8.7378640776699026</c:v>
                </c:pt>
                <c:pt idx="8">
                  <c:v>81.161758773699077</c:v>
                </c:pt>
              </c:numCache>
            </c:numRef>
          </c:val>
        </c:ser>
        <c:ser>
          <c:idx val="1"/>
          <c:order val="1"/>
          <c:tx>
            <c:strRef>
              <c:f>'Case plans prepared data'!$B$18</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'Case plans prepared data'!$C$4:$K$4</c:f>
              <c:strCache>
                <c:ptCount val="9"/>
                <c:pt idx="0">
                  <c:v>NSW</c:v>
                </c:pt>
                <c:pt idx="1">
                  <c:v>Vic</c:v>
                </c:pt>
                <c:pt idx="2">
                  <c:v>Qld</c:v>
                </c:pt>
                <c:pt idx="3">
                  <c:v>WA</c:v>
                </c:pt>
                <c:pt idx="4">
                  <c:v>SA</c:v>
                </c:pt>
                <c:pt idx="5">
                  <c:v>Tas</c:v>
                </c:pt>
                <c:pt idx="6">
                  <c:v>ACT</c:v>
                </c:pt>
                <c:pt idx="7">
                  <c:v>NT</c:v>
                </c:pt>
                <c:pt idx="8">
                  <c:v>Aust</c:v>
                </c:pt>
              </c:strCache>
            </c:strRef>
          </c:cat>
          <c:val>
            <c:numRef>
              <c:f>'Case plans prepared data'!$C$18:$K$18</c:f>
              <c:numCache>
                <c:formatCode>###\ ###\ ##0.0;\-###\ ###\ ##0.0;"–"</c:formatCode>
                <c:ptCount val="9"/>
                <c:pt idx="0">
                  <c:v>98.774080560420316</c:v>
                </c:pt>
                <c:pt idx="1">
                  <c:v>94.875</c:v>
                </c:pt>
                <c:pt idx="2">
                  <c:v>79.821073558648109</c:v>
                </c:pt>
                <c:pt idx="3">
                  <c:v>0</c:v>
                </c:pt>
                <c:pt idx="4">
                  <c:v>0</c:v>
                </c:pt>
                <c:pt idx="5">
                  <c:v>0</c:v>
                </c:pt>
                <c:pt idx="6">
                  <c:v>95.945945945945937</c:v>
                </c:pt>
                <c:pt idx="7">
                  <c:v>11.111111111111111</c:v>
                </c:pt>
                <c:pt idx="8">
                  <c:v>90.88815789473685</c:v>
                </c:pt>
              </c:numCache>
            </c:numRef>
          </c:val>
        </c:ser>
        <c:ser>
          <c:idx val="2"/>
          <c:order val="2"/>
          <c:tx>
            <c:strRef>
              <c:f>'Case plans prepared data'!$B$19</c:f>
              <c:strCache>
                <c:ptCount val="1"/>
                <c:pt idx="0">
                  <c:v>Unknown</c:v>
                </c:pt>
              </c:strCache>
            </c:strRef>
          </c:tx>
          <c:spPr>
            <a:solidFill>
              <a:schemeClr val="bg1">
                <a:lumMod val="50000"/>
              </a:schemeClr>
            </a:solidFill>
            <a:ln>
              <a:solidFill>
                <a:sysClr val="windowText" lastClr="000000"/>
              </a:solidFill>
            </a:ln>
          </c:spPr>
          <c:invertIfNegative val="0"/>
          <c:cat>
            <c:strRef>
              <c:f>'Case plans prepared data'!$C$4:$K$4</c:f>
              <c:strCache>
                <c:ptCount val="9"/>
                <c:pt idx="0">
                  <c:v>NSW</c:v>
                </c:pt>
                <c:pt idx="1">
                  <c:v>Vic</c:v>
                </c:pt>
                <c:pt idx="2">
                  <c:v>Qld</c:v>
                </c:pt>
                <c:pt idx="3">
                  <c:v>WA</c:v>
                </c:pt>
                <c:pt idx="4">
                  <c:v>SA</c:v>
                </c:pt>
                <c:pt idx="5">
                  <c:v>Tas</c:v>
                </c:pt>
                <c:pt idx="6">
                  <c:v>ACT</c:v>
                </c:pt>
                <c:pt idx="7">
                  <c:v>NT</c:v>
                </c:pt>
                <c:pt idx="8">
                  <c:v>Aust</c:v>
                </c:pt>
              </c:strCache>
            </c:strRef>
          </c:cat>
          <c:val>
            <c:numRef>
              <c:f>'Case plans prepared data'!$C$19:$K$19</c:f>
              <c:numCache>
                <c:formatCode>###\ ###\ ##0.0;\-###\ ###\ ##0.0;"–"</c:formatCode>
                <c:ptCount val="9"/>
                <c:pt idx="0">
                  <c:v>95.945945945945937</c:v>
                </c:pt>
                <c:pt idx="1">
                  <c:v>0</c:v>
                </c:pt>
                <c:pt idx="2">
                  <c:v>75.438596491228068</c:v>
                </c:pt>
                <c:pt idx="3">
                  <c:v>0</c:v>
                </c:pt>
                <c:pt idx="4">
                  <c:v>0</c:v>
                </c:pt>
                <c:pt idx="5">
                  <c:v>0</c:v>
                </c:pt>
                <c:pt idx="6">
                  <c:v>0</c:v>
                </c:pt>
                <c:pt idx="7">
                  <c:v>0</c:v>
                </c:pt>
                <c:pt idx="8">
                  <c:v>92.634560906515588</c:v>
                </c:pt>
              </c:numCache>
            </c:numRef>
          </c:val>
        </c:ser>
        <c:ser>
          <c:idx val="3"/>
          <c:order val="3"/>
          <c:tx>
            <c:strRef>
              <c:f>'Case plans prepared data'!$B$20</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'Case plans prepared data'!$C$4:$K$4</c:f>
              <c:strCache>
                <c:ptCount val="9"/>
                <c:pt idx="0">
                  <c:v>NSW</c:v>
                </c:pt>
                <c:pt idx="1">
                  <c:v>Vic</c:v>
                </c:pt>
                <c:pt idx="2">
                  <c:v>Qld</c:v>
                </c:pt>
                <c:pt idx="3">
                  <c:v>WA</c:v>
                </c:pt>
                <c:pt idx="4">
                  <c:v>SA</c:v>
                </c:pt>
                <c:pt idx="5">
                  <c:v>Tas</c:v>
                </c:pt>
                <c:pt idx="6">
                  <c:v>ACT</c:v>
                </c:pt>
                <c:pt idx="7">
                  <c:v>NT</c:v>
                </c:pt>
                <c:pt idx="8">
                  <c:v>Aust</c:v>
                </c:pt>
              </c:strCache>
            </c:strRef>
          </c:cat>
          <c:val>
            <c:numRef>
              <c:f>'Case plans prepared data'!$C$20:$K$20</c:f>
              <c:numCache>
                <c:formatCode>###\ ###\ ##0.0;\-###\ ###\ ##0.0;"–"</c:formatCode>
                <c:ptCount val="9"/>
                <c:pt idx="0">
                  <c:v>98.517908604363939</c:v>
                </c:pt>
                <c:pt idx="1">
                  <c:v>94.962486602357984</c:v>
                </c:pt>
                <c:pt idx="2">
                  <c:v>74.989068648885009</c:v>
                </c:pt>
                <c:pt idx="3">
                  <c:v>73.074391046741269</c:v>
                </c:pt>
                <c:pt idx="4">
                  <c:v>0</c:v>
                </c:pt>
                <c:pt idx="5">
                  <c:v>0</c:v>
                </c:pt>
                <c:pt idx="6">
                  <c:v>95.098039215686271</c:v>
                </c:pt>
                <c:pt idx="7">
                  <c:v>9.0909090909090917</c:v>
                </c:pt>
                <c:pt idx="8">
                  <c:v>84.048166689216615</c:v>
                </c:pt>
              </c:numCache>
            </c:numRef>
          </c:val>
        </c:ser>
        <c:dLbls>
          <c:showLegendKey val="0"/>
          <c:showVal val="0"/>
          <c:showCatName val="0"/>
          <c:showSerName val="0"/>
          <c:showPercent val="0"/>
          <c:showBubbleSize val="0"/>
        </c:dLbls>
        <c:gapWidth val="150"/>
        <c:axId val="178129152"/>
        <c:axId val="178135040"/>
      </c:barChart>
      <c:catAx>
        <c:axId val="178129152"/>
        <c:scaling>
          <c:orientation val="minMax"/>
        </c:scaling>
        <c:delete val="0"/>
        <c:axPos val="b"/>
        <c:numFmt formatCode="General" sourceLinked="1"/>
        <c:majorTickMark val="out"/>
        <c:minorTickMark val="none"/>
        <c:tickLblPos val="nextTo"/>
        <c:crossAx val="178135040"/>
        <c:crosses val="autoZero"/>
        <c:auto val="1"/>
        <c:lblAlgn val="ctr"/>
        <c:lblOffset val="100"/>
        <c:noMultiLvlLbl val="0"/>
      </c:catAx>
      <c:valAx>
        <c:axId val="178135040"/>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178129152"/>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'Case plans prepared data'!$B$36</c:f>
              <c:strCache>
                <c:ptCount val="1"/>
                <c:pt idx="0">
                  <c:v>Indigenous</c:v>
                </c:pt>
              </c:strCache>
            </c:strRef>
          </c:tx>
          <c:spPr>
            <a:solidFill>
              <a:sysClr val="window" lastClr="FFFFFF">
                <a:lumMod val="75000"/>
              </a:sysClr>
            </a:solidFill>
            <a:ln>
              <a:solidFill>
                <a:srgbClr val="000000"/>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data'!$C$36:$K$36</c:f>
              <c:numCache>
                <c:formatCode>###\ ###\ ##0.0;\-###\ ###\ ##0.0;"–"</c:formatCode>
                <c:ptCount val="9"/>
                <c:pt idx="0">
                  <c:v>100</c:v>
                </c:pt>
                <c:pt idx="1">
                  <c:v>92</c:v>
                </c:pt>
                <c:pt idx="2">
                  <c:v>77.826086956521735</c:v>
                </c:pt>
                <c:pt idx="3">
                  <c:v>100</c:v>
                </c:pt>
                <c:pt idx="4">
                  <c:v>0</c:v>
                </c:pt>
                <c:pt idx="5">
                  <c:v>0</c:v>
                </c:pt>
                <c:pt idx="6">
                  <c:v>66.666666666666657</c:v>
                </c:pt>
                <c:pt idx="7">
                  <c:v>100</c:v>
                </c:pt>
                <c:pt idx="8">
                  <c:v>91.691394658753708</c:v>
                </c:pt>
              </c:numCache>
            </c:numRef>
          </c:val>
        </c:ser>
        <c:ser>
          <c:idx val="1"/>
          <c:order val="1"/>
          <c:tx>
            <c:strRef>
              <c:f>'Case plans prepared data'!$B$37</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data'!$C$37:$K$37</c:f>
              <c:numCache>
                <c:formatCode>###\ ###\ ##0.0;\-###\ ###\ ##0.0;"–"</c:formatCode>
                <c:ptCount val="9"/>
                <c:pt idx="0">
                  <c:v>100</c:v>
                </c:pt>
                <c:pt idx="1">
                  <c:v>90.062111801242239</c:v>
                </c:pt>
                <c:pt idx="2">
                  <c:v>76.470588235294116</c:v>
                </c:pt>
                <c:pt idx="3">
                  <c:v>100</c:v>
                </c:pt>
                <c:pt idx="4">
                  <c:v>0</c:v>
                </c:pt>
                <c:pt idx="5">
                  <c:v>0</c:v>
                </c:pt>
                <c:pt idx="6">
                  <c:v>77.777777777777786</c:v>
                </c:pt>
                <c:pt idx="7">
                  <c:v>100</c:v>
                </c:pt>
                <c:pt idx="8">
                  <c:v>91.528545119705342</c:v>
                </c:pt>
              </c:numCache>
            </c:numRef>
          </c:val>
        </c:ser>
        <c:ser>
          <c:idx val="2"/>
          <c:order val="2"/>
          <c:tx>
            <c:strRef>
              <c:f>'Case plans prepared data'!$B$38</c:f>
              <c:strCache>
                <c:ptCount val="1"/>
                <c:pt idx="0">
                  <c:v>Unknown</c:v>
                </c:pt>
              </c:strCache>
            </c:strRef>
          </c:tx>
          <c:spPr>
            <a:solidFill>
              <a:schemeClr val="bg1">
                <a:lumMod val="50000"/>
              </a:schemeClr>
            </a:solidFill>
            <a:ln>
              <a:solidFill>
                <a:sysClr val="windowText" lastClr="000000"/>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data'!$C$38:$K$38</c:f>
              <c:numCache>
                <c:formatCode>###\ ###\ ##0.0;\-###\ ###\ ##0.0;"–"</c:formatCode>
                <c:ptCount val="9"/>
                <c:pt idx="0">
                  <c:v>100</c:v>
                </c:pt>
                <c:pt idx="1">
                  <c:v>0</c:v>
                </c:pt>
                <c:pt idx="2">
                  <c:v>0</c:v>
                </c:pt>
                <c:pt idx="3">
                  <c:v>0</c:v>
                </c:pt>
                <c:pt idx="4">
                  <c:v>0</c:v>
                </c:pt>
                <c:pt idx="5">
                  <c:v>0</c:v>
                </c:pt>
                <c:pt idx="6">
                  <c:v>0</c:v>
                </c:pt>
                <c:pt idx="7">
                  <c:v>0</c:v>
                </c:pt>
                <c:pt idx="8">
                  <c:v>100</c:v>
                </c:pt>
              </c:numCache>
            </c:numRef>
          </c:val>
        </c:ser>
        <c:ser>
          <c:idx val="3"/>
          <c:order val="3"/>
          <c:tx>
            <c:strRef>
              <c:f>'Case plans prepared data'!$B$39</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data'!$C$39:$K$39</c:f>
              <c:numCache>
                <c:formatCode>###\ ###\ ##0.0;\-###\ ###\ ##0.0;"–"</c:formatCode>
                <c:ptCount val="9"/>
                <c:pt idx="0">
                  <c:v>100</c:v>
                </c:pt>
                <c:pt idx="1">
                  <c:v>90.322580645161281</c:v>
                </c:pt>
                <c:pt idx="2">
                  <c:v>77.363896848137543</c:v>
                </c:pt>
                <c:pt idx="3">
                  <c:v>100</c:v>
                </c:pt>
                <c:pt idx="4">
                  <c:v>0</c:v>
                </c:pt>
                <c:pt idx="5">
                  <c:v>0</c:v>
                </c:pt>
                <c:pt idx="6">
                  <c:v>72.222222222222214</c:v>
                </c:pt>
                <c:pt idx="7">
                  <c:v>100</c:v>
                </c:pt>
                <c:pt idx="8">
                  <c:v>91.639344262295083</c:v>
                </c:pt>
              </c:numCache>
            </c:numRef>
          </c:val>
        </c:ser>
        <c:dLbls>
          <c:showLegendKey val="0"/>
          <c:showVal val="0"/>
          <c:showCatName val="0"/>
          <c:showSerName val="0"/>
          <c:showPercent val="0"/>
          <c:showBubbleSize val="0"/>
        </c:dLbls>
        <c:gapWidth val="150"/>
        <c:axId val="178174208"/>
        <c:axId val="178184192"/>
      </c:barChart>
      <c:catAx>
        <c:axId val="178174208"/>
        <c:scaling>
          <c:orientation val="minMax"/>
        </c:scaling>
        <c:delete val="0"/>
        <c:axPos val="b"/>
        <c:numFmt formatCode="General" sourceLinked="1"/>
        <c:majorTickMark val="out"/>
        <c:minorTickMark val="none"/>
        <c:tickLblPos val="nextTo"/>
        <c:crossAx val="178184192"/>
        <c:crosses val="autoZero"/>
        <c:auto val="1"/>
        <c:lblAlgn val="ctr"/>
        <c:lblOffset val="100"/>
        <c:noMultiLvlLbl val="0"/>
      </c:catAx>
      <c:valAx>
        <c:axId val="178184192"/>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178174208"/>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'Completion of orders data'!$B$17</c:f>
              <c:strCache>
                <c:ptCount val="1"/>
                <c:pt idx="0">
                  <c:v>Indigenous</c:v>
                </c:pt>
              </c:strCache>
            </c:strRef>
          </c:tx>
          <c:spPr>
            <a:solidFill>
              <a:sysClr val="window" lastClr="FFFFFF">
                <a:lumMod val="75000"/>
              </a:sysClr>
            </a:solidFill>
            <a:ln>
              <a:solidFill>
                <a:srgbClr val="000000"/>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data'!$C$17:$K$17</c:f>
              <c:numCache>
                <c:formatCode>###\ ###\ ##0.0;\-###\ ###\ ##0.0;"–"</c:formatCode>
                <c:ptCount val="9"/>
                <c:pt idx="0">
                  <c:v>86.319845857418116</c:v>
                </c:pt>
                <c:pt idx="1">
                  <c:v>85.13513513513513</c:v>
                </c:pt>
                <c:pt idx="2">
                  <c:v>78.252032520325201</c:v>
                </c:pt>
                <c:pt idx="3">
                  <c:v>60.326086956521742</c:v>
                </c:pt>
                <c:pt idx="4">
                  <c:v>85.377358490566039</c:v>
                </c:pt>
                <c:pt idx="5">
                  <c:v>82.90598290598291</c:v>
                </c:pt>
                <c:pt idx="6">
                  <c:v>0</c:v>
                </c:pt>
                <c:pt idx="7">
                  <c:v>52.554744525547449</c:v>
                </c:pt>
                <c:pt idx="8">
                  <c:v>77.906399867702987</c:v>
                </c:pt>
              </c:numCache>
            </c:numRef>
          </c:val>
        </c:ser>
        <c:ser>
          <c:idx val="1"/>
          <c:order val="1"/>
          <c:tx>
            <c:strRef>
              <c:f>'Completion of orders data'!$B$18</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data'!$C$18:$K$18</c:f>
              <c:numCache>
                <c:formatCode>###\ ###\ ##0.0;\-###\ ###\ ##0.0;"–"</c:formatCode>
                <c:ptCount val="9"/>
                <c:pt idx="0">
                  <c:v>87.725190839694662</c:v>
                </c:pt>
                <c:pt idx="1">
                  <c:v>86.11698379140239</c:v>
                </c:pt>
                <c:pt idx="2">
                  <c:v>85.199098422238919</c:v>
                </c:pt>
                <c:pt idx="3">
                  <c:v>77.412031782065839</c:v>
                </c:pt>
                <c:pt idx="4">
                  <c:v>85.874439461883412</c:v>
                </c:pt>
                <c:pt idx="5">
                  <c:v>94.045534150612966</c:v>
                </c:pt>
                <c:pt idx="6">
                  <c:v>0</c:v>
                </c:pt>
                <c:pt idx="7">
                  <c:v>82.142857142857139</c:v>
                </c:pt>
                <c:pt idx="8">
                  <c:v>86.202993334171808</c:v>
                </c:pt>
              </c:numCache>
            </c:numRef>
          </c:val>
        </c:ser>
        <c:ser>
          <c:idx val="2"/>
          <c:order val="2"/>
          <c:tx>
            <c:strRef>
              <c:f>'Completion of orders data'!$B$19</c:f>
              <c:strCache>
                <c:ptCount val="1"/>
                <c:pt idx="0">
                  <c:v>Unknown</c:v>
                </c:pt>
              </c:strCache>
            </c:strRef>
          </c:tx>
          <c:spPr>
            <a:solidFill>
              <a:schemeClr val="bg1">
                <a:lumMod val="50000"/>
              </a:schemeClr>
            </a:solidFill>
            <a:ln>
              <a:solidFill>
                <a:sysClr val="windowText" lastClr="000000"/>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data'!$C$19:$K$19</c:f>
              <c:numCache>
                <c:formatCode>###\ ###\ ##0.0;\-###\ ###\ ##0.0;"–"</c:formatCode>
                <c:ptCount val="9"/>
                <c:pt idx="0">
                  <c:v>94.372294372294377</c:v>
                </c:pt>
                <c:pt idx="1">
                  <c:v>0</c:v>
                </c:pt>
                <c:pt idx="2">
                  <c:v>97.142857142857139</c:v>
                </c:pt>
                <c:pt idx="3">
                  <c:v>0</c:v>
                </c:pt>
                <c:pt idx="4">
                  <c:v>0</c:v>
                </c:pt>
                <c:pt idx="5">
                  <c:v>0</c:v>
                </c:pt>
                <c:pt idx="6">
                  <c:v>0</c:v>
                </c:pt>
                <c:pt idx="7">
                  <c:v>0</c:v>
                </c:pt>
                <c:pt idx="8">
                  <c:v>94.653465346534645</c:v>
                </c:pt>
              </c:numCache>
            </c:numRef>
          </c:val>
        </c:ser>
        <c:ser>
          <c:idx val="3"/>
          <c:order val="3"/>
          <c:tx>
            <c:strRef>
              <c:f>'Completion of orders data'!$B$20</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data'!$C$20:$K$20</c:f>
              <c:numCache>
                <c:formatCode>###\ ###\ ##0.0;\-###\ ###\ ##0.0;"–"</c:formatCode>
                <c:ptCount val="9"/>
                <c:pt idx="0">
                  <c:v>87.634238787113077</c:v>
                </c:pt>
                <c:pt idx="1">
                  <c:v>85.984156002437544</c:v>
                </c:pt>
                <c:pt idx="2">
                  <c:v>81.738212526389859</c:v>
                </c:pt>
                <c:pt idx="3">
                  <c:v>67.326277036355265</c:v>
                </c:pt>
                <c:pt idx="4">
                  <c:v>85.757575757575751</c:v>
                </c:pt>
                <c:pt idx="5">
                  <c:v>92.173913043478265</c:v>
                </c:pt>
                <c:pt idx="6">
                  <c:v>0</c:v>
                </c:pt>
                <c:pt idx="7">
                  <c:v>57.575757575757578</c:v>
                </c:pt>
                <c:pt idx="8">
                  <c:v>83.037992139557332</c:v>
                </c:pt>
              </c:numCache>
            </c:numRef>
          </c:val>
        </c:ser>
        <c:dLbls>
          <c:showLegendKey val="0"/>
          <c:showVal val="0"/>
          <c:showCatName val="0"/>
          <c:showSerName val="0"/>
          <c:showPercent val="0"/>
          <c:showBubbleSize val="0"/>
        </c:dLbls>
        <c:gapWidth val="150"/>
        <c:axId val="179272320"/>
        <c:axId val="179282304"/>
      </c:barChart>
      <c:catAx>
        <c:axId val="179272320"/>
        <c:scaling>
          <c:orientation val="minMax"/>
        </c:scaling>
        <c:delete val="0"/>
        <c:axPos val="b"/>
        <c:numFmt formatCode="General" sourceLinked="1"/>
        <c:majorTickMark val="out"/>
        <c:minorTickMark val="none"/>
        <c:tickLblPos val="nextTo"/>
        <c:crossAx val="179282304"/>
        <c:crosses val="autoZero"/>
        <c:auto val="1"/>
        <c:lblAlgn val="ctr"/>
        <c:lblOffset val="100"/>
        <c:noMultiLvlLbl val="0"/>
      </c:catAx>
      <c:valAx>
        <c:axId val="179282304"/>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179272320"/>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'Chn placed with relatives_kin'!$B$15</c:f>
              <c:strCache>
                <c:ptCount val="1"/>
                <c:pt idx="0">
                  <c:v>Indigenous </c:v>
                </c:pt>
              </c:strCache>
            </c:strRef>
          </c:tx>
          <c:spPr>
            <a:solidFill>
              <a:sysClr val="window" lastClr="FFFFFF">
                <a:lumMod val="75000"/>
              </a:sysClr>
            </a:solidFill>
            <a:ln>
              <a:solidFill>
                <a:srgbClr val="000000"/>
              </a:solidFill>
            </a:ln>
          </c:spPr>
          <c:invertIfNegative val="0"/>
          <c:cat>
            <c:strRef>
              <c:f>'Chn placed with relatives_kin'!$C$14:$K$14</c:f>
              <c:strCache>
                <c:ptCount val="9"/>
                <c:pt idx="0">
                  <c:v>NSW</c:v>
                </c:pt>
                <c:pt idx="1">
                  <c:v>Vic</c:v>
                </c:pt>
                <c:pt idx="2">
                  <c:v>Qld</c:v>
                </c:pt>
                <c:pt idx="3">
                  <c:v>WA</c:v>
                </c:pt>
                <c:pt idx="4">
                  <c:v>SA</c:v>
                </c:pt>
                <c:pt idx="5">
                  <c:v>Tas</c:v>
                </c:pt>
                <c:pt idx="6">
                  <c:v>ACT</c:v>
                </c:pt>
                <c:pt idx="7">
                  <c:v>NT</c:v>
                </c:pt>
                <c:pt idx="8">
                  <c:v>Aust</c:v>
                </c:pt>
              </c:strCache>
            </c:strRef>
          </c:cat>
          <c:val>
            <c:numRef>
              <c:f>'Chn placed with relatives_kin'!$C$15:$K$15</c:f>
              <c:numCache>
                <c:formatCode>0.00</c:formatCode>
                <c:ptCount val="9"/>
                <c:pt idx="0">
                  <c:v>63.562009681188449</c:v>
                </c:pt>
                <c:pt idx="1">
                  <c:v>49.902723735408557</c:v>
                </c:pt>
                <c:pt idx="2">
                  <c:v>34.232160473528445</c:v>
                </c:pt>
                <c:pt idx="3">
                  <c:v>50.557620817843862</c:v>
                </c:pt>
                <c:pt idx="4">
                  <c:v>54.532577903682721</c:v>
                </c:pt>
                <c:pt idx="5">
                  <c:v>33.490566037735846</c:v>
                </c:pt>
                <c:pt idx="6">
                  <c:v>55.223880597014926</c:v>
                </c:pt>
                <c:pt idx="7">
                  <c:v>23.560209424083769</c:v>
                </c:pt>
                <c:pt idx="8">
                  <c:v>51.454996616286941</c:v>
                </c:pt>
              </c:numCache>
            </c:numRef>
          </c:val>
        </c:ser>
        <c:ser>
          <c:idx val="1"/>
          <c:order val="1"/>
          <c:tx>
            <c:strRef>
              <c:f>'Chn placed with relatives_kin'!$B$16</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'Chn placed with relatives_kin'!$C$14:$K$14</c:f>
              <c:strCache>
                <c:ptCount val="9"/>
                <c:pt idx="0">
                  <c:v>NSW</c:v>
                </c:pt>
                <c:pt idx="1">
                  <c:v>Vic</c:v>
                </c:pt>
                <c:pt idx="2">
                  <c:v>Qld</c:v>
                </c:pt>
                <c:pt idx="3">
                  <c:v>WA</c:v>
                </c:pt>
                <c:pt idx="4">
                  <c:v>SA</c:v>
                </c:pt>
                <c:pt idx="5">
                  <c:v>Tas</c:v>
                </c:pt>
                <c:pt idx="6">
                  <c:v>ACT</c:v>
                </c:pt>
                <c:pt idx="7">
                  <c:v>NT</c:v>
                </c:pt>
                <c:pt idx="8">
                  <c:v>Aust</c:v>
                </c:pt>
              </c:strCache>
            </c:strRef>
          </c:cat>
          <c:val>
            <c:numRef>
              <c:f>'Chn placed with relatives_kin'!$C$16:$K$16</c:f>
              <c:numCache>
                <c:formatCode>0.00</c:formatCode>
                <c:ptCount val="9"/>
                <c:pt idx="0">
                  <c:v>51.68649906057081</c:v>
                </c:pt>
                <c:pt idx="1">
                  <c:v>45.299647473560519</c:v>
                </c:pt>
                <c:pt idx="2">
                  <c:v>34.966456596869286</c:v>
                </c:pt>
                <c:pt idx="3">
                  <c:v>36.306818181818187</c:v>
                </c:pt>
                <c:pt idx="4">
                  <c:v>38.785557986870892</c:v>
                </c:pt>
                <c:pt idx="5">
                  <c:v>29.531051964512038</c:v>
                </c:pt>
                <c:pt idx="6">
                  <c:v>50.593824228028502</c:v>
                </c:pt>
                <c:pt idx="7">
                  <c:v>22.047244094488189</c:v>
                </c:pt>
                <c:pt idx="8">
                  <c:v>44.520993608144835</c:v>
                </c:pt>
              </c:numCache>
            </c:numRef>
          </c:val>
        </c:ser>
        <c:ser>
          <c:idx val="2"/>
          <c:order val="2"/>
          <c:tx>
            <c:strRef>
              <c:f>'Chn placed with relatives_kin'!$B$17</c:f>
              <c:strCache>
                <c:ptCount val="1"/>
                <c:pt idx="0">
                  <c:v>Unknown </c:v>
                </c:pt>
              </c:strCache>
            </c:strRef>
          </c:tx>
          <c:spPr>
            <a:solidFill>
              <a:schemeClr val="bg1">
                <a:lumMod val="50000"/>
              </a:schemeClr>
            </a:solidFill>
            <a:ln>
              <a:solidFill>
                <a:sysClr val="windowText" lastClr="000000"/>
              </a:solidFill>
            </a:ln>
          </c:spPr>
          <c:invertIfNegative val="0"/>
          <c:cat>
            <c:strRef>
              <c:f>'Chn placed with relatives_kin'!$C$14:$K$14</c:f>
              <c:strCache>
                <c:ptCount val="9"/>
                <c:pt idx="0">
                  <c:v>NSW</c:v>
                </c:pt>
                <c:pt idx="1">
                  <c:v>Vic</c:v>
                </c:pt>
                <c:pt idx="2">
                  <c:v>Qld</c:v>
                </c:pt>
                <c:pt idx="3">
                  <c:v>WA</c:v>
                </c:pt>
                <c:pt idx="4">
                  <c:v>SA</c:v>
                </c:pt>
                <c:pt idx="5">
                  <c:v>Tas</c:v>
                </c:pt>
                <c:pt idx="6">
                  <c:v>ACT</c:v>
                </c:pt>
                <c:pt idx="7">
                  <c:v>NT</c:v>
                </c:pt>
                <c:pt idx="8">
                  <c:v>Aust</c:v>
                </c:pt>
              </c:strCache>
            </c:strRef>
          </c:cat>
          <c:val>
            <c:numRef>
              <c:f>'Chn placed with relatives_kin'!$C$17:$K$17</c:f>
              <c:numCache>
                <c:formatCode>0.00</c:formatCode>
                <c:ptCount val="9"/>
                <c:pt idx="0">
                  <c:v>4.1666666666666661</c:v>
                </c:pt>
                <c:pt idx="1">
                  <c:v>8.2191780821917799</c:v>
                </c:pt>
                <c:pt idx="2">
                  <c:v>15.384615384615385</c:v>
                </c:pt>
                <c:pt idx="3">
                  <c:v>38.461538461538467</c:v>
                </c:pt>
                <c:pt idx="4">
                  <c:v>71.428571428571431</c:v>
                </c:pt>
                <c:pt idx="5">
                  <c:v>25</c:v>
                </c:pt>
                <c:pt idx="6">
                  <c:v>45.454545454545453</c:v>
                </c:pt>
                <c:pt idx="7">
                  <c:v>0</c:v>
                </c:pt>
                <c:pt idx="8">
                  <c:v>20.512820512820511</c:v>
                </c:pt>
              </c:numCache>
            </c:numRef>
          </c:val>
        </c:ser>
        <c:ser>
          <c:idx val="3"/>
          <c:order val="3"/>
          <c:tx>
            <c:strRef>
              <c:f>'Chn placed with relatives_kin'!$B$18</c:f>
              <c:strCache>
                <c:ptCount val="1"/>
                <c:pt idx="0">
                  <c:v>All children</c:v>
                </c:pt>
              </c:strCache>
            </c:strRef>
          </c:tx>
          <c:spPr>
            <a:pattFill prst="openDmnd">
              <a:fgClr>
                <a:schemeClr val="tx1"/>
              </a:fgClr>
              <a:bgClr>
                <a:schemeClr val="bg1"/>
              </a:bgClr>
            </a:pattFill>
            <a:ln>
              <a:solidFill>
                <a:sysClr val="windowText" lastClr="000000"/>
              </a:solidFill>
            </a:ln>
          </c:spPr>
          <c:invertIfNegative val="0"/>
          <c:cat>
            <c:strRef>
              <c:f>'Chn placed with relatives_kin'!$C$14:$K$14</c:f>
              <c:strCache>
                <c:ptCount val="9"/>
                <c:pt idx="0">
                  <c:v>NSW</c:v>
                </c:pt>
                <c:pt idx="1">
                  <c:v>Vic</c:v>
                </c:pt>
                <c:pt idx="2">
                  <c:v>Qld</c:v>
                </c:pt>
                <c:pt idx="3">
                  <c:v>WA</c:v>
                </c:pt>
                <c:pt idx="4">
                  <c:v>SA</c:v>
                </c:pt>
                <c:pt idx="5">
                  <c:v>Tas</c:v>
                </c:pt>
                <c:pt idx="6">
                  <c:v>ACT</c:v>
                </c:pt>
                <c:pt idx="7">
                  <c:v>NT</c:v>
                </c:pt>
                <c:pt idx="8">
                  <c:v>Aust</c:v>
                </c:pt>
              </c:strCache>
            </c:strRef>
          </c:cat>
          <c:val>
            <c:numRef>
              <c:f>'Chn placed with relatives_kin'!$C$18:$K$18</c:f>
              <c:numCache>
                <c:formatCode>0.00</c:formatCode>
                <c:ptCount val="9"/>
                <c:pt idx="0">
                  <c:v>55.758492322010234</c:v>
                </c:pt>
                <c:pt idx="1">
                  <c:v>45.625906234896085</c:v>
                </c:pt>
                <c:pt idx="2">
                  <c:v>34.591823977997251</c:v>
                </c:pt>
                <c:pt idx="3">
                  <c:v>43.088235294117652</c:v>
                </c:pt>
                <c:pt idx="4">
                  <c:v>43.328100470957615</c:v>
                </c:pt>
                <c:pt idx="5">
                  <c:v>30.327056491575817</c:v>
                </c:pt>
                <c:pt idx="6">
                  <c:v>51.590106007067135</c:v>
                </c:pt>
                <c:pt idx="7">
                  <c:v>23.285714285714285</c:v>
                </c:pt>
                <c:pt idx="8">
                  <c:v>46.730269301632973</c:v>
                </c:pt>
              </c:numCache>
            </c:numRef>
          </c:val>
        </c:ser>
        <c:dLbls>
          <c:showLegendKey val="0"/>
          <c:showVal val="0"/>
          <c:showCatName val="0"/>
          <c:showSerName val="0"/>
          <c:showPercent val="0"/>
          <c:showBubbleSize val="0"/>
        </c:dLbls>
        <c:gapWidth val="150"/>
        <c:axId val="160785536"/>
        <c:axId val="160787072"/>
      </c:barChart>
      <c:catAx>
        <c:axId val="160785536"/>
        <c:scaling>
          <c:orientation val="minMax"/>
        </c:scaling>
        <c:delete val="0"/>
        <c:axPos val="b"/>
        <c:numFmt formatCode="General" sourceLinked="1"/>
        <c:majorTickMark val="out"/>
        <c:minorTickMark val="none"/>
        <c:tickLblPos val="nextTo"/>
        <c:crossAx val="160787072"/>
        <c:crosses val="autoZero"/>
        <c:auto val="1"/>
        <c:lblAlgn val="ctr"/>
        <c:lblOffset val="100"/>
        <c:noMultiLvlLbl val="0"/>
      </c:catAx>
      <c:valAx>
        <c:axId val="160787072"/>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0" sourceLinked="0"/>
        <c:majorTickMark val="out"/>
        <c:minorTickMark val="none"/>
        <c:tickLblPos val="nextTo"/>
        <c:spPr>
          <a:ln>
            <a:solidFill>
              <a:schemeClr val="tx1"/>
            </a:solidFill>
          </a:ln>
        </c:spPr>
        <c:crossAx val="160785536"/>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'Placement of Indigenous chn'!$A$2</c:f>
              <c:strCache>
                <c:ptCount val="1"/>
                <c:pt idx="0">
                  <c:v>Relative/Kin</c:v>
                </c:pt>
              </c:strCache>
            </c:strRef>
          </c:tx>
          <c:spPr>
            <a:solidFill>
              <a:sysClr val="window" lastClr="FFFFFF">
                <a:lumMod val="75000"/>
              </a:sysClr>
            </a:solidFill>
            <a:ln>
              <a:solidFill>
                <a:srgbClr val="000000"/>
              </a:solidFill>
            </a:ln>
          </c:spPr>
          <c:invertIfNegative val="0"/>
          <c:cat>
            <c:strRef>
              <c:f>'Placement of Indigenous chn'!$B$1:$J$1</c:f>
              <c:strCache>
                <c:ptCount val="9"/>
                <c:pt idx="0">
                  <c:v>NSW</c:v>
                </c:pt>
                <c:pt idx="1">
                  <c:v>Vic</c:v>
                </c:pt>
                <c:pt idx="2">
                  <c:v>Qld</c:v>
                </c:pt>
                <c:pt idx="3">
                  <c:v>WA</c:v>
                </c:pt>
                <c:pt idx="4">
                  <c:v>SA</c:v>
                </c:pt>
                <c:pt idx="5">
                  <c:v>Tas</c:v>
                </c:pt>
                <c:pt idx="6">
                  <c:v>ACT</c:v>
                </c:pt>
                <c:pt idx="7">
                  <c:v>NT</c:v>
                </c:pt>
                <c:pt idx="8">
                  <c:v>Aust</c:v>
                </c:pt>
              </c:strCache>
            </c:strRef>
          </c:cat>
          <c:val>
            <c:numRef>
              <c:f>'Placement of Indigenous chn'!$B$2:$J$2</c:f>
              <c:numCache>
                <c:formatCode>0.0</c:formatCode>
                <c:ptCount val="9"/>
                <c:pt idx="0">
                  <c:v>63.785594639865991</c:v>
                </c:pt>
                <c:pt idx="1">
                  <c:v>49.951314508276532</c:v>
                </c:pt>
                <c:pt idx="2">
                  <c:v>34.232160473528445</c:v>
                </c:pt>
                <c:pt idx="3">
                  <c:v>54.689480354879592</c:v>
                </c:pt>
                <c:pt idx="4">
                  <c:v>56.952662721893489</c:v>
                </c:pt>
                <c:pt idx="5">
                  <c:v>33.80952380952381</c:v>
                </c:pt>
                <c:pt idx="6">
                  <c:v>55.639097744360896</c:v>
                </c:pt>
                <c:pt idx="7">
                  <c:v>27.768014059753952</c:v>
                </c:pt>
                <c:pt idx="8">
                  <c:v>52.355346864586494</c:v>
                </c:pt>
              </c:numCache>
            </c:numRef>
          </c:val>
        </c:ser>
        <c:ser>
          <c:idx val="1"/>
          <c:order val="1"/>
          <c:tx>
            <c:strRef>
              <c:f>'Placement of Indigenous chn'!$A$3</c:f>
              <c:strCache>
                <c:ptCount val="1"/>
                <c:pt idx="0">
                  <c:v>Other Indigenous</c:v>
                </c:pt>
              </c:strCache>
            </c:strRef>
          </c:tx>
          <c:spPr>
            <a:pattFill prst="wdUpDiag">
              <a:fgClr>
                <a:schemeClr val="tx1"/>
              </a:fgClr>
              <a:bgClr>
                <a:schemeClr val="bg1"/>
              </a:bgClr>
            </a:pattFill>
            <a:ln>
              <a:solidFill>
                <a:sysClr val="windowText" lastClr="000000"/>
              </a:solidFill>
            </a:ln>
          </c:spPr>
          <c:invertIfNegative val="0"/>
          <c:cat>
            <c:strRef>
              <c:f>'Placement of Indigenous chn'!$B$1:$J$1</c:f>
              <c:strCache>
                <c:ptCount val="9"/>
                <c:pt idx="0">
                  <c:v>NSW</c:v>
                </c:pt>
                <c:pt idx="1">
                  <c:v>Vic</c:v>
                </c:pt>
                <c:pt idx="2">
                  <c:v>Qld</c:v>
                </c:pt>
                <c:pt idx="3">
                  <c:v>WA</c:v>
                </c:pt>
                <c:pt idx="4">
                  <c:v>SA</c:v>
                </c:pt>
                <c:pt idx="5">
                  <c:v>Tas</c:v>
                </c:pt>
                <c:pt idx="6">
                  <c:v>ACT</c:v>
                </c:pt>
                <c:pt idx="7">
                  <c:v>NT</c:v>
                </c:pt>
                <c:pt idx="8">
                  <c:v>Aust</c:v>
                </c:pt>
              </c:strCache>
            </c:strRef>
          </c:cat>
          <c:val>
            <c:numRef>
              <c:f>'Placement of Indigenous chn'!$B$3:$J$3</c:f>
              <c:numCache>
                <c:formatCode>0.0</c:formatCode>
                <c:ptCount val="9"/>
                <c:pt idx="0">
                  <c:v>17.839195979899497</c:v>
                </c:pt>
                <c:pt idx="1">
                  <c:v>6.3291139240506329</c:v>
                </c:pt>
                <c:pt idx="2">
                  <c:v>19.500164419598818</c:v>
                </c:pt>
                <c:pt idx="3">
                  <c:v>14.638783269961978</c:v>
                </c:pt>
                <c:pt idx="4">
                  <c:v>17.45562130177515</c:v>
                </c:pt>
                <c:pt idx="5">
                  <c:v>11.904761904761903</c:v>
                </c:pt>
                <c:pt idx="6">
                  <c:v>9.7744360902255636</c:v>
                </c:pt>
                <c:pt idx="7">
                  <c:v>10.369068541300527</c:v>
                </c:pt>
                <c:pt idx="8">
                  <c:v>16.426840351408664</c:v>
                </c:pt>
              </c:numCache>
            </c:numRef>
          </c:val>
        </c:ser>
        <c:ser>
          <c:idx val="2"/>
          <c:order val="2"/>
          <c:tx>
            <c:strRef>
              <c:f>'Placement of Indigenous chn'!$A$4</c:f>
              <c:strCache>
                <c:ptCount val="1"/>
                <c:pt idx="0">
                  <c:v>Other</c:v>
                </c:pt>
              </c:strCache>
            </c:strRef>
          </c:tx>
          <c:spPr>
            <a:solidFill>
              <a:schemeClr val="bg1">
                <a:lumMod val="50000"/>
              </a:schemeClr>
            </a:solidFill>
            <a:ln>
              <a:solidFill>
                <a:sysClr val="windowText" lastClr="000000"/>
              </a:solidFill>
            </a:ln>
          </c:spPr>
          <c:invertIfNegative val="0"/>
          <c:cat>
            <c:strRef>
              <c:f>'Placement of Indigenous chn'!$B$1:$J$1</c:f>
              <c:strCache>
                <c:ptCount val="9"/>
                <c:pt idx="0">
                  <c:v>NSW</c:v>
                </c:pt>
                <c:pt idx="1">
                  <c:v>Vic</c:v>
                </c:pt>
                <c:pt idx="2">
                  <c:v>Qld</c:v>
                </c:pt>
                <c:pt idx="3">
                  <c:v>WA</c:v>
                </c:pt>
                <c:pt idx="4">
                  <c:v>SA</c:v>
                </c:pt>
                <c:pt idx="5">
                  <c:v>Tas</c:v>
                </c:pt>
                <c:pt idx="6">
                  <c:v>ACT</c:v>
                </c:pt>
                <c:pt idx="7">
                  <c:v>NT</c:v>
                </c:pt>
                <c:pt idx="8">
                  <c:v>Aust</c:v>
                </c:pt>
              </c:strCache>
            </c:strRef>
          </c:cat>
          <c:val>
            <c:numRef>
              <c:f>'Placement of Indigenous chn'!$B$4:$J$4</c:f>
              <c:numCache>
                <c:formatCode>0.0</c:formatCode>
                <c:ptCount val="9"/>
                <c:pt idx="0">
                  <c:v>18.375209380234505</c:v>
                </c:pt>
                <c:pt idx="1">
                  <c:v>43.71957156767283</c:v>
                </c:pt>
                <c:pt idx="2">
                  <c:v>46.267675106872744</c:v>
                </c:pt>
                <c:pt idx="3">
                  <c:v>30.671736375158424</c:v>
                </c:pt>
                <c:pt idx="4">
                  <c:v>25.591715976331358</c:v>
                </c:pt>
                <c:pt idx="5">
                  <c:v>54.285714285714285</c:v>
                </c:pt>
                <c:pt idx="6">
                  <c:v>34.586466165413533</c:v>
                </c:pt>
                <c:pt idx="7">
                  <c:v>61.862917398945513</c:v>
                </c:pt>
                <c:pt idx="8">
                  <c:v>31.217812784004845</c:v>
                </c:pt>
              </c:numCache>
            </c:numRef>
          </c:val>
        </c:ser>
        <c:dLbls>
          <c:showLegendKey val="0"/>
          <c:showVal val="0"/>
          <c:showCatName val="0"/>
          <c:showSerName val="0"/>
          <c:showPercent val="0"/>
          <c:showBubbleSize val="0"/>
        </c:dLbls>
        <c:gapWidth val="150"/>
        <c:overlap val="100"/>
        <c:axId val="174133632"/>
        <c:axId val="174135168"/>
      </c:barChart>
      <c:catAx>
        <c:axId val="174133632"/>
        <c:scaling>
          <c:orientation val="minMax"/>
        </c:scaling>
        <c:delete val="0"/>
        <c:axPos val="b"/>
        <c:numFmt formatCode="General" sourceLinked="1"/>
        <c:majorTickMark val="out"/>
        <c:minorTickMark val="none"/>
        <c:tickLblPos val="nextTo"/>
        <c:crossAx val="174135168"/>
        <c:crosses val="autoZero"/>
        <c:auto val="1"/>
        <c:lblAlgn val="ctr"/>
        <c:lblOffset val="100"/>
        <c:noMultiLvlLbl val="0"/>
      </c:catAx>
      <c:valAx>
        <c:axId val="174135168"/>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0" sourceLinked="0"/>
        <c:majorTickMark val="out"/>
        <c:minorTickMark val="none"/>
        <c:tickLblPos val="nextTo"/>
        <c:spPr>
          <a:ln>
            <a:solidFill>
              <a:schemeClr val="tx1"/>
            </a:solidFill>
          </a:ln>
        </c:spPr>
        <c:crossAx val="174133632"/>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'Detention_Indigenous data'!$B$16</c:f>
              <c:strCache>
                <c:ptCount val="1"/>
                <c:pt idx="0">
                  <c:v>Indigenous</c:v>
                </c:pt>
              </c:strCache>
            </c:strRef>
          </c:tx>
          <c:spPr>
            <a:solidFill>
              <a:sysClr val="window" lastClr="FFFFFF">
                <a:lumMod val="75000"/>
              </a:sysClr>
            </a:solidFill>
            <a:ln>
              <a:solidFill>
                <a:srgbClr val="000000"/>
              </a:solidFill>
            </a:ln>
          </c:spPr>
          <c:invertIfNegative val="0"/>
          <c:cat>
            <c:strRef>
              <c:f>'Detention_Indigenous data'!$C$15:$K$15</c:f>
              <c:strCache>
                <c:ptCount val="9"/>
                <c:pt idx="0">
                  <c:v>NSW</c:v>
                </c:pt>
                <c:pt idx="1">
                  <c:v>Vic</c:v>
                </c:pt>
                <c:pt idx="2">
                  <c:v>Qld</c:v>
                </c:pt>
                <c:pt idx="3">
                  <c:v>WA</c:v>
                </c:pt>
                <c:pt idx="4">
                  <c:v>SA</c:v>
                </c:pt>
                <c:pt idx="5">
                  <c:v>Tas</c:v>
                </c:pt>
                <c:pt idx="6">
                  <c:v>ACT</c:v>
                </c:pt>
                <c:pt idx="7">
                  <c:v>NT</c:v>
                </c:pt>
                <c:pt idx="8">
                  <c:v>Aust</c:v>
                </c:pt>
              </c:strCache>
            </c:strRef>
          </c:cat>
          <c:val>
            <c:numRef>
              <c:f>'Detention_Indigenous data'!$C$16:$K$16</c:f>
              <c:numCache>
                <c:formatCode>0</c:formatCode>
                <c:ptCount val="9"/>
                <c:pt idx="0">
                  <c:v>522.4795200928852</c:v>
                </c:pt>
                <c:pt idx="1">
                  <c:v>253.23998212423658</c:v>
                </c:pt>
                <c:pt idx="2">
                  <c:v>256.82394389384609</c:v>
                </c:pt>
                <c:pt idx="3">
                  <c:v>857.50995294969243</c:v>
                </c:pt>
                <c:pt idx="4">
                  <c:v>458.71559633027528</c:v>
                </c:pt>
                <c:pt idx="5">
                  <c:v>160.90104585679805</c:v>
                </c:pt>
                <c:pt idx="6">
                  <c:v>1306.4133016627079</c:v>
                </c:pt>
                <c:pt idx="7">
                  <c:v>325.36008834794166</c:v>
                </c:pt>
                <c:pt idx="8">
                  <c:v>437.49709841847994</c:v>
                </c:pt>
              </c:numCache>
            </c:numRef>
          </c:val>
        </c:ser>
        <c:ser>
          <c:idx val="1"/>
          <c:order val="1"/>
          <c:tx>
            <c:strRef>
              <c:f>'Detention_Indigenous data'!$B$17</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'Detention_Indigenous data'!$C$15:$K$15</c:f>
              <c:strCache>
                <c:ptCount val="9"/>
                <c:pt idx="0">
                  <c:v>NSW</c:v>
                </c:pt>
                <c:pt idx="1">
                  <c:v>Vic</c:v>
                </c:pt>
                <c:pt idx="2">
                  <c:v>Qld</c:v>
                </c:pt>
                <c:pt idx="3">
                  <c:v>WA</c:v>
                </c:pt>
                <c:pt idx="4">
                  <c:v>SA</c:v>
                </c:pt>
                <c:pt idx="5">
                  <c:v>Tas</c:v>
                </c:pt>
                <c:pt idx="6">
                  <c:v>ACT</c:v>
                </c:pt>
                <c:pt idx="7">
                  <c:v>NT</c:v>
                </c:pt>
                <c:pt idx="8">
                  <c:v>Aust</c:v>
                </c:pt>
              </c:strCache>
            </c:strRef>
          </c:cat>
          <c:val>
            <c:numRef>
              <c:f>'Detention_Indigenous data'!$C$17:$K$17</c:f>
              <c:numCache>
                <c:formatCode>0</c:formatCode>
                <c:ptCount val="9"/>
                <c:pt idx="0">
                  <c:v>23.42345173126445</c:v>
                </c:pt>
                <c:pt idx="1">
                  <c:v>12.542469169504093</c:v>
                </c:pt>
                <c:pt idx="2">
                  <c:v>12.551527322693161</c:v>
                </c:pt>
                <c:pt idx="3">
                  <c:v>19.891762192078325</c:v>
                </c:pt>
                <c:pt idx="4">
                  <c:v>20.337087220682818</c:v>
                </c:pt>
                <c:pt idx="5">
                  <c:v>35.883021350397698</c:v>
                </c:pt>
                <c:pt idx="6">
                  <c:v>35.49665739809501</c:v>
                </c:pt>
                <c:pt idx="7">
                  <c:v>5.6944115118659369</c:v>
                </c:pt>
                <c:pt idx="8">
                  <c:v>18.166709214717027</c:v>
                </c:pt>
              </c:numCache>
            </c:numRef>
          </c:val>
        </c:ser>
        <c:dLbls>
          <c:showLegendKey val="0"/>
          <c:showVal val="0"/>
          <c:showCatName val="0"/>
          <c:showSerName val="0"/>
          <c:showPercent val="0"/>
          <c:showBubbleSize val="0"/>
        </c:dLbls>
        <c:gapWidth val="150"/>
        <c:axId val="172272256"/>
        <c:axId val="176038272"/>
      </c:barChart>
      <c:catAx>
        <c:axId val="172272256"/>
        <c:scaling>
          <c:orientation val="minMax"/>
        </c:scaling>
        <c:delete val="0"/>
        <c:axPos val="b"/>
        <c:numFmt formatCode="General" sourceLinked="1"/>
        <c:majorTickMark val="out"/>
        <c:minorTickMark val="none"/>
        <c:tickLblPos val="nextTo"/>
        <c:crossAx val="176038272"/>
        <c:crosses val="autoZero"/>
        <c:auto val="1"/>
        <c:lblAlgn val="ctr"/>
        <c:lblOffset val="100"/>
        <c:noMultiLvlLbl val="0"/>
      </c:catAx>
      <c:valAx>
        <c:axId val="176038272"/>
        <c:scaling>
          <c:orientation val="minMax"/>
          <c:max val="1500"/>
        </c:scaling>
        <c:delete val="0"/>
        <c:axPos val="l"/>
        <c:majorGridlines/>
        <c:title>
          <c:tx>
            <c:rich>
              <a:bodyPr rot="-5400000" vert="horz"/>
              <a:lstStyle/>
              <a:p>
                <a:pPr>
                  <a:defRPr/>
                </a:pPr>
                <a:r>
                  <a:rPr lang="en-AU"/>
                  <a:t>Detentions/100 000 juveniles</a:t>
                </a:r>
              </a:p>
            </c:rich>
          </c:tx>
          <c:overlay val="0"/>
        </c:title>
        <c:numFmt formatCode="#\ ##0" sourceLinked="0"/>
        <c:majorTickMark val="out"/>
        <c:minorTickMark val="none"/>
        <c:tickLblPos val="nextTo"/>
        <c:spPr>
          <a:ln>
            <a:solidFill>
              <a:schemeClr val="tx1"/>
            </a:solidFill>
          </a:ln>
        </c:spPr>
        <c:crossAx val="172272256"/>
        <c:crosses val="autoZero"/>
        <c:crossBetween val="between"/>
        <c:majorUnit val="30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7200006296990134"/>
          <c:y val="0.1817703041656083"/>
          <c:w val="0.8045937311432686"/>
          <c:h val="0.70908881858045691"/>
        </c:manualLayout>
      </c:layout>
      <c:barChart>
        <c:barDir val="col"/>
        <c:grouping val="clustered"/>
        <c:varyColors val="0"/>
        <c:ser>
          <c:idx val="0"/>
          <c:order val="0"/>
          <c:tx>
            <c:strRef>
              <c:f>'Community_Indigenous data'!$B$14</c:f>
              <c:strCache>
                <c:ptCount val="1"/>
                <c:pt idx="0">
                  <c:v>Indigenous</c:v>
                </c:pt>
              </c:strCache>
            </c:strRef>
          </c:tx>
          <c:spPr>
            <a:solidFill>
              <a:sysClr val="window" lastClr="FFFFFF">
                <a:lumMod val="75000"/>
              </a:sysClr>
            </a:solidFill>
            <a:ln>
              <a:solidFill>
                <a:srgbClr val="000000"/>
              </a:solidFill>
            </a:ln>
          </c:spPr>
          <c:invertIfNegative val="0"/>
          <c:cat>
            <c:strRef>
              <c:f>'Community_Indigenous data'!$C$13:$K$13</c:f>
              <c:strCache>
                <c:ptCount val="9"/>
                <c:pt idx="0">
                  <c:v>NSW</c:v>
                </c:pt>
                <c:pt idx="1">
                  <c:v>Vic</c:v>
                </c:pt>
                <c:pt idx="2">
                  <c:v>Qld</c:v>
                </c:pt>
                <c:pt idx="3">
                  <c:v>WA</c:v>
                </c:pt>
                <c:pt idx="4">
                  <c:v>SA</c:v>
                </c:pt>
                <c:pt idx="5">
                  <c:v>Tas</c:v>
                </c:pt>
                <c:pt idx="6">
                  <c:v>ACT</c:v>
                </c:pt>
                <c:pt idx="7">
                  <c:v>NT</c:v>
                </c:pt>
                <c:pt idx="8">
                  <c:v>Aust</c:v>
                </c:pt>
              </c:strCache>
            </c:strRef>
          </c:cat>
          <c:val>
            <c:numRef>
              <c:f>'Community_Indigenous data'!$C$14:$K$14</c:f>
              <c:numCache>
                <c:formatCode>0.0</c:formatCode>
                <c:ptCount val="9"/>
                <c:pt idx="0">
                  <c:v>2047.9907114751984</c:v>
                </c:pt>
                <c:pt idx="1">
                  <c:v>2025.9198569938926</c:v>
                </c:pt>
                <c:pt idx="2">
                  <c:v>2015.0801751671004</c:v>
                </c:pt>
                <c:pt idx="3">
                  <c:v>3088.3098081795147</c:v>
                </c:pt>
                <c:pt idx="4">
                  <c:v>1799.5765702187721</c:v>
                </c:pt>
                <c:pt idx="5">
                  <c:v>1045.8567980691876</c:v>
                </c:pt>
                <c:pt idx="6">
                  <c:v>2731.5914489311162</c:v>
                </c:pt>
                <c:pt idx="7">
                  <c:v>1287.8787878788166</c:v>
                </c:pt>
                <c:pt idx="8">
                  <c:v>2045.7681840355656</c:v>
                </c:pt>
              </c:numCache>
            </c:numRef>
          </c:val>
        </c:ser>
        <c:ser>
          <c:idx val="1"/>
          <c:order val="1"/>
          <c:tx>
            <c:strRef>
              <c:f>'Community_Indigenous data'!$B$15</c:f>
              <c:strCache>
                <c:ptCount val="1"/>
                <c:pt idx="0">
                  <c:v>Non-Indigenous </c:v>
                </c:pt>
              </c:strCache>
            </c:strRef>
          </c:tx>
          <c:spPr>
            <a:pattFill prst="wdUpDiag">
              <a:fgClr>
                <a:schemeClr val="tx1"/>
              </a:fgClr>
              <a:bgClr>
                <a:schemeClr val="bg1"/>
              </a:bgClr>
            </a:pattFill>
            <a:ln>
              <a:solidFill>
                <a:sysClr val="windowText" lastClr="000000"/>
              </a:solidFill>
            </a:ln>
          </c:spPr>
          <c:invertIfNegative val="0"/>
          <c:cat>
            <c:strRef>
              <c:f>'Community_Indigenous data'!$C$13:$K$13</c:f>
              <c:strCache>
                <c:ptCount val="9"/>
                <c:pt idx="0">
                  <c:v>NSW</c:v>
                </c:pt>
                <c:pt idx="1">
                  <c:v>Vic</c:v>
                </c:pt>
                <c:pt idx="2">
                  <c:v>Qld</c:v>
                </c:pt>
                <c:pt idx="3">
                  <c:v>WA</c:v>
                </c:pt>
                <c:pt idx="4">
                  <c:v>SA</c:v>
                </c:pt>
                <c:pt idx="5">
                  <c:v>Tas</c:v>
                </c:pt>
                <c:pt idx="6">
                  <c:v>ACT</c:v>
                </c:pt>
                <c:pt idx="7">
                  <c:v>NT</c:v>
                </c:pt>
                <c:pt idx="8">
                  <c:v>Aust</c:v>
                </c:pt>
              </c:strCache>
            </c:strRef>
          </c:cat>
          <c:val>
            <c:numRef>
              <c:f>'Community_Indigenous data'!$C$15:$K$15</c:f>
              <c:numCache>
                <c:formatCode>0.0</c:formatCode>
                <c:ptCount val="9"/>
                <c:pt idx="0">
                  <c:v>116.97443273113161</c:v>
                </c:pt>
                <c:pt idx="1">
                  <c:v>149.58738965393852</c:v>
                </c:pt>
                <c:pt idx="2">
                  <c:v>142.91124969171688</c:v>
                </c:pt>
                <c:pt idx="3">
                  <c:v>126.52702004501153</c:v>
                </c:pt>
                <c:pt idx="4">
                  <c:v>107.40524188423113</c:v>
                </c:pt>
                <c:pt idx="5">
                  <c:v>370.79122062077624</c:v>
                </c:pt>
                <c:pt idx="6">
                  <c:v>257.35076613618884</c:v>
                </c:pt>
                <c:pt idx="7">
                  <c:v>212.19006883646327</c:v>
                </c:pt>
                <c:pt idx="8">
                  <c:v>139.48703655144212</c:v>
                </c:pt>
              </c:numCache>
            </c:numRef>
          </c:val>
        </c:ser>
        <c:dLbls>
          <c:showLegendKey val="0"/>
          <c:showVal val="0"/>
          <c:showCatName val="0"/>
          <c:showSerName val="0"/>
          <c:showPercent val="0"/>
          <c:showBubbleSize val="0"/>
        </c:dLbls>
        <c:gapWidth val="150"/>
        <c:axId val="174945408"/>
        <c:axId val="174946944"/>
      </c:barChart>
      <c:catAx>
        <c:axId val="174945408"/>
        <c:scaling>
          <c:orientation val="minMax"/>
        </c:scaling>
        <c:delete val="0"/>
        <c:axPos val="b"/>
        <c:numFmt formatCode="General" sourceLinked="1"/>
        <c:majorTickMark val="out"/>
        <c:minorTickMark val="none"/>
        <c:tickLblPos val="nextTo"/>
        <c:crossAx val="174946944"/>
        <c:crosses val="autoZero"/>
        <c:auto val="1"/>
        <c:lblAlgn val="ctr"/>
        <c:lblOffset val="100"/>
        <c:noMultiLvlLbl val="0"/>
      </c:catAx>
      <c:valAx>
        <c:axId val="174946944"/>
        <c:scaling>
          <c:orientation val="minMax"/>
          <c:max val="3500"/>
        </c:scaling>
        <c:delete val="0"/>
        <c:axPos val="l"/>
        <c:majorGridlines/>
        <c:title>
          <c:tx>
            <c:rich>
              <a:bodyPr rot="-5400000" vert="horz"/>
              <a:lstStyle/>
              <a:p>
                <a:pPr>
                  <a:defRPr/>
                </a:pPr>
                <a:r>
                  <a:rPr lang="en-AU"/>
                  <a:t>Community supervision/</a:t>
                </a:r>
              </a:p>
              <a:p>
                <a:pPr>
                  <a:defRPr/>
                </a:pPr>
                <a:r>
                  <a:rPr lang="en-AU"/>
                  <a:t>100 000 juveniles</a:t>
                </a:r>
              </a:p>
            </c:rich>
          </c:tx>
          <c:overlay val="0"/>
        </c:title>
        <c:numFmt formatCode="#\ ##0" sourceLinked="0"/>
        <c:majorTickMark val="out"/>
        <c:minorTickMark val="none"/>
        <c:tickLblPos val="nextTo"/>
        <c:spPr>
          <a:ln>
            <a:solidFill>
              <a:schemeClr val="tx1"/>
            </a:solidFill>
          </a:ln>
        </c:spPr>
        <c:crossAx val="174945408"/>
        <c:crosses val="autoZero"/>
        <c:crossBetween val="between"/>
        <c:majorUnit val="70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'Group conferencing data'!$B$16</c:f>
              <c:strCache>
                <c:ptCount val="1"/>
                <c:pt idx="0">
                  <c:v>Indigenous</c:v>
                </c:pt>
              </c:strCache>
            </c:strRef>
          </c:tx>
          <c:spPr>
            <a:solidFill>
              <a:sysClr val="window" lastClr="FFFFFF">
                <a:lumMod val="75000"/>
              </a:sysClr>
            </a:solidFill>
            <a:ln>
              <a:solidFill>
                <a:srgbClr val="000000"/>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data'!$C$16:$K$16</c:f>
              <c:numCache>
                <c:formatCode>###\ ###\ ##0.0;\-###\ ###\ ##0.0;"–"</c:formatCode>
                <c:ptCount val="9"/>
                <c:pt idx="0">
                  <c:v>99.195710455764072</c:v>
                </c:pt>
                <c:pt idx="1">
                  <c:v>100</c:v>
                </c:pt>
                <c:pt idx="2">
                  <c:v>0</c:v>
                </c:pt>
                <c:pt idx="3">
                  <c:v>0</c:v>
                </c:pt>
                <c:pt idx="4">
                  <c:v>0</c:v>
                </c:pt>
                <c:pt idx="5">
                  <c:v>82.35294117647058</c:v>
                </c:pt>
                <c:pt idx="6">
                  <c:v>100</c:v>
                </c:pt>
                <c:pt idx="7">
                  <c:v>100</c:v>
                </c:pt>
                <c:pt idx="8">
                  <c:v>99.192462987886941</c:v>
                </c:pt>
              </c:numCache>
            </c:numRef>
          </c:val>
        </c:ser>
        <c:ser>
          <c:idx val="1"/>
          <c:order val="1"/>
          <c:tx>
            <c:strRef>
              <c:f>'Group conferencing data'!$B$17</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data'!$C$17:$K$17</c:f>
              <c:numCache>
                <c:formatCode>###\ ###\ ##0.0;\-###\ ###\ ##0.0;"–"</c:formatCode>
                <c:ptCount val="9"/>
                <c:pt idx="0">
                  <c:v>98.616600790513829</c:v>
                </c:pt>
                <c:pt idx="1">
                  <c:v>100</c:v>
                </c:pt>
                <c:pt idx="2">
                  <c:v>0</c:v>
                </c:pt>
                <c:pt idx="3">
                  <c:v>0</c:v>
                </c:pt>
                <c:pt idx="4">
                  <c:v>0</c:v>
                </c:pt>
                <c:pt idx="5">
                  <c:v>95.357142857142861</c:v>
                </c:pt>
                <c:pt idx="6">
                  <c:v>99.1869918699187</c:v>
                </c:pt>
                <c:pt idx="7">
                  <c:v>100</c:v>
                </c:pt>
                <c:pt idx="8">
                  <c:v>98.130841121495322</c:v>
                </c:pt>
              </c:numCache>
            </c:numRef>
          </c:val>
        </c:ser>
        <c:ser>
          <c:idx val="2"/>
          <c:order val="2"/>
          <c:tx>
            <c:strRef>
              <c:f>'Group conferencing data'!$B$18</c:f>
              <c:strCache>
                <c:ptCount val="1"/>
                <c:pt idx="0">
                  <c:v>Unknown</c:v>
                </c:pt>
              </c:strCache>
            </c:strRef>
          </c:tx>
          <c:spPr>
            <a:solidFill>
              <a:schemeClr val="bg1">
                <a:lumMod val="50000"/>
              </a:schemeClr>
            </a:solidFill>
            <a:ln>
              <a:solidFill>
                <a:sysClr val="windowText" lastClr="000000"/>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data'!$C$18:$K$18</c:f>
              <c:numCache>
                <c:formatCode>###\ ###\ ##0.0;\-###\ ###\ ##0.0;"–"</c:formatCode>
                <c:ptCount val="9"/>
                <c:pt idx="0">
                  <c:v>99.447513812154696</c:v>
                </c:pt>
                <c:pt idx="1">
                  <c:v>0</c:v>
                </c:pt>
                <c:pt idx="2">
                  <c:v>0</c:v>
                </c:pt>
                <c:pt idx="3">
                  <c:v>0</c:v>
                </c:pt>
                <c:pt idx="4">
                  <c:v>0</c:v>
                </c:pt>
                <c:pt idx="5">
                  <c:v>100</c:v>
                </c:pt>
                <c:pt idx="6">
                  <c:v>0</c:v>
                </c:pt>
                <c:pt idx="7">
                  <c:v>0</c:v>
                </c:pt>
                <c:pt idx="8">
                  <c:v>99.492385786802032</c:v>
                </c:pt>
              </c:numCache>
            </c:numRef>
          </c:val>
        </c:ser>
        <c:ser>
          <c:idx val="3"/>
          <c:order val="3"/>
          <c:tx>
            <c:strRef>
              <c:f>'Group conferencing data'!$B$19</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data'!$C$19:$K$19</c:f>
              <c:numCache>
                <c:formatCode>###\ ###\ ##0.0;\-###\ ###\ ##0.0;"–"</c:formatCode>
                <c:ptCount val="9"/>
                <c:pt idx="0">
                  <c:v>98.850574712643677</c:v>
                </c:pt>
                <c:pt idx="1">
                  <c:v>100</c:v>
                </c:pt>
                <c:pt idx="2">
                  <c:v>94.829097283085019</c:v>
                </c:pt>
                <c:pt idx="3">
                  <c:v>0</c:v>
                </c:pt>
                <c:pt idx="4">
                  <c:v>0</c:v>
                </c:pt>
                <c:pt idx="5">
                  <c:v>94.888178913738017</c:v>
                </c:pt>
                <c:pt idx="6">
                  <c:v>99.324324324324323</c:v>
                </c:pt>
                <c:pt idx="7">
                  <c:v>100</c:v>
                </c:pt>
                <c:pt idx="8">
                  <c:v>96.758474576271198</c:v>
                </c:pt>
              </c:numCache>
            </c:numRef>
          </c:val>
        </c:ser>
        <c:dLbls>
          <c:showLegendKey val="0"/>
          <c:showVal val="0"/>
          <c:showCatName val="0"/>
          <c:showSerName val="0"/>
          <c:showPercent val="0"/>
          <c:showBubbleSize val="0"/>
        </c:dLbls>
        <c:gapWidth val="150"/>
        <c:axId val="176100480"/>
        <c:axId val="176102016"/>
      </c:barChart>
      <c:catAx>
        <c:axId val="176100480"/>
        <c:scaling>
          <c:orientation val="minMax"/>
        </c:scaling>
        <c:delete val="0"/>
        <c:axPos val="b"/>
        <c:numFmt formatCode="General" sourceLinked="1"/>
        <c:majorTickMark val="out"/>
        <c:minorTickMark val="none"/>
        <c:tickLblPos val="nextTo"/>
        <c:crossAx val="176102016"/>
        <c:crosses val="autoZero"/>
        <c:auto val="1"/>
        <c:lblAlgn val="ctr"/>
        <c:lblOffset val="100"/>
        <c:noMultiLvlLbl val="0"/>
      </c:catAx>
      <c:valAx>
        <c:axId val="176102016"/>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176100480"/>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'Education &amp; training data'!$B$17</c:f>
              <c:strCache>
                <c:ptCount val="1"/>
                <c:pt idx="0">
                  <c:v>Indigenous</c:v>
                </c:pt>
              </c:strCache>
            </c:strRef>
          </c:tx>
          <c:spPr>
            <a:solidFill>
              <a:sysClr val="window" lastClr="FFFFFF">
                <a:lumMod val="75000"/>
              </a:sysClr>
            </a:solidFill>
            <a:ln>
              <a:solidFill>
                <a:srgbClr val="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data'!$C$17:$K$17</c:f>
              <c:numCache>
                <c:formatCode>###\ ###\ ##0.0;\-###\ ###\ ##0.0;"–"</c:formatCode>
                <c:ptCount val="9"/>
                <c:pt idx="0">
                  <c:v>100</c:v>
                </c:pt>
                <c:pt idx="1">
                  <c:v>100</c:v>
                </c:pt>
                <c:pt idx="2">
                  <c:v>100</c:v>
                </c:pt>
                <c:pt idx="3">
                  <c:v>88.775510204081627</c:v>
                </c:pt>
                <c:pt idx="4">
                  <c:v>100</c:v>
                </c:pt>
                <c:pt idx="5">
                  <c:v>100</c:v>
                </c:pt>
                <c:pt idx="6">
                  <c:v>100</c:v>
                </c:pt>
                <c:pt idx="7">
                  <c:v>100</c:v>
                </c:pt>
                <c:pt idx="8">
                  <c:v>98.080279232111693</c:v>
                </c:pt>
              </c:numCache>
            </c:numRef>
          </c:val>
        </c:ser>
        <c:ser>
          <c:idx val="1"/>
          <c:order val="1"/>
          <c:tx>
            <c:strRef>
              <c:f>'Education &amp; training data'!$B$18</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data'!$C$18:$K$18</c:f>
              <c:numCache>
                <c:formatCode>###\ ###\ ##0.0;\-###\ ###\ ##0.0;"–"</c:formatCode>
                <c:ptCount val="9"/>
                <c:pt idx="0">
                  <c:v>100</c:v>
                </c:pt>
                <c:pt idx="1">
                  <c:v>95</c:v>
                </c:pt>
                <c:pt idx="2">
                  <c:v>100</c:v>
                </c:pt>
                <c:pt idx="3">
                  <c:v>76.744186046511629</c:v>
                </c:pt>
                <c:pt idx="4">
                  <c:v>100</c:v>
                </c:pt>
                <c:pt idx="5">
                  <c:v>100</c:v>
                </c:pt>
                <c:pt idx="6">
                  <c:v>100</c:v>
                </c:pt>
                <c:pt idx="7">
                  <c:v>100</c:v>
                </c:pt>
                <c:pt idx="8">
                  <c:v>97.369994022713684</c:v>
                </c:pt>
              </c:numCache>
            </c:numRef>
          </c:val>
        </c:ser>
        <c:ser>
          <c:idx val="2"/>
          <c:order val="2"/>
          <c:tx>
            <c:strRef>
              <c:f>'Education &amp; training data'!$B$19</c:f>
              <c:strCache>
                <c:ptCount val="1"/>
                <c:pt idx="0">
                  <c:v>Unknown</c:v>
                </c:pt>
              </c:strCache>
            </c:strRef>
          </c:tx>
          <c:spPr>
            <a:solidFill>
              <a:schemeClr val="bg1">
                <a:lumMod val="50000"/>
              </a:schemeClr>
            </a:solid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data'!$C$19:$K$19</c:f>
              <c:numCache>
                <c:formatCode>###\ ###\ ##0.0;\-###\ ###\ ##0.0;"–"</c:formatCode>
                <c:ptCount val="9"/>
                <c:pt idx="0">
                  <c:v>100</c:v>
                </c:pt>
                <c:pt idx="1">
                  <c:v>0</c:v>
                </c:pt>
                <c:pt idx="2">
                  <c:v>0</c:v>
                </c:pt>
                <c:pt idx="3">
                  <c:v>0</c:v>
                </c:pt>
                <c:pt idx="4">
                  <c:v>0</c:v>
                </c:pt>
                <c:pt idx="5">
                  <c:v>0</c:v>
                </c:pt>
                <c:pt idx="6">
                  <c:v>0</c:v>
                </c:pt>
                <c:pt idx="7">
                  <c:v>0</c:v>
                </c:pt>
                <c:pt idx="8">
                  <c:v>100</c:v>
                </c:pt>
              </c:numCache>
            </c:numRef>
          </c:val>
        </c:ser>
        <c:ser>
          <c:idx val="3"/>
          <c:order val="3"/>
          <c:tx>
            <c:strRef>
              <c:f>'Education &amp; training data'!$B$20</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data'!$C$20:$K$20</c:f>
              <c:numCache>
                <c:formatCode>###\ ###\ ##0.0;\-###\ ###\ ##0.0;"–"</c:formatCode>
                <c:ptCount val="9"/>
                <c:pt idx="0">
                  <c:v>100</c:v>
                </c:pt>
                <c:pt idx="1">
                  <c:v>95.833333333333343</c:v>
                </c:pt>
                <c:pt idx="2">
                  <c:v>100</c:v>
                </c:pt>
                <c:pt idx="3">
                  <c:v>85.106382978723403</c:v>
                </c:pt>
                <c:pt idx="4">
                  <c:v>100</c:v>
                </c:pt>
                <c:pt idx="5">
                  <c:v>100</c:v>
                </c:pt>
                <c:pt idx="6">
                  <c:v>100</c:v>
                </c:pt>
                <c:pt idx="7">
                  <c:v>100</c:v>
                </c:pt>
                <c:pt idx="8">
                  <c:v>97.798348761571177</c:v>
                </c:pt>
              </c:numCache>
            </c:numRef>
          </c:val>
        </c:ser>
        <c:dLbls>
          <c:showLegendKey val="0"/>
          <c:showVal val="0"/>
          <c:showCatName val="0"/>
          <c:showSerName val="0"/>
          <c:showPercent val="0"/>
          <c:showBubbleSize val="0"/>
        </c:dLbls>
        <c:gapWidth val="150"/>
        <c:axId val="176158208"/>
        <c:axId val="176159744"/>
      </c:barChart>
      <c:catAx>
        <c:axId val="176158208"/>
        <c:scaling>
          <c:orientation val="minMax"/>
        </c:scaling>
        <c:delete val="0"/>
        <c:axPos val="b"/>
        <c:numFmt formatCode="General" sourceLinked="1"/>
        <c:majorTickMark val="out"/>
        <c:minorTickMark val="none"/>
        <c:tickLblPos val="nextTo"/>
        <c:crossAx val="176159744"/>
        <c:crosses val="autoZero"/>
        <c:auto val="1"/>
        <c:lblAlgn val="ctr"/>
        <c:lblOffset val="100"/>
        <c:noMultiLvlLbl val="0"/>
      </c:catAx>
      <c:valAx>
        <c:axId val="176159744"/>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176158208"/>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'Education &amp; training data'!$B$34</c:f>
              <c:strCache>
                <c:ptCount val="1"/>
                <c:pt idx="0">
                  <c:v>Indigenous</c:v>
                </c:pt>
              </c:strCache>
            </c:strRef>
          </c:tx>
          <c:spPr>
            <a:solidFill>
              <a:sysClr val="window" lastClr="FFFFFF">
                <a:lumMod val="75000"/>
              </a:sysClr>
            </a:solidFill>
            <a:ln>
              <a:solidFill>
                <a:srgbClr val="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data'!$C$34:$K$34</c:f>
              <c:numCache>
                <c:formatCode>###\ ###\ ##0.0;\-###\ ###\ ##0.0;"–"</c:formatCode>
                <c:ptCount val="9"/>
                <c:pt idx="0">
                  <c:v>100</c:v>
                </c:pt>
                <c:pt idx="1">
                  <c:v>80.952380952380949</c:v>
                </c:pt>
                <c:pt idx="2">
                  <c:v>100</c:v>
                </c:pt>
                <c:pt idx="3">
                  <c:v>83.333333333333343</c:v>
                </c:pt>
                <c:pt idx="4">
                  <c:v>100</c:v>
                </c:pt>
                <c:pt idx="5">
                  <c:v>100</c:v>
                </c:pt>
                <c:pt idx="6">
                  <c:v>100</c:v>
                </c:pt>
                <c:pt idx="7">
                  <c:v>100</c:v>
                </c:pt>
                <c:pt idx="8">
                  <c:v>98.142774230992458</c:v>
                </c:pt>
              </c:numCache>
            </c:numRef>
          </c:val>
        </c:ser>
        <c:ser>
          <c:idx val="1"/>
          <c:order val="1"/>
          <c:tx>
            <c:strRef>
              <c:f>'Education &amp; training data'!$B$35</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data'!$C$35:$K$35</c:f>
              <c:numCache>
                <c:formatCode>###\ ###\ ##0.0;\-###\ ###\ ##0.0;"–"</c:formatCode>
                <c:ptCount val="9"/>
                <c:pt idx="0">
                  <c:v>100</c:v>
                </c:pt>
                <c:pt idx="1">
                  <c:v>77.570093457943926</c:v>
                </c:pt>
                <c:pt idx="2">
                  <c:v>100</c:v>
                </c:pt>
                <c:pt idx="3">
                  <c:v>81.818181818181827</c:v>
                </c:pt>
                <c:pt idx="4">
                  <c:v>100</c:v>
                </c:pt>
                <c:pt idx="5">
                  <c:v>100</c:v>
                </c:pt>
                <c:pt idx="6">
                  <c:v>100</c:v>
                </c:pt>
                <c:pt idx="7">
                  <c:v>0</c:v>
                </c:pt>
                <c:pt idx="8">
                  <c:v>95.081247255160292</c:v>
                </c:pt>
              </c:numCache>
            </c:numRef>
          </c:val>
        </c:ser>
        <c:ser>
          <c:idx val="2"/>
          <c:order val="2"/>
          <c:tx>
            <c:strRef>
              <c:f>'Education &amp; training data'!$B$36</c:f>
              <c:strCache>
                <c:ptCount val="1"/>
                <c:pt idx="0">
                  <c:v>Unknown</c:v>
                </c:pt>
              </c:strCache>
            </c:strRef>
          </c:tx>
          <c:spPr>
            <a:solidFill>
              <a:schemeClr val="bg1">
                <a:lumMod val="50000"/>
              </a:schemeClr>
            </a:solid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data'!$C$36:$K$36</c:f>
              <c:numCache>
                <c:formatCode>###\ ###\ ##0.0;\-###\ ###\ ##0.0;"–"</c:formatCode>
                <c:ptCount val="9"/>
                <c:pt idx="0">
                  <c:v>100</c:v>
                </c:pt>
                <c:pt idx="1">
                  <c:v>0</c:v>
                </c:pt>
                <c:pt idx="2">
                  <c:v>100</c:v>
                </c:pt>
                <c:pt idx="3">
                  <c:v>0</c:v>
                </c:pt>
                <c:pt idx="4">
                  <c:v>100</c:v>
                </c:pt>
                <c:pt idx="5">
                  <c:v>0</c:v>
                </c:pt>
                <c:pt idx="6">
                  <c:v>0</c:v>
                </c:pt>
                <c:pt idx="7">
                  <c:v>0</c:v>
                </c:pt>
                <c:pt idx="8">
                  <c:v>100</c:v>
                </c:pt>
              </c:numCache>
            </c:numRef>
          </c:val>
        </c:ser>
        <c:ser>
          <c:idx val="3"/>
          <c:order val="3"/>
          <c:tx>
            <c:strRef>
              <c:f>'Education &amp; training data'!$B$37</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data'!$C$37:$K$37</c:f>
              <c:numCache>
                <c:formatCode>###\ ###\ ##0.0;\-###\ ###\ ##0.0;"–"</c:formatCode>
                <c:ptCount val="9"/>
                <c:pt idx="0">
                  <c:v>100</c:v>
                </c:pt>
                <c:pt idx="1">
                  <c:v>78.125</c:v>
                </c:pt>
                <c:pt idx="2">
                  <c:v>100</c:v>
                </c:pt>
                <c:pt idx="3">
                  <c:v>82.608695652173907</c:v>
                </c:pt>
                <c:pt idx="4">
                  <c:v>100</c:v>
                </c:pt>
                <c:pt idx="5">
                  <c:v>100</c:v>
                </c:pt>
                <c:pt idx="6">
                  <c:v>100</c:v>
                </c:pt>
                <c:pt idx="7">
                  <c:v>100</c:v>
                </c:pt>
                <c:pt idx="8">
                  <c:v>96.467124631992149</c:v>
                </c:pt>
              </c:numCache>
            </c:numRef>
          </c:val>
        </c:ser>
        <c:dLbls>
          <c:showLegendKey val="0"/>
          <c:showVal val="0"/>
          <c:showCatName val="0"/>
          <c:showSerName val="0"/>
          <c:showPercent val="0"/>
          <c:showBubbleSize val="0"/>
        </c:dLbls>
        <c:gapWidth val="150"/>
        <c:axId val="176330624"/>
        <c:axId val="176332160"/>
      </c:barChart>
      <c:catAx>
        <c:axId val="176330624"/>
        <c:scaling>
          <c:orientation val="minMax"/>
        </c:scaling>
        <c:delete val="0"/>
        <c:axPos val="b"/>
        <c:numFmt formatCode="General" sourceLinked="1"/>
        <c:majorTickMark val="out"/>
        <c:minorTickMark val="none"/>
        <c:tickLblPos val="nextTo"/>
        <c:crossAx val="176332160"/>
        <c:crosses val="autoZero"/>
        <c:auto val="1"/>
        <c:lblAlgn val="ctr"/>
        <c:lblOffset val="100"/>
        <c:noMultiLvlLbl val="0"/>
      </c:catAx>
      <c:valAx>
        <c:axId val="176332160"/>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176330624"/>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'Pre-sentence reports data'!$B$15</c:f>
              <c:strCache>
                <c:ptCount val="1"/>
                <c:pt idx="0">
                  <c:v>Indigenous</c:v>
                </c:pt>
              </c:strCache>
            </c:strRef>
          </c:tx>
          <c:spPr>
            <a:solidFill>
              <a:sysClr val="window" lastClr="FFFFFF">
                <a:lumMod val="75000"/>
              </a:sysClr>
            </a:solidFill>
            <a:ln>
              <a:solidFill>
                <a:srgbClr val="000000"/>
              </a:solidFill>
            </a:ln>
          </c:spPr>
          <c:invertIfNegative val="0"/>
          <c:cat>
            <c:strRef>
              <c:f>'Pre-sentence reports data'!$C$4:$K$4</c:f>
              <c:strCache>
                <c:ptCount val="9"/>
                <c:pt idx="0">
                  <c:v>NSW</c:v>
                </c:pt>
                <c:pt idx="1">
                  <c:v>Vic</c:v>
                </c:pt>
                <c:pt idx="2">
                  <c:v>Qld</c:v>
                </c:pt>
                <c:pt idx="3">
                  <c:v>WA</c:v>
                </c:pt>
                <c:pt idx="4">
                  <c:v>SA</c:v>
                </c:pt>
                <c:pt idx="5">
                  <c:v>Tas</c:v>
                </c:pt>
                <c:pt idx="6">
                  <c:v>ACT</c:v>
                </c:pt>
                <c:pt idx="7">
                  <c:v>NT</c:v>
                </c:pt>
                <c:pt idx="8">
                  <c:v>Aust</c:v>
                </c:pt>
              </c:strCache>
            </c:strRef>
          </c:cat>
          <c:val>
            <c:numRef>
              <c:f>'Pre-sentence reports data'!$C$15:$K$15</c:f>
              <c:numCache>
                <c:formatCode>###\ ###\ ##0.0;\-###\ ###\ ##0.0;"–"</c:formatCode>
                <c:ptCount val="9"/>
                <c:pt idx="0">
                  <c:v>100</c:v>
                </c:pt>
                <c:pt idx="1">
                  <c:v>0</c:v>
                </c:pt>
                <c:pt idx="2">
                  <c:v>100</c:v>
                </c:pt>
                <c:pt idx="3">
                  <c:v>0</c:v>
                </c:pt>
                <c:pt idx="4">
                  <c:v>98</c:v>
                </c:pt>
                <c:pt idx="5">
                  <c:v>100</c:v>
                </c:pt>
                <c:pt idx="6">
                  <c:v>100</c:v>
                </c:pt>
                <c:pt idx="7">
                  <c:v>100</c:v>
                </c:pt>
                <c:pt idx="8">
                  <c:v>100</c:v>
                </c:pt>
              </c:numCache>
            </c:numRef>
          </c:val>
        </c:ser>
        <c:ser>
          <c:idx val="1"/>
          <c:order val="1"/>
          <c:tx>
            <c:strRef>
              <c:f>'Pre-sentence reports data'!$B$16</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'Pre-sentence reports data'!$C$4:$K$4</c:f>
              <c:strCache>
                <c:ptCount val="9"/>
                <c:pt idx="0">
                  <c:v>NSW</c:v>
                </c:pt>
                <c:pt idx="1">
                  <c:v>Vic</c:v>
                </c:pt>
                <c:pt idx="2">
                  <c:v>Qld</c:v>
                </c:pt>
                <c:pt idx="3">
                  <c:v>WA</c:v>
                </c:pt>
                <c:pt idx="4">
                  <c:v>SA</c:v>
                </c:pt>
                <c:pt idx="5">
                  <c:v>Tas</c:v>
                </c:pt>
                <c:pt idx="6">
                  <c:v>ACT</c:v>
                </c:pt>
                <c:pt idx="7">
                  <c:v>NT</c:v>
                </c:pt>
                <c:pt idx="8">
                  <c:v>Aust</c:v>
                </c:pt>
              </c:strCache>
            </c:strRef>
          </c:cat>
          <c:val>
            <c:numRef>
              <c:f>'Pre-sentence reports data'!$C$16:$K$16</c:f>
              <c:numCache>
                <c:formatCode>###\ ###\ ##0.0;\-###\ ###\ ##0.0;"–"</c:formatCode>
                <c:ptCount val="9"/>
                <c:pt idx="0">
                  <c:v>100</c:v>
                </c:pt>
                <c:pt idx="1">
                  <c:v>0</c:v>
                </c:pt>
                <c:pt idx="2">
                  <c:v>100</c:v>
                </c:pt>
                <c:pt idx="3">
                  <c:v>0</c:v>
                </c:pt>
                <c:pt idx="4">
                  <c:v>96</c:v>
                </c:pt>
                <c:pt idx="5">
                  <c:v>100</c:v>
                </c:pt>
                <c:pt idx="6">
                  <c:v>100</c:v>
                </c:pt>
                <c:pt idx="7">
                  <c:v>100</c:v>
                </c:pt>
                <c:pt idx="8">
                  <c:v>100</c:v>
                </c:pt>
              </c:numCache>
            </c:numRef>
          </c:val>
        </c:ser>
        <c:ser>
          <c:idx val="2"/>
          <c:order val="2"/>
          <c:tx>
            <c:strRef>
              <c:f>'Pre-sentence reports data'!$B$17</c:f>
              <c:strCache>
                <c:ptCount val="1"/>
                <c:pt idx="0">
                  <c:v>Unknown</c:v>
                </c:pt>
              </c:strCache>
            </c:strRef>
          </c:tx>
          <c:spPr>
            <a:solidFill>
              <a:schemeClr val="bg1">
                <a:lumMod val="50000"/>
              </a:schemeClr>
            </a:solidFill>
            <a:ln>
              <a:solidFill>
                <a:sysClr val="windowText" lastClr="000000"/>
              </a:solidFill>
            </a:ln>
          </c:spPr>
          <c:invertIfNegative val="0"/>
          <c:cat>
            <c:strRef>
              <c:f>'Pre-sentence reports data'!$C$4:$K$4</c:f>
              <c:strCache>
                <c:ptCount val="9"/>
                <c:pt idx="0">
                  <c:v>NSW</c:v>
                </c:pt>
                <c:pt idx="1">
                  <c:v>Vic</c:v>
                </c:pt>
                <c:pt idx="2">
                  <c:v>Qld</c:v>
                </c:pt>
                <c:pt idx="3">
                  <c:v>WA</c:v>
                </c:pt>
                <c:pt idx="4">
                  <c:v>SA</c:v>
                </c:pt>
                <c:pt idx="5">
                  <c:v>Tas</c:v>
                </c:pt>
                <c:pt idx="6">
                  <c:v>ACT</c:v>
                </c:pt>
                <c:pt idx="7">
                  <c:v>NT</c:v>
                </c:pt>
                <c:pt idx="8">
                  <c:v>Aust</c:v>
                </c:pt>
              </c:strCache>
            </c:strRef>
          </c:cat>
          <c:val>
            <c:numRef>
              <c:f>'Pre-sentence reports data'!$C$17:$K$17</c:f>
              <c:numCache>
                <c:formatCode>###\ ###\ ##0.0;\-###\ ###\ ##0.0;"–"</c:formatCode>
                <c:ptCount val="9"/>
                <c:pt idx="0">
                  <c:v>100</c:v>
                </c:pt>
                <c:pt idx="1">
                  <c:v>100</c:v>
                </c:pt>
                <c:pt idx="2">
                  <c:v>100</c:v>
                </c:pt>
                <c:pt idx="3">
                  <c:v>99.645732689210959</c:v>
                </c:pt>
                <c:pt idx="4">
                  <c:v>0</c:v>
                </c:pt>
                <c:pt idx="5">
                  <c:v>100</c:v>
                </c:pt>
                <c:pt idx="6">
                  <c:v>0</c:v>
                </c:pt>
                <c:pt idx="7">
                  <c:v>0</c:v>
                </c:pt>
                <c:pt idx="8">
                  <c:v>99.689089881288865</c:v>
                </c:pt>
              </c:numCache>
            </c:numRef>
          </c:val>
        </c:ser>
        <c:ser>
          <c:idx val="3"/>
          <c:order val="3"/>
          <c:tx>
            <c:strRef>
              <c:f>'Pre-sentence reports data'!$B$18</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'Pre-sentence reports data'!$C$4:$K$4</c:f>
              <c:strCache>
                <c:ptCount val="9"/>
                <c:pt idx="0">
                  <c:v>NSW</c:v>
                </c:pt>
                <c:pt idx="1">
                  <c:v>Vic</c:v>
                </c:pt>
                <c:pt idx="2">
                  <c:v>Qld</c:v>
                </c:pt>
                <c:pt idx="3">
                  <c:v>WA</c:v>
                </c:pt>
                <c:pt idx="4">
                  <c:v>SA</c:v>
                </c:pt>
                <c:pt idx="5">
                  <c:v>Tas</c:v>
                </c:pt>
                <c:pt idx="6">
                  <c:v>ACT</c:v>
                </c:pt>
                <c:pt idx="7">
                  <c:v>NT</c:v>
                </c:pt>
                <c:pt idx="8">
                  <c:v>Aust</c:v>
                </c:pt>
              </c:strCache>
            </c:strRef>
          </c:cat>
          <c:val>
            <c:numRef>
              <c:f>'Pre-sentence reports data'!$C$18:$K$18</c:f>
              <c:numCache>
                <c:formatCode>###\ ###\ ##0.0;\-###\ ###\ ##0.0;"–"</c:formatCode>
                <c:ptCount val="9"/>
                <c:pt idx="0">
                  <c:v>100</c:v>
                </c:pt>
                <c:pt idx="1">
                  <c:v>100</c:v>
                </c:pt>
                <c:pt idx="2">
                  <c:v>100</c:v>
                </c:pt>
                <c:pt idx="3">
                  <c:v>99.645732689210959</c:v>
                </c:pt>
                <c:pt idx="4">
                  <c:v>0</c:v>
                </c:pt>
                <c:pt idx="5">
                  <c:v>100</c:v>
                </c:pt>
                <c:pt idx="6">
                  <c:v>100</c:v>
                </c:pt>
                <c:pt idx="7">
                  <c:v>100</c:v>
                </c:pt>
                <c:pt idx="8">
                  <c:v>99.873635841470417</c:v>
                </c:pt>
              </c:numCache>
            </c:numRef>
          </c:val>
        </c:ser>
        <c:dLbls>
          <c:showLegendKey val="0"/>
          <c:showVal val="0"/>
          <c:showCatName val="0"/>
          <c:showSerName val="0"/>
          <c:showPercent val="0"/>
          <c:showBubbleSize val="0"/>
        </c:dLbls>
        <c:gapWidth val="150"/>
        <c:axId val="176376064"/>
        <c:axId val="176377856"/>
      </c:barChart>
      <c:catAx>
        <c:axId val="176376064"/>
        <c:scaling>
          <c:orientation val="minMax"/>
        </c:scaling>
        <c:delete val="0"/>
        <c:axPos val="b"/>
        <c:numFmt formatCode="General" sourceLinked="1"/>
        <c:majorTickMark val="out"/>
        <c:minorTickMark val="none"/>
        <c:tickLblPos val="nextTo"/>
        <c:crossAx val="176377856"/>
        <c:crosses val="autoZero"/>
        <c:auto val="1"/>
        <c:lblAlgn val="ctr"/>
        <c:lblOffset val="100"/>
        <c:noMultiLvlLbl val="0"/>
      </c:catAx>
      <c:valAx>
        <c:axId val="176377856"/>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176376064"/>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033E-BC3C-44B1-B440-BF1CF83C4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10</TotalTime>
  <Pages>55</Pages>
  <Words>14714</Words>
  <Characters>83873</Characters>
  <Application>Microsoft Office Word</Application>
  <DocSecurity>0</DocSecurity>
  <Lines>698</Lines>
  <Paragraphs>196</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98391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15.</dc:description>
  <cp:lastModifiedBy>Productivity Commission</cp:lastModifiedBy>
  <cp:revision>6</cp:revision>
  <cp:lastPrinted>2012-07-19T02:05:00Z</cp:lastPrinted>
  <dcterms:created xsi:type="dcterms:W3CDTF">2013-04-08T00:36:00Z</dcterms:created>
  <dcterms:modified xsi:type="dcterms:W3CDTF">2013-04-16T05:38:00Z</dcterms:modified>
</cp:coreProperties>
</file>