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3F7D48" w:rsidRDefault="00C0542B" w:rsidP="00C0542B">
      <w:pPr>
        <w:pStyle w:val="Chapter"/>
        <w:ind w:left="907" w:hanging="907"/>
        <w:rPr>
          <w:noProof/>
        </w:rPr>
      </w:pPr>
      <w:bookmarkStart w:id="0" w:name="ChapterNumber"/>
      <w:r w:rsidRPr="003F7D48">
        <w:rPr>
          <w:noProof/>
        </w:rPr>
        <w:t>4</w:t>
      </w:r>
      <w:bookmarkEnd w:id="0"/>
      <w:r w:rsidRPr="003F7D48">
        <w:rPr>
          <w:noProof/>
        </w:rPr>
        <w:tab/>
      </w:r>
      <w:bookmarkStart w:id="1" w:name="ChapterTitle"/>
      <w:r w:rsidRPr="003F7D48">
        <w:rPr>
          <w:noProof/>
        </w:rPr>
        <w:t>School edu</w:t>
      </w:r>
      <w:bookmarkStart w:id="2" w:name="_GoBack"/>
      <w:bookmarkEnd w:id="2"/>
      <w:r w:rsidRPr="003F7D48">
        <w:rPr>
          <w:noProof/>
        </w:rPr>
        <w:t>cation</w:t>
      </w:r>
      <w:bookmarkEnd w:id="1"/>
    </w:p>
    <w:p w:rsidR="00EC2A85" w:rsidRPr="003F7D48" w:rsidRDefault="001C601E" w:rsidP="001C601E">
      <w:pPr>
        <w:tabs>
          <w:tab w:val="right" w:pos="8789"/>
        </w:tabs>
        <w:spacing w:before="240" w:line="320" w:lineRule="atLeast"/>
        <w:ind w:left="510" w:right="851" w:hanging="510"/>
        <w:rPr>
          <w:b/>
          <w:szCs w:val="20"/>
        </w:rPr>
      </w:pPr>
      <w:bookmarkStart w:id="3" w:name="begin"/>
      <w:bookmarkEnd w:id="3"/>
      <w:r w:rsidRPr="003F7D48">
        <w:rPr>
          <w:b/>
          <w:szCs w:val="20"/>
        </w:rPr>
        <w:t>CONTENTS</w:t>
      </w:r>
    </w:p>
    <w:p w:rsidR="003F7D48" w:rsidRPr="003F7D48" w:rsidRDefault="003F7D48">
      <w:pPr>
        <w:pStyle w:val="TOC3"/>
        <w:rPr>
          <w:rFonts w:eastAsiaTheme="minorEastAsia"/>
          <w:b/>
          <w:noProof/>
          <w:sz w:val="22"/>
          <w:szCs w:val="22"/>
        </w:rPr>
      </w:pPr>
      <w:r w:rsidRPr="00CB5E27">
        <w:rPr>
          <w:b/>
          <w:noProof/>
        </w:rPr>
        <w:t>Indigenous data in the School education chapter</w:t>
      </w:r>
      <w:r w:rsidRPr="003F7D48">
        <w:rPr>
          <w:b/>
          <w:noProof/>
          <w:webHidden/>
        </w:rPr>
        <w:tab/>
        <w:t>4.</w:t>
      </w:r>
      <w:r>
        <w:rPr>
          <w:b/>
          <w:noProof/>
          <w:webHidden/>
        </w:rPr>
        <w:t>2</w:t>
      </w:r>
    </w:p>
    <w:p w:rsidR="003F7D48" w:rsidRPr="003F7D48" w:rsidRDefault="003F7D48">
      <w:pPr>
        <w:pStyle w:val="TOC3"/>
        <w:rPr>
          <w:rFonts w:eastAsiaTheme="minorEastAsia"/>
          <w:b/>
          <w:noProof/>
          <w:sz w:val="22"/>
          <w:szCs w:val="22"/>
        </w:rPr>
      </w:pPr>
      <w:r w:rsidRPr="00CB5E27">
        <w:rPr>
          <w:b/>
          <w:noProof/>
        </w:rPr>
        <w:t>Special needs groups</w:t>
      </w:r>
      <w:r w:rsidRPr="003F7D48">
        <w:rPr>
          <w:b/>
          <w:noProof/>
          <w:webHidden/>
        </w:rPr>
        <w:tab/>
        <w:t>4.</w:t>
      </w:r>
      <w:r>
        <w:rPr>
          <w:b/>
          <w:noProof/>
          <w:webHidden/>
        </w:rPr>
        <w:t>3</w:t>
      </w:r>
    </w:p>
    <w:p w:rsidR="003F7D48" w:rsidRPr="003F7D48" w:rsidRDefault="003F7D48">
      <w:pPr>
        <w:pStyle w:val="TOC3"/>
        <w:rPr>
          <w:rFonts w:eastAsiaTheme="minorEastAsia"/>
          <w:b/>
          <w:noProof/>
          <w:sz w:val="22"/>
          <w:szCs w:val="22"/>
        </w:rPr>
      </w:pPr>
      <w:r w:rsidRPr="00CB5E27">
        <w:rPr>
          <w:b/>
          <w:noProof/>
        </w:rPr>
        <w:t>Indigenous students</w:t>
      </w:r>
      <w:r w:rsidRPr="003F7D48">
        <w:rPr>
          <w:b/>
          <w:noProof/>
          <w:webHidden/>
        </w:rPr>
        <w:tab/>
        <w:t>4.</w:t>
      </w:r>
      <w:r>
        <w:rPr>
          <w:b/>
          <w:noProof/>
          <w:webHidden/>
        </w:rPr>
        <w:t>3</w:t>
      </w:r>
    </w:p>
    <w:p w:rsidR="003F7D48" w:rsidRPr="003F7D48" w:rsidRDefault="003F7D48">
      <w:pPr>
        <w:pStyle w:val="TOC3"/>
        <w:rPr>
          <w:rFonts w:eastAsiaTheme="minorEastAsia"/>
          <w:b/>
          <w:noProof/>
          <w:sz w:val="22"/>
          <w:szCs w:val="22"/>
        </w:rPr>
      </w:pPr>
      <w:r w:rsidRPr="00CB5E27">
        <w:rPr>
          <w:b/>
          <w:noProof/>
        </w:rPr>
        <w:t>Framework of performance indicators</w:t>
      </w:r>
      <w:r w:rsidRPr="003F7D48">
        <w:rPr>
          <w:b/>
          <w:noProof/>
          <w:webHidden/>
        </w:rPr>
        <w:tab/>
        <w:t>4.</w:t>
      </w:r>
      <w:r>
        <w:rPr>
          <w:b/>
          <w:noProof/>
          <w:webHidden/>
        </w:rPr>
        <w:t>4</w:t>
      </w:r>
    </w:p>
    <w:p w:rsidR="003F7D48" w:rsidRPr="003F7D48" w:rsidRDefault="003F7D48">
      <w:pPr>
        <w:pStyle w:val="TOC3"/>
        <w:rPr>
          <w:rFonts w:eastAsiaTheme="minorEastAsia"/>
          <w:b/>
          <w:noProof/>
          <w:sz w:val="22"/>
          <w:szCs w:val="22"/>
        </w:rPr>
      </w:pPr>
      <w:r w:rsidRPr="00CB5E27">
        <w:rPr>
          <w:b/>
          <w:noProof/>
        </w:rPr>
        <w:t>Equity and effectiveness</w:t>
      </w:r>
      <w:r w:rsidRPr="003F7D48">
        <w:rPr>
          <w:b/>
          <w:noProof/>
          <w:webHidden/>
        </w:rPr>
        <w:tab/>
        <w:t>4.</w:t>
      </w:r>
      <w:r>
        <w:rPr>
          <w:b/>
          <w:noProof/>
          <w:webHidden/>
        </w:rPr>
        <w:t>6</w:t>
      </w:r>
    </w:p>
    <w:p w:rsidR="003F7D48" w:rsidRPr="003F7D48" w:rsidRDefault="003F7D48">
      <w:pPr>
        <w:pStyle w:val="TOC4"/>
        <w:rPr>
          <w:rFonts w:eastAsiaTheme="minorEastAsia"/>
          <w:b/>
          <w:noProof/>
          <w:sz w:val="22"/>
          <w:szCs w:val="22"/>
        </w:rPr>
      </w:pPr>
      <w:r w:rsidRPr="00CB5E27">
        <w:rPr>
          <w:b/>
          <w:noProof/>
        </w:rPr>
        <w:t>Attendance and participation</w:t>
      </w:r>
      <w:r w:rsidRPr="003F7D48">
        <w:rPr>
          <w:b/>
          <w:noProof/>
          <w:webHidden/>
        </w:rPr>
        <w:tab/>
        <w:t>4.</w:t>
      </w:r>
      <w:r>
        <w:rPr>
          <w:b/>
          <w:noProof/>
          <w:webHidden/>
        </w:rPr>
        <w:t>6</w:t>
      </w:r>
    </w:p>
    <w:p w:rsidR="003F7D48" w:rsidRPr="003F7D48" w:rsidRDefault="003F7D48">
      <w:pPr>
        <w:pStyle w:val="TOC4"/>
        <w:rPr>
          <w:rFonts w:eastAsiaTheme="minorEastAsia"/>
          <w:b/>
          <w:noProof/>
          <w:sz w:val="22"/>
          <w:szCs w:val="22"/>
        </w:rPr>
      </w:pPr>
      <w:r w:rsidRPr="00CB5E27">
        <w:rPr>
          <w:b/>
          <w:noProof/>
        </w:rPr>
        <w:t>Retention</w:t>
      </w:r>
      <w:r w:rsidRPr="003F7D48">
        <w:rPr>
          <w:b/>
          <w:noProof/>
          <w:webHidden/>
        </w:rPr>
        <w:tab/>
        <w:t>4.</w:t>
      </w:r>
      <w:r>
        <w:rPr>
          <w:b/>
          <w:noProof/>
          <w:webHidden/>
        </w:rPr>
        <w:t>9</w:t>
      </w:r>
    </w:p>
    <w:p w:rsidR="003F7D48" w:rsidRPr="003F7D48" w:rsidRDefault="003F7D48">
      <w:pPr>
        <w:pStyle w:val="TOC3"/>
        <w:rPr>
          <w:rFonts w:eastAsiaTheme="minorEastAsia"/>
          <w:b/>
          <w:noProof/>
          <w:sz w:val="22"/>
          <w:szCs w:val="22"/>
        </w:rPr>
      </w:pPr>
      <w:r w:rsidRPr="00CB5E27">
        <w:rPr>
          <w:b/>
          <w:noProof/>
        </w:rPr>
        <w:t>Outcomes</w:t>
      </w:r>
      <w:r w:rsidRPr="003F7D48">
        <w:rPr>
          <w:b/>
          <w:noProof/>
          <w:webHidden/>
        </w:rPr>
        <w:tab/>
        <w:t>4.</w:t>
      </w:r>
      <w:r>
        <w:rPr>
          <w:b/>
          <w:noProof/>
          <w:webHidden/>
        </w:rPr>
        <w:t>13</w:t>
      </w:r>
    </w:p>
    <w:p w:rsidR="003F7D48" w:rsidRPr="003F7D48" w:rsidRDefault="003F7D48">
      <w:pPr>
        <w:pStyle w:val="TOC4"/>
        <w:rPr>
          <w:rFonts w:eastAsiaTheme="minorEastAsia"/>
          <w:b/>
          <w:noProof/>
          <w:sz w:val="22"/>
          <w:szCs w:val="22"/>
        </w:rPr>
      </w:pPr>
      <w:r w:rsidRPr="00CB5E27">
        <w:rPr>
          <w:b/>
          <w:noProof/>
        </w:rPr>
        <w:t>Nationally comparable learning outcomes</w:t>
      </w:r>
      <w:r w:rsidRPr="003F7D48">
        <w:rPr>
          <w:b/>
          <w:noProof/>
          <w:webHidden/>
        </w:rPr>
        <w:tab/>
        <w:t>4.</w:t>
      </w:r>
      <w:r>
        <w:rPr>
          <w:b/>
          <w:noProof/>
          <w:webHidden/>
        </w:rPr>
        <w:t>13</w:t>
      </w:r>
    </w:p>
    <w:p w:rsidR="003F7D48" w:rsidRPr="003F7D48" w:rsidRDefault="003F7D48">
      <w:pPr>
        <w:pStyle w:val="TOC4"/>
        <w:rPr>
          <w:rFonts w:eastAsiaTheme="minorEastAsia"/>
          <w:b/>
          <w:noProof/>
          <w:sz w:val="22"/>
          <w:szCs w:val="22"/>
        </w:rPr>
      </w:pPr>
      <w:r w:rsidRPr="00CB5E27">
        <w:rPr>
          <w:b/>
          <w:noProof/>
        </w:rPr>
        <w:t>Learning outcomes</w:t>
      </w:r>
      <w:r w:rsidRPr="003F7D48">
        <w:rPr>
          <w:b/>
          <w:noProof/>
          <w:webHidden/>
        </w:rPr>
        <w:tab/>
        <w:t>4.</w:t>
      </w:r>
      <w:r>
        <w:rPr>
          <w:b/>
          <w:noProof/>
          <w:webHidden/>
        </w:rPr>
        <w:t>16</w:t>
      </w:r>
    </w:p>
    <w:p w:rsidR="003F7D48" w:rsidRPr="003F7D48" w:rsidRDefault="003F7D48">
      <w:pPr>
        <w:pStyle w:val="TOC3"/>
        <w:rPr>
          <w:rFonts w:eastAsiaTheme="minorEastAsia"/>
          <w:b/>
          <w:noProof/>
          <w:sz w:val="22"/>
          <w:szCs w:val="22"/>
        </w:rPr>
      </w:pPr>
      <w:r w:rsidRPr="00CB5E27">
        <w:rPr>
          <w:b/>
          <w:noProof/>
        </w:rPr>
        <w:t>Future directions in performance reporting</w:t>
      </w:r>
      <w:r w:rsidRPr="003F7D48">
        <w:rPr>
          <w:b/>
          <w:noProof/>
          <w:webHidden/>
        </w:rPr>
        <w:tab/>
        <w:t>4.</w:t>
      </w:r>
      <w:r>
        <w:rPr>
          <w:b/>
          <w:noProof/>
          <w:webHidden/>
        </w:rPr>
        <w:t>46</w:t>
      </w:r>
    </w:p>
    <w:p w:rsidR="003F7D48" w:rsidRPr="003F7D48" w:rsidRDefault="003F7D48">
      <w:pPr>
        <w:pStyle w:val="TOC3"/>
        <w:rPr>
          <w:rFonts w:eastAsiaTheme="minorEastAsia"/>
          <w:b/>
          <w:noProof/>
          <w:sz w:val="22"/>
          <w:szCs w:val="22"/>
        </w:rPr>
      </w:pPr>
      <w:r w:rsidRPr="00CB5E27">
        <w:rPr>
          <w:b/>
          <w:noProof/>
        </w:rPr>
        <w:t>Definitions of key terms</w:t>
      </w:r>
      <w:r w:rsidRPr="003F7D48">
        <w:rPr>
          <w:b/>
          <w:noProof/>
          <w:webHidden/>
        </w:rPr>
        <w:tab/>
        <w:t>4.</w:t>
      </w:r>
      <w:r>
        <w:rPr>
          <w:b/>
          <w:noProof/>
          <w:webHidden/>
        </w:rPr>
        <w:t>47</w:t>
      </w:r>
    </w:p>
    <w:p w:rsidR="003F7D48" w:rsidRPr="003F7D48" w:rsidRDefault="003F7D48">
      <w:pPr>
        <w:pStyle w:val="TOC3"/>
        <w:rPr>
          <w:rFonts w:eastAsiaTheme="minorEastAsia"/>
          <w:b/>
          <w:noProof/>
          <w:sz w:val="22"/>
          <w:szCs w:val="22"/>
        </w:rPr>
      </w:pPr>
      <w:r w:rsidRPr="00CB5E27">
        <w:rPr>
          <w:b/>
          <w:noProof/>
        </w:rPr>
        <w:t>List of attachment tables</w:t>
      </w:r>
      <w:r w:rsidRPr="003F7D48">
        <w:rPr>
          <w:b/>
          <w:noProof/>
          <w:webHidden/>
        </w:rPr>
        <w:tab/>
        <w:t>4.</w:t>
      </w:r>
      <w:r>
        <w:rPr>
          <w:b/>
          <w:noProof/>
          <w:webHidden/>
        </w:rPr>
        <w:t>48</w:t>
      </w:r>
    </w:p>
    <w:p w:rsidR="00CC29C0" w:rsidRPr="003F7D48" w:rsidRDefault="003F7D48" w:rsidP="003F7D48">
      <w:pPr>
        <w:pStyle w:val="TOC3"/>
        <w:rPr>
          <w:b/>
        </w:rPr>
      </w:pPr>
      <w:r w:rsidRPr="00CB5E27">
        <w:rPr>
          <w:b/>
          <w:noProof/>
        </w:rPr>
        <w:t>References</w:t>
      </w:r>
      <w:r w:rsidRPr="003F7D48">
        <w:rPr>
          <w:b/>
          <w:noProof/>
          <w:webHidden/>
        </w:rPr>
        <w:tab/>
        <w:t>4.</w:t>
      </w:r>
      <w:r>
        <w:rPr>
          <w:b/>
          <w:noProof/>
          <w:webHidden/>
        </w:rPr>
        <w:t>51</w:t>
      </w:r>
    </w:p>
    <w:p w:rsidR="00346421" w:rsidRPr="003F7D48" w:rsidRDefault="00346421" w:rsidP="00EC2A85">
      <w:pPr>
        <w:tabs>
          <w:tab w:val="right" w:pos="8789"/>
        </w:tabs>
        <w:spacing w:before="240" w:line="320" w:lineRule="atLeast"/>
        <w:ind w:left="510" w:right="851" w:hanging="510"/>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46421" w:rsidRPr="003F7D48" w:rsidTr="001F2E1B">
        <w:tc>
          <w:tcPr>
            <w:tcW w:w="8771" w:type="dxa"/>
            <w:tcBorders>
              <w:top w:val="single" w:sz="6" w:space="0" w:color="auto"/>
              <w:bottom w:val="nil"/>
            </w:tcBorders>
            <w:shd w:val="clear" w:color="auto" w:fill="E0E0E0"/>
          </w:tcPr>
          <w:p w:rsidR="00346421" w:rsidRPr="003F7D48" w:rsidRDefault="00346421" w:rsidP="001F2E1B">
            <w:pPr>
              <w:keepNext/>
              <w:keepLines/>
              <w:spacing w:before="120" w:line="280" w:lineRule="exact"/>
              <w:ind w:left="1304" w:hanging="1304"/>
              <w:rPr>
                <w:rFonts w:ascii="Arial" w:hAnsi="Arial"/>
                <w:b/>
              </w:rPr>
            </w:pPr>
            <w:r w:rsidRPr="003F7D48">
              <w:rPr>
                <w:rFonts w:ascii="Arial" w:hAnsi="Arial"/>
                <w:b/>
              </w:rPr>
              <w:t>Attachment tables</w:t>
            </w:r>
          </w:p>
        </w:tc>
      </w:tr>
      <w:tr w:rsidR="00346421" w:rsidRPr="003F7D48" w:rsidTr="001F2E1B">
        <w:trPr>
          <w:cantSplit/>
        </w:trPr>
        <w:tc>
          <w:tcPr>
            <w:tcW w:w="8771" w:type="dxa"/>
            <w:tcBorders>
              <w:top w:val="nil"/>
              <w:left w:val="single" w:sz="6" w:space="0" w:color="auto"/>
              <w:bottom w:val="nil"/>
              <w:right w:val="single" w:sz="6" w:space="0" w:color="auto"/>
            </w:tcBorders>
            <w:shd w:val="clear" w:color="auto" w:fill="E0E0E0"/>
          </w:tcPr>
          <w:p w:rsidR="00346421" w:rsidRPr="003F7D48" w:rsidRDefault="00346421" w:rsidP="009E1F35">
            <w:pPr>
              <w:keepNext/>
              <w:spacing w:before="120" w:line="280" w:lineRule="atLeast"/>
              <w:jc w:val="both"/>
              <w:rPr>
                <w:rFonts w:ascii="Arial" w:hAnsi="Arial"/>
                <w:sz w:val="22"/>
                <w:szCs w:val="20"/>
              </w:rPr>
            </w:pPr>
            <w:r w:rsidRPr="003F7D48">
              <w:rPr>
                <w:rFonts w:ascii="Arial" w:hAnsi="Arial"/>
                <w:sz w:val="22"/>
                <w:szCs w:val="20"/>
              </w:rPr>
              <w:t>Attachment tables are identified in references throughout this Indigenous Compendium by an ‘A’ prefix (for example, in this chapter, table 4A.1). As the data are directly sourced from the 201</w:t>
            </w:r>
            <w:r w:rsidR="009E1F35" w:rsidRPr="003F7D48">
              <w:rPr>
                <w:rFonts w:ascii="Arial" w:hAnsi="Arial"/>
                <w:sz w:val="22"/>
                <w:szCs w:val="20"/>
              </w:rPr>
              <w:t>4</w:t>
            </w:r>
            <w:r w:rsidRPr="003F7D48">
              <w:rPr>
                <w:rFonts w:ascii="Arial" w:hAnsi="Arial"/>
                <w:sz w:val="22"/>
                <w:szCs w:val="20"/>
              </w:rPr>
              <w:t xml:space="preserve"> Report, the Compendium also notes where the original table, figure or text in the 201</w:t>
            </w:r>
            <w:r w:rsidR="009E1F35" w:rsidRPr="003F7D48">
              <w:rPr>
                <w:rFonts w:ascii="Arial" w:hAnsi="Arial"/>
                <w:sz w:val="22"/>
                <w:szCs w:val="20"/>
              </w:rPr>
              <w:t>4</w:t>
            </w:r>
            <w:r w:rsidRPr="003F7D48">
              <w:rPr>
                <w:rFonts w:ascii="Arial" w:hAnsi="Arial"/>
                <w:sz w:val="22"/>
                <w:szCs w:val="20"/>
              </w:rPr>
              <w:t xml:space="preserve"> Report can be found. For example, where the Compendium refers to ‘201</w:t>
            </w:r>
            <w:r w:rsidR="009E1F35" w:rsidRPr="003F7D48">
              <w:rPr>
                <w:rFonts w:ascii="Arial" w:hAnsi="Arial"/>
                <w:sz w:val="22"/>
                <w:szCs w:val="20"/>
              </w:rPr>
              <w:t>4</w:t>
            </w:r>
            <w:r w:rsidRPr="003F7D48">
              <w:rPr>
                <w:rFonts w:ascii="Arial" w:hAnsi="Arial"/>
                <w:sz w:val="22"/>
                <w:szCs w:val="20"/>
              </w:rPr>
              <w:t xml:space="preserve"> Report, p. 4.1’, this is page 1 of chapter 4 of the 201</w:t>
            </w:r>
            <w:r w:rsidR="009E1F35" w:rsidRPr="003F7D48">
              <w:rPr>
                <w:rFonts w:ascii="Arial" w:hAnsi="Arial"/>
                <w:sz w:val="22"/>
                <w:szCs w:val="20"/>
              </w:rPr>
              <w:t>4</w:t>
            </w:r>
            <w:r w:rsidRPr="003F7D48">
              <w:rPr>
                <w:rFonts w:ascii="Arial" w:hAnsi="Arial"/>
                <w:sz w:val="22"/>
                <w:szCs w:val="20"/>
              </w:rPr>
              <w:t xml:space="preserve"> Report, and </w:t>
            </w:r>
            <w:r w:rsidR="009E1F35" w:rsidRPr="003F7D48">
              <w:rPr>
                <w:rFonts w:ascii="Arial" w:hAnsi="Arial"/>
                <w:sz w:val="22"/>
                <w:szCs w:val="20"/>
              </w:rPr>
              <w:br/>
            </w:r>
            <w:r w:rsidRPr="003F7D48">
              <w:rPr>
                <w:rFonts w:ascii="Arial" w:hAnsi="Arial"/>
                <w:sz w:val="22"/>
                <w:szCs w:val="20"/>
              </w:rPr>
              <w:t>‘201</w:t>
            </w:r>
            <w:r w:rsidR="009E1F35" w:rsidRPr="003F7D48">
              <w:rPr>
                <w:rFonts w:ascii="Arial" w:hAnsi="Arial"/>
                <w:sz w:val="22"/>
                <w:szCs w:val="20"/>
              </w:rPr>
              <w:t xml:space="preserve">4 </w:t>
            </w:r>
            <w:r w:rsidRPr="003F7D48">
              <w:rPr>
                <w:rFonts w:ascii="Arial" w:hAnsi="Arial"/>
                <w:sz w:val="22"/>
                <w:szCs w:val="20"/>
              </w:rPr>
              <w:t>Report, table 4A.1’ is table 1 of attachment 4A of the 201</w:t>
            </w:r>
            <w:r w:rsidR="009E1F35" w:rsidRPr="003F7D48">
              <w:rPr>
                <w:rFonts w:ascii="Arial" w:hAnsi="Arial"/>
                <w:sz w:val="22"/>
                <w:szCs w:val="20"/>
              </w:rPr>
              <w:t>4</w:t>
            </w:r>
            <w:r w:rsidR="004C4451" w:rsidRPr="003F7D48">
              <w:rPr>
                <w:rFonts w:ascii="Arial" w:hAnsi="Arial"/>
                <w:sz w:val="22"/>
                <w:szCs w:val="20"/>
              </w:rPr>
              <w:t xml:space="preserve"> Report. A</w:t>
            </w:r>
            <w:r w:rsidRPr="003F7D48">
              <w:rPr>
                <w:rFonts w:ascii="Arial" w:hAnsi="Arial"/>
                <w:sz w:val="22"/>
                <w:szCs w:val="20"/>
              </w:rPr>
              <w:t xml:space="preserve"> list of attachment tables referred to in the Compendium is provided at the end of this chapter, and the </w:t>
            </w:r>
            <w:r w:rsidR="004C4451" w:rsidRPr="003F7D48">
              <w:rPr>
                <w:rFonts w:ascii="Arial" w:hAnsi="Arial"/>
                <w:sz w:val="22"/>
                <w:szCs w:val="20"/>
              </w:rPr>
              <w:t xml:space="preserve">full </w:t>
            </w:r>
            <w:r w:rsidRPr="003F7D48">
              <w:rPr>
                <w:rFonts w:ascii="Arial" w:hAnsi="Arial"/>
                <w:sz w:val="22"/>
                <w:szCs w:val="20"/>
              </w:rPr>
              <w:t>attachment tables are available from the Review website at www.pc.gov.au/gsp.</w:t>
            </w:r>
          </w:p>
        </w:tc>
      </w:tr>
      <w:tr w:rsidR="00346421" w:rsidRPr="003F7D48" w:rsidTr="001F2E1B">
        <w:trPr>
          <w:cantSplit/>
        </w:trPr>
        <w:tc>
          <w:tcPr>
            <w:tcW w:w="8771" w:type="dxa"/>
            <w:tcBorders>
              <w:top w:val="nil"/>
              <w:left w:val="single" w:sz="6" w:space="0" w:color="auto"/>
              <w:bottom w:val="single" w:sz="6" w:space="0" w:color="auto"/>
              <w:right w:val="single" w:sz="6" w:space="0" w:color="auto"/>
            </w:tcBorders>
            <w:shd w:val="clear" w:color="auto" w:fill="E0E0E0"/>
          </w:tcPr>
          <w:p w:rsidR="00346421" w:rsidRPr="003F7D48" w:rsidRDefault="00346421" w:rsidP="001F2E1B">
            <w:pPr>
              <w:keepNext/>
              <w:spacing w:line="120" w:lineRule="exact"/>
              <w:jc w:val="both"/>
              <w:rPr>
                <w:rFonts w:ascii="Arial" w:hAnsi="Arial"/>
                <w:sz w:val="22"/>
                <w:szCs w:val="20"/>
              </w:rPr>
            </w:pPr>
          </w:p>
        </w:tc>
      </w:tr>
      <w:tr w:rsidR="00346421" w:rsidRPr="003F7D48" w:rsidTr="001F2E1B">
        <w:tc>
          <w:tcPr>
            <w:tcW w:w="8771" w:type="dxa"/>
            <w:tcBorders>
              <w:top w:val="nil"/>
              <w:left w:val="nil"/>
              <w:bottom w:val="nil"/>
              <w:right w:val="nil"/>
            </w:tcBorders>
          </w:tcPr>
          <w:p w:rsidR="00346421" w:rsidRPr="003F7D48" w:rsidRDefault="00346421" w:rsidP="001F2E1B">
            <w:pPr>
              <w:spacing w:before="60" w:after="60" w:line="80" w:lineRule="exact"/>
              <w:jc w:val="both"/>
              <w:rPr>
                <w:rFonts w:ascii="Arial" w:hAnsi="Arial"/>
                <w:b/>
                <w:color w:val="FF00FF"/>
                <w:sz w:val="14"/>
                <w:szCs w:val="20"/>
              </w:rPr>
            </w:pPr>
          </w:p>
        </w:tc>
      </w:tr>
    </w:tbl>
    <w:p w:rsidR="001C601E" w:rsidRPr="003F7D48" w:rsidRDefault="001C601E" w:rsidP="001C601E">
      <w:pPr>
        <w:spacing w:before="240" w:line="320" w:lineRule="atLeast"/>
        <w:jc w:val="both"/>
        <w:rPr>
          <w:szCs w:val="20"/>
        </w:rPr>
      </w:pPr>
      <w:r w:rsidRPr="003F7D48">
        <w:rPr>
          <w:szCs w:val="20"/>
        </w:rPr>
        <w:t xml:space="preserve">The School education chapter (chapter 4) in the </w:t>
      </w:r>
      <w:r w:rsidRPr="003F7D48">
        <w:rPr>
          <w:i/>
          <w:szCs w:val="20"/>
        </w:rPr>
        <w:t>Report on Government Services 201</w:t>
      </w:r>
      <w:r w:rsidR="009E1F35" w:rsidRPr="003F7D48">
        <w:rPr>
          <w:i/>
          <w:szCs w:val="20"/>
        </w:rPr>
        <w:t>4</w:t>
      </w:r>
      <w:r w:rsidRPr="003F7D48">
        <w:rPr>
          <w:szCs w:val="20"/>
        </w:rPr>
        <w:t xml:space="preserve"> (201</w:t>
      </w:r>
      <w:r w:rsidR="009E1F35" w:rsidRPr="003F7D48">
        <w:rPr>
          <w:szCs w:val="20"/>
        </w:rPr>
        <w:t xml:space="preserve">4 </w:t>
      </w:r>
      <w:r w:rsidRPr="003F7D48">
        <w:rPr>
          <w:szCs w:val="20"/>
        </w:rPr>
        <w:t xml:space="preserve">Report) reports on the performance of government funded school education in </w:t>
      </w:r>
      <w:smartTag w:uri="urn:schemas-microsoft-com:office:smarttags" w:element="place">
        <w:smartTag w:uri="urn:schemas-microsoft-com:office:smarttags" w:element="country-region">
          <w:r w:rsidRPr="003F7D48">
            <w:rPr>
              <w:szCs w:val="20"/>
            </w:rPr>
            <w:t>Australia</w:t>
          </w:r>
        </w:smartTag>
      </w:smartTag>
      <w:r w:rsidRPr="003F7D48">
        <w:rPr>
          <w:szCs w:val="20"/>
        </w:rPr>
        <w:t xml:space="preserve">. </w:t>
      </w:r>
      <w:r w:rsidR="00BD198E" w:rsidRPr="003F7D48">
        <w:rPr>
          <w:szCs w:val="20"/>
        </w:rPr>
        <w:t xml:space="preserve">Reporting relates to government funding only, not to the full cost to the community of providing school education. </w:t>
      </w:r>
      <w:r w:rsidRPr="003F7D48">
        <w:rPr>
          <w:szCs w:val="20"/>
        </w:rPr>
        <w:t xml:space="preserve">Data are reported for </w:t>
      </w:r>
      <w:r w:rsidRPr="003F7D48">
        <w:rPr>
          <w:szCs w:val="20"/>
        </w:rPr>
        <w:lastRenderedPageBreak/>
        <w:t xml:space="preserve">Indigenous </w:t>
      </w:r>
      <w:r w:rsidR="00165C27" w:rsidRPr="003F7D48">
        <w:rPr>
          <w:szCs w:val="20"/>
        </w:rPr>
        <w:t>Australians</w:t>
      </w:r>
      <w:r w:rsidRPr="003F7D48">
        <w:rPr>
          <w:szCs w:val="20"/>
        </w:rPr>
        <w:t xml:space="preserve"> for a subset of the performance indicators reported in that chapter — those data a</w:t>
      </w:r>
      <w:r w:rsidR="009E1F35" w:rsidRPr="003F7D48">
        <w:rPr>
          <w:szCs w:val="20"/>
        </w:rPr>
        <w:t>re compiled and presented here.</w:t>
      </w:r>
    </w:p>
    <w:p w:rsidR="009E1F35" w:rsidRPr="003F7D48" w:rsidRDefault="009E1F35" w:rsidP="009E1F35">
      <w:pPr>
        <w:spacing w:before="240" w:line="320" w:lineRule="atLeast"/>
        <w:jc w:val="both"/>
        <w:rPr>
          <w:szCs w:val="20"/>
        </w:rPr>
      </w:pPr>
      <w:r w:rsidRPr="003F7D48">
        <w:rPr>
          <w:szCs w:val="20"/>
        </w:rPr>
        <w:t>Descriptive information and performance indicators are variously reported for:</w:t>
      </w:r>
    </w:p>
    <w:p w:rsidR="009E1F35" w:rsidRPr="003F7D48" w:rsidRDefault="009E1F35" w:rsidP="009E1F35">
      <w:pPr>
        <w:pStyle w:val="ListBullet"/>
        <w:numPr>
          <w:ilvl w:val="0"/>
          <w:numId w:val="3"/>
        </w:numPr>
      </w:pPr>
      <w:r w:rsidRPr="003F7D48">
        <w:t>government primary and secondary schools</w:t>
      </w:r>
    </w:p>
    <w:p w:rsidR="009E1F35" w:rsidRPr="003F7D48" w:rsidRDefault="009E1F35" w:rsidP="009E1F35">
      <w:pPr>
        <w:pStyle w:val="ListBullet"/>
        <w:numPr>
          <w:ilvl w:val="0"/>
          <w:numId w:val="3"/>
        </w:numPr>
      </w:pPr>
      <w:r w:rsidRPr="003F7D48">
        <w:t>non-government primary and secondary schools</w:t>
      </w:r>
    </w:p>
    <w:p w:rsidR="009E1F35" w:rsidRPr="003F7D48" w:rsidRDefault="009E1F35" w:rsidP="009E1F35">
      <w:pPr>
        <w:pStyle w:val="ListBullet"/>
        <w:numPr>
          <w:ilvl w:val="0"/>
          <w:numId w:val="3"/>
        </w:numPr>
      </w:pPr>
      <w:r w:rsidRPr="003F7D48">
        <w:t>school education as a whole (government plus non-government primary and secondary schools).</w:t>
      </w:r>
    </w:p>
    <w:p w:rsidR="009E1F35" w:rsidRPr="003F7D48" w:rsidRDefault="009E1F35" w:rsidP="009E1F35">
      <w:pPr>
        <w:spacing w:before="240" w:line="320" w:lineRule="atLeast"/>
        <w:jc w:val="both"/>
        <w:rPr>
          <w:szCs w:val="20"/>
        </w:rPr>
      </w:pPr>
      <w:r w:rsidRPr="003F7D48">
        <w:rPr>
          <w:szCs w:val="20"/>
        </w:rPr>
        <w:t>Data in this chapter mostly relate to the 2012 calendar year and the 2011-12 financial year.</w:t>
      </w:r>
    </w:p>
    <w:p w:rsidR="009E1F35" w:rsidRPr="003F7D48" w:rsidRDefault="009E1F35" w:rsidP="009E1F35">
      <w:pPr>
        <w:spacing w:before="240" w:line="320" w:lineRule="atLeast"/>
        <w:jc w:val="both"/>
        <w:rPr>
          <w:szCs w:val="20"/>
        </w:rPr>
      </w:pPr>
      <w:r w:rsidRPr="003F7D48">
        <w:rPr>
          <w:szCs w:val="20"/>
        </w:rPr>
        <w:t>Schooling aims to provide education for all young people. The main purposes of school education are to assist students in:</w:t>
      </w:r>
    </w:p>
    <w:p w:rsidR="009E1F35" w:rsidRPr="003F7D48" w:rsidRDefault="009E1F35" w:rsidP="009E1F35">
      <w:pPr>
        <w:pStyle w:val="ListBullet"/>
        <w:numPr>
          <w:ilvl w:val="0"/>
          <w:numId w:val="3"/>
        </w:numPr>
      </w:pPr>
      <w:r w:rsidRPr="003F7D48">
        <w:t>attaining knowledge, skills and understanding in key learning areas</w:t>
      </w:r>
    </w:p>
    <w:p w:rsidR="009E1F35" w:rsidRPr="003F7D48" w:rsidRDefault="009E1F35" w:rsidP="009E1F35">
      <w:pPr>
        <w:pStyle w:val="ListBullet"/>
        <w:numPr>
          <w:ilvl w:val="0"/>
          <w:numId w:val="3"/>
        </w:numPr>
      </w:pPr>
      <w:r w:rsidRPr="003F7D48">
        <w:t>developing their talents, capacities, self-confidence, self-esteem and respect for others</w:t>
      </w:r>
    </w:p>
    <w:p w:rsidR="009E1F35" w:rsidRPr="003F7D48" w:rsidRDefault="009E1F35" w:rsidP="009E1F35">
      <w:pPr>
        <w:pStyle w:val="ListBullet"/>
        <w:numPr>
          <w:ilvl w:val="0"/>
          <w:numId w:val="3"/>
        </w:numPr>
      </w:pPr>
      <w:r w:rsidRPr="003F7D48">
        <w:t>developing their capacity to contribute to Australia’s social, cultural and economic development.</w:t>
      </w:r>
    </w:p>
    <w:p w:rsidR="001C601E" w:rsidRPr="003F7D48" w:rsidRDefault="001C601E" w:rsidP="001C601E">
      <w:pPr>
        <w:keepNext/>
        <w:spacing w:before="560" w:line="320" w:lineRule="exact"/>
        <w:outlineLvl w:val="2"/>
        <w:rPr>
          <w:rFonts w:ascii="Arial" w:hAnsi="Arial"/>
          <w:b/>
          <w:szCs w:val="20"/>
        </w:rPr>
      </w:pPr>
      <w:bookmarkStart w:id="4" w:name="_Toc316974022"/>
      <w:bookmarkStart w:id="5" w:name="_Toc318981210"/>
      <w:bookmarkStart w:id="6" w:name="_Toc319589142"/>
      <w:bookmarkStart w:id="7" w:name="_Toc320770598"/>
      <w:bookmarkStart w:id="8" w:name="_Toc347391002"/>
      <w:bookmarkStart w:id="9" w:name="_Toc379459331"/>
      <w:bookmarkStart w:id="10" w:name="_Toc379459442"/>
      <w:bookmarkStart w:id="11" w:name="_Toc382471400"/>
      <w:bookmarkStart w:id="12" w:name="_Toc383520561"/>
      <w:r w:rsidRPr="003F7D48">
        <w:rPr>
          <w:rFonts w:ascii="Arial" w:hAnsi="Arial"/>
          <w:b/>
          <w:szCs w:val="20"/>
        </w:rPr>
        <w:t>Indigenous data in the School education chapter</w:t>
      </w:r>
      <w:bookmarkEnd w:id="4"/>
      <w:bookmarkEnd w:id="5"/>
      <w:bookmarkEnd w:id="6"/>
      <w:bookmarkEnd w:id="7"/>
      <w:bookmarkEnd w:id="8"/>
      <w:bookmarkEnd w:id="9"/>
      <w:bookmarkEnd w:id="10"/>
      <w:bookmarkEnd w:id="11"/>
      <w:bookmarkEnd w:id="12"/>
    </w:p>
    <w:p w:rsidR="001C601E" w:rsidRPr="003F7D48" w:rsidRDefault="001C601E" w:rsidP="001C601E">
      <w:pPr>
        <w:spacing w:before="240" w:line="320" w:lineRule="atLeast"/>
        <w:jc w:val="both"/>
        <w:rPr>
          <w:szCs w:val="20"/>
        </w:rPr>
      </w:pPr>
      <w:r w:rsidRPr="003F7D48">
        <w:rPr>
          <w:szCs w:val="20"/>
        </w:rPr>
        <w:t>The School education chapter in the 201</w:t>
      </w:r>
      <w:r w:rsidR="00843821" w:rsidRPr="003F7D48">
        <w:rPr>
          <w:szCs w:val="20"/>
        </w:rPr>
        <w:t xml:space="preserve">4 </w:t>
      </w:r>
      <w:r w:rsidRPr="003F7D48">
        <w:rPr>
          <w:szCs w:val="20"/>
        </w:rPr>
        <w:t xml:space="preserve">Report contains the following data items for Indigenous </w:t>
      </w:r>
      <w:r w:rsidR="00165C27" w:rsidRPr="003F7D48">
        <w:rPr>
          <w:szCs w:val="20"/>
        </w:rPr>
        <w:t>Australians</w:t>
      </w:r>
      <w:r w:rsidRPr="003F7D48">
        <w:rPr>
          <w:szCs w:val="20"/>
        </w:rPr>
        <w:t>:</w:t>
      </w:r>
    </w:p>
    <w:p w:rsidR="001C601E" w:rsidRPr="003F7D48" w:rsidRDefault="001C601E" w:rsidP="001F2E1B">
      <w:pPr>
        <w:pStyle w:val="ListBullet"/>
      </w:pPr>
      <w:r w:rsidRPr="003F7D48">
        <w:t>number and p</w:t>
      </w:r>
      <w:r w:rsidR="001F2E1B" w:rsidRPr="003F7D48">
        <w:t>roportion of full time students</w:t>
      </w:r>
    </w:p>
    <w:p w:rsidR="001F2E1B" w:rsidRPr="003F7D48" w:rsidRDefault="001F2E1B" w:rsidP="001F2E1B">
      <w:pPr>
        <w:pStyle w:val="ListBullet"/>
      </w:pPr>
      <w:r w:rsidRPr="003F7D48">
        <w:t>reading performance</w:t>
      </w:r>
      <w:r w:rsidR="00697719" w:rsidRPr="003F7D48">
        <w:t xml:space="preserve"> in National Assessment Program </w:t>
      </w:r>
      <w:r w:rsidR="00581AAA" w:rsidRPr="003F7D48">
        <w:t>—</w:t>
      </w:r>
      <w:r w:rsidR="00697719" w:rsidRPr="003F7D48">
        <w:t xml:space="preserve"> Literacy and Numeracy (NAPLAN) testing</w:t>
      </w:r>
    </w:p>
    <w:p w:rsidR="001F2E1B" w:rsidRPr="003F7D48" w:rsidRDefault="001F2E1B" w:rsidP="001F2E1B">
      <w:pPr>
        <w:pStyle w:val="ListBullet"/>
      </w:pPr>
      <w:r w:rsidRPr="003F7D48">
        <w:t>persuasive writing performance</w:t>
      </w:r>
      <w:r w:rsidR="00697719" w:rsidRPr="003F7D48">
        <w:t xml:space="preserve"> in NAPLAN testing</w:t>
      </w:r>
    </w:p>
    <w:p w:rsidR="001F2E1B" w:rsidRPr="003F7D48" w:rsidRDefault="00697719" w:rsidP="001F2E1B">
      <w:pPr>
        <w:pStyle w:val="ListBullet"/>
      </w:pPr>
      <w:r w:rsidRPr="003F7D48">
        <w:t>numerac</w:t>
      </w:r>
      <w:r w:rsidR="00263E44" w:rsidRPr="003F7D48">
        <w:t>y performance in NAPLAN testing</w:t>
      </w:r>
    </w:p>
    <w:p w:rsidR="001F2E1B" w:rsidRPr="003F7D48" w:rsidRDefault="001C601E" w:rsidP="001F2E1B">
      <w:pPr>
        <w:pStyle w:val="ListBullet"/>
      </w:pPr>
      <w:r w:rsidRPr="003F7D48">
        <w:t>science literacy performance</w:t>
      </w:r>
      <w:r w:rsidR="00697719" w:rsidRPr="003F7D48">
        <w:t xml:space="preserve"> in the National Assessment Program (NAP) testing</w:t>
      </w:r>
    </w:p>
    <w:p w:rsidR="001C601E" w:rsidRPr="003F7D48" w:rsidRDefault="001C601E" w:rsidP="001F2E1B">
      <w:pPr>
        <w:pStyle w:val="ListBullet"/>
      </w:pPr>
      <w:r w:rsidRPr="003F7D48">
        <w:t>civics and citizenship performance</w:t>
      </w:r>
      <w:r w:rsidR="00697719" w:rsidRPr="003F7D48">
        <w:t xml:space="preserve"> (NAP testing)</w:t>
      </w:r>
    </w:p>
    <w:p w:rsidR="001C601E" w:rsidRPr="003F7D48" w:rsidRDefault="001C601E" w:rsidP="001F2E1B">
      <w:pPr>
        <w:pStyle w:val="ListBullet"/>
      </w:pPr>
      <w:r w:rsidRPr="003F7D48">
        <w:t>information and communication technologies literacy performance</w:t>
      </w:r>
      <w:r w:rsidR="00697719" w:rsidRPr="003F7D48">
        <w:t xml:space="preserve"> (NAP testing)</w:t>
      </w:r>
    </w:p>
    <w:p w:rsidR="00FC1E1A" w:rsidRPr="003F7D48" w:rsidRDefault="00FC1E1A" w:rsidP="001F2E1B">
      <w:pPr>
        <w:pStyle w:val="ListBullet"/>
      </w:pPr>
      <w:r w:rsidRPr="003F7D48">
        <w:t>Programme for International Student Assessment (PISA) assessment results</w:t>
      </w:r>
    </w:p>
    <w:p w:rsidR="00FC1E1A" w:rsidRPr="003F7D48" w:rsidRDefault="00A151B9" w:rsidP="00FC1E1A">
      <w:pPr>
        <w:pStyle w:val="ListBullet"/>
      </w:pPr>
      <w:r w:rsidRPr="003F7D48">
        <w:t>Trends in International Mathematics and Science Study (TIMSS)</w:t>
      </w:r>
      <w:r w:rsidR="00FC1E1A" w:rsidRPr="003F7D48">
        <w:t xml:space="preserve"> assessment results</w:t>
      </w:r>
    </w:p>
    <w:p w:rsidR="00263E44" w:rsidRPr="003F7D48" w:rsidRDefault="00263E44" w:rsidP="00ED79F8">
      <w:pPr>
        <w:pStyle w:val="ListBullet"/>
      </w:pPr>
      <w:r w:rsidRPr="003F7D48">
        <w:lastRenderedPageBreak/>
        <w:t xml:space="preserve">2011 </w:t>
      </w:r>
      <w:r w:rsidR="00ED79F8" w:rsidRPr="003F7D48">
        <w:t xml:space="preserve">Progress in International Reading Literacy Study (PIRLS) </w:t>
      </w:r>
      <w:r w:rsidRPr="003F7D48">
        <w:t>assessment</w:t>
      </w:r>
      <w:r w:rsidR="00722715" w:rsidRPr="003F7D48">
        <w:t xml:space="preserve"> result</w:t>
      </w:r>
      <w:r w:rsidRPr="003F7D48">
        <w:t>s</w:t>
      </w:r>
    </w:p>
    <w:p w:rsidR="00FC1E1A" w:rsidRPr="003F7D48" w:rsidRDefault="00FC1E1A" w:rsidP="00FC1E1A">
      <w:pPr>
        <w:pStyle w:val="ListBullet"/>
      </w:pPr>
      <w:r w:rsidRPr="003F7D48">
        <w:t>apparen</w:t>
      </w:r>
      <w:r w:rsidR="00ED79F8" w:rsidRPr="003F7D48">
        <w:t xml:space="preserve">t retention rate from year 7 or </w:t>
      </w:r>
      <w:r w:rsidRPr="003F7D48">
        <w:t>8 to year</w:t>
      </w:r>
      <w:r w:rsidR="00ED79F8" w:rsidRPr="003F7D48">
        <w:t>s</w:t>
      </w:r>
      <w:r w:rsidRPr="003F7D48">
        <w:t xml:space="preserve"> 10</w:t>
      </w:r>
      <w:r w:rsidR="00ED79F8" w:rsidRPr="003F7D48">
        <w:t xml:space="preserve"> and 12</w:t>
      </w:r>
    </w:p>
    <w:p w:rsidR="00FC1E1A" w:rsidRPr="003F7D48" w:rsidRDefault="00FC1E1A" w:rsidP="00FC1E1A">
      <w:pPr>
        <w:tabs>
          <w:tab w:val="num" w:pos="360"/>
        </w:tabs>
        <w:spacing w:before="120" w:line="320" w:lineRule="atLeast"/>
        <w:ind w:left="340" w:hanging="340"/>
        <w:jc w:val="both"/>
        <w:rPr>
          <w:szCs w:val="20"/>
        </w:rPr>
      </w:pPr>
      <w:r w:rsidRPr="003F7D48">
        <w:t>•</w:t>
      </w:r>
      <w:r w:rsidRPr="003F7D48">
        <w:tab/>
        <w:t>apparent</w:t>
      </w:r>
      <w:r w:rsidRPr="003F7D48">
        <w:rPr>
          <w:szCs w:val="20"/>
        </w:rPr>
        <w:t xml:space="preserve"> retention rate from year 10 to year 12</w:t>
      </w:r>
    </w:p>
    <w:p w:rsidR="00FC1E1A" w:rsidRPr="003F7D48" w:rsidRDefault="00FC1E1A" w:rsidP="00FC1E1A">
      <w:pPr>
        <w:pStyle w:val="ListBullet"/>
      </w:pPr>
      <w:r w:rsidRPr="003F7D48">
        <w:t>student attendance rate.</w:t>
      </w:r>
    </w:p>
    <w:p w:rsidR="001C601E" w:rsidRPr="003F7D48" w:rsidRDefault="001C601E" w:rsidP="001C601E">
      <w:pPr>
        <w:keepNext/>
        <w:spacing w:before="560" w:line="320" w:lineRule="exact"/>
        <w:outlineLvl w:val="2"/>
        <w:rPr>
          <w:rFonts w:ascii="Arial" w:hAnsi="Arial"/>
          <w:b/>
          <w:szCs w:val="20"/>
        </w:rPr>
      </w:pPr>
      <w:bookmarkStart w:id="13" w:name="_Toc318981211"/>
      <w:bookmarkStart w:id="14" w:name="_Toc319589143"/>
      <w:bookmarkStart w:id="15" w:name="_Toc320770599"/>
      <w:bookmarkStart w:id="16" w:name="_Toc347391003"/>
      <w:bookmarkStart w:id="17" w:name="_Toc379459332"/>
      <w:bookmarkStart w:id="18" w:name="_Toc379459443"/>
      <w:bookmarkStart w:id="19" w:name="_Toc382471401"/>
      <w:bookmarkStart w:id="20" w:name="_Toc383520562"/>
      <w:bookmarkStart w:id="21" w:name="_Toc288229071"/>
      <w:bookmarkStart w:id="22" w:name="_Toc288726448"/>
      <w:bookmarkStart w:id="23" w:name="_Toc316974023"/>
      <w:r w:rsidRPr="003F7D48">
        <w:rPr>
          <w:rFonts w:ascii="Arial" w:hAnsi="Arial"/>
          <w:b/>
          <w:szCs w:val="20"/>
        </w:rPr>
        <w:t>Special needs groups</w:t>
      </w:r>
      <w:bookmarkEnd w:id="13"/>
      <w:bookmarkEnd w:id="14"/>
      <w:bookmarkEnd w:id="15"/>
      <w:bookmarkEnd w:id="16"/>
      <w:bookmarkEnd w:id="17"/>
      <w:bookmarkEnd w:id="18"/>
      <w:bookmarkEnd w:id="19"/>
      <w:bookmarkEnd w:id="20"/>
    </w:p>
    <w:p w:rsidR="00ED79F8" w:rsidRPr="003F7D48" w:rsidRDefault="00ED79F8" w:rsidP="00ED79F8">
      <w:pPr>
        <w:spacing w:before="240" w:line="320" w:lineRule="atLeast"/>
        <w:jc w:val="both"/>
        <w:rPr>
          <w:szCs w:val="20"/>
        </w:rPr>
      </w:pPr>
      <w:r w:rsidRPr="003F7D48">
        <w:rPr>
          <w:szCs w:val="20"/>
        </w:rPr>
        <w:t>Some groups of students in school education have been identified as having special needs. These special needs groups include:</w:t>
      </w:r>
    </w:p>
    <w:p w:rsidR="00ED79F8" w:rsidRPr="003F7D48" w:rsidRDefault="00ED79F8" w:rsidP="00ED79F8">
      <w:pPr>
        <w:pStyle w:val="ListBullet"/>
        <w:numPr>
          <w:ilvl w:val="0"/>
          <w:numId w:val="3"/>
        </w:numPr>
      </w:pPr>
      <w:r w:rsidRPr="003F7D48">
        <w:t>Indigenous students</w:t>
      </w:r>
    </w:p>
    <w:p w:rsidR="00ED79F8" w:rsidRPr="003F7D48" w:rsidRDefault="00ED79F8" w:rsidP="00ED79F8">
      <w:pPr>
        <w:pStyle w:val="ListBullet"/>
        <w:numPr>
          <w:ilvl w:val="0"/>
          <w:numId w:val="3"/>
        </w:numPr>
      </w:pPr>
      <w:r w:rsidRPr="003F7D48">
        <w:t>students from language backgrounds other than English (LBOTE)</w:t>
      </w:r>
    </w:p>
    <w:p w:rsidR="00ED79F8" w:rsidRPr="003F7D48" w:rsidRDefault="00ED79F8" w:rsidP="00ED79F8">
      <w:pPr>
        <w:pStyle w:val="ListBullet"/>
        <w:numPr>
          <w:ilvl w:val="0"/>
          <w:numId w:val="3"/>
        </w:numPr>
      </w:pPr>
      <w:r w:rsidRPr="003F7D48">
        <w:t>students with disability</w:t>
      </w:r>
    </w:p>
    <w:p w:rsidR="00ED79F8" w:rsidRPr="003F7D48" w:rsidRDefault="00ED79F8" w:rsidP="00ED79F8">
      <w:pPr>
        <w:pStyle w:val="ListBullet"/>
        <w:numPr>
          <w:ilvl w:val="0"/>
          <w:numId w:val="3"/>
        </w:numPr>
      </w:pPr>
      <w:r w:rsidRPr="003F7D48">
        <w:t>geographically remote students</w:t>
      </w:r>
    </w:p>
    <w:p w:rsidR="00ED79F8" w:rsidRPr="003F7D48" w:rsidRDefault="00ED79F8" w:rsidP="00ED79F8">
      <w:pPr>
        <w:pStyle w:val="ListBullet"/>
        <w:numPr>
          <w:ilvl w:val="0"/>
          <w:numId w:val="3"/>
        </w:numPr>
      </w:pPr>
      <w:r w:rsidRPr="003F7D48">
        <w:t>students from families of low socio-economic status.</w:t>
      </w:r>
    </w:p>
    <w:p w:rsidR="00ED79F8" w:rsidRPr="003F7D48" w:rsidRDefault="00ED79F8" w:rsidP="00ED79F8">
      <w:pPr>
        <w:spacing w:before="240" w:line="320" w:lineRule="atLeast"/>
        <w:jc w:val="both"/>
        <w:rPr>
          <w:szCs w:val="20"/>
        </w:rPr>
      </w:pPr>
      <w:r w:rsidRPr="003F7D48">
        <w:rPr>
          <w:szCs w:val="20"/>
        </w:rPr>
        <w:t>Government schools provide education for a high proportion of students from special needs groups. In 2012, 84.7 per cent of Indigenous students and</w:t>
      </w:r>
      <w:r w:rsidRPr="003F7D48">
        <w:rPr>
          <w:szCs w:val="20"/>
        </w:rPr>
        <w:br/>
        <w:t xml:space="preserve">76.6 per cent of students with </w:t>
      </w:r>
      <w:r w:rsidRPr="003F7D48">
        <w:rPr>
          <w:szCs w:val="20"/>
          <w:shd w:val="clear" w:color="auto" w:fill="FFFFFF" w:themeFill="background1"/>
        </w:rPr>
        <w:t>disability, attended</w:t>
      </w:r>
      <w:r w:rsidRPr="003F7D48">
        <w:rPr>
          <w:szCs w:val="20"/>
        </w:rPr>
        <w:t xml:space="preserve"> government schools (tables 4A.29 and</w:t>
      </w:r>
      <w:r w:rsidR="00722715" w:rsidRPr="003F7D48">
        <w:rPr>
          <w:szCs w:val="20"/>
        </w:rPr>
        <w:t xml:space="preserve"> 2014 Report, table </w:t>
      </w:r>
      <w:r w:rsidRPr="003F7D48">
        <w:rPr>
          <w:szCs w:val="20"/>
        </w:rPr>
        <w:t>4A.31). Further information on student body mix in government, non</w:t>
      </w:r>
      <w:r w:rsidRPr="003F7D48">
        <w:rPr>
          <w:szCs w:val="20"/>
        </w:rPr>
        <w:noBreakHyphen/>
        <w:t>government and all schools is in tables 4A.32–</w:t>
      </w:r>
      <w:r w:rsidR="00245505" w:rsidRPr="003F7D48">
        <w:rPr>
          <w:szCs w:val="20"/>
        </w:rPr>
        <w:t>34.</w:t>
      </w:r>
    </w:p>
    <w:p w:rsidR="001C601E" w:rsidRPr="003F7D48" w:rsidRDefault="001C601E" w:rsidP="001C601E">
      <w:pPr>
        <w:keepNext/>
        <w:spacing w:before="560" w:line="320" w:lineRule="exact"/>
        <w:outlineLvl w:val="2"/>
        <w:rPr>
          <w:rFonts w:ascii="Arial" w:hAnsi="Arial"/>
          <w:b/>
          <w:szCs w:val="20"/>
        </w:rPr>
      </w:pPr>
      <w:bookmarkStart w:id="24" w:name="_Toc318981212"/>
      <w:bookmarkStart w:id="25" w:name="_Toc319589144"/>
      <w:bookmarkStart w:id="26" w:name="_Toc320770600"/>
      <w:bookmarkStart w:id="27" w:name="_Toc347391004"/>
      <w:bookmarkStart w:id="28" w:name="_Toc379459333"/>
      <w:bookmarkStart w:id="29" w:name="_Toc379459444"/>
      <w:bookmarkStart w:id="30" w:name="_Toc382471402"/>
      <w:bookmarkStart w:id="31" w:name="_Toc383520563"/>
      <w:r w:rsidRPr="003F7D48">
        <w:rPr>
          <w:rFonts w:ascii="Arial" w:hAnsi="Arial"/>
          <w:b/>
          <w:szCs w:val="20"/>
        </w:rPr>
        <w:t xml:space="preserve">Indigenous </w:t>
      </w:r>
      <w:bookmarkEnd w:id="21"/>
      <w:bookmarkEnd w:id="22"/>
      <w:bookmarkEnd w:id="23"/>
      <w:bookmarkEnd w:id="24"/>
      <w:bookmarkEnd w:id="25"/>
      <w:bookmarkEnd w:id="26"/>
      <w:bookmarkEnd w:id="27"/>
      <w:r w:rsidR="00ED79F8" w:rsidRPr="003F7D48">
        <w:rPr>
          <w:rFonts w:ascii="Arial" w:hAnsi="Arial"/>
          <w:b/>
          <w:szCs w:val="20"/>
        </w:rPr>
        <w:t>students</w:t>
      </w:r>
      <w:bookmarkEnd w:id="28"/>
      <w:bookmarkEnd w:id="29"/>
      <w:bookmarkEnd w:id="30"/>
      <w:bookmarkEnd w:id="31"/>
    </w:p>
    <w:p w:rsidR="00DC0C27" w:rsidRPr="003F7D48" w:rsidRDefault="00DC0C27" w:rsidP="00DC0C27">
      <w:pPr>
        <w:spacing w:before="240" w:line="320" w:lineRule="atLeast"/>
        <w:jc w:val="both"/>
        <w:rPr>
          <w:szCs w:val="20"/>
        </w:rPr>
      </w:pPr>
      <w:r w:rsidRPr="003F7D48">
        <w:rPr>
          <w:szCs w:val="20"/>
        </w:rPr>
        <w:t xml:space="preserve">The number and proportion of full time students who are Indigenous varies greatly across jurisdictions (table 4.1). In all jurisdictions, the proportion of full time Indigenous students was </w:t>
      </w:r>
      <w:r w:rsidRPr="003F7D48">
        <w:rPr>
          <w:szCs w:val="20"/>
          <w:shd w:val="clear" w:color="auto" w:fill="FFFFFF" w:themeFill="background1"/>
        </w:rPr>
        <w:t>much higher in government schools than in non</w:t>
      </w:r>
      <w:r w:rsidRPr="003F7D48">
        <w:rPr>
          <w:szCs w:val="20"/>
          <w:shd w:val="clear" w:color="auto" w:fill="FFFFFF" w:themeFill="background1"/>
        </w:rPr>
        <w:noBreakHyphen/>
        <w:t>government schools. Nationally, the proportion of full time students who were</w:t>
      </w:r>
      <w:r w:rsidRPr="003F7D48">
        <w:rPr>
          <w:szCs w:val="20"/>
        </w:rPr>
        <w:t xml:space="preserve"> Indigenous was 6.4 per cent in government schools and 2.1 per cent in non</w:t>
      </w:r>
      <w:r w:rsidRPr="003F7D48">
        <w:rPr>
          <w:szCs w:val="20"/>
        </w:rPr>
        <w:noBreakHyphen/>
        <w:t>government schools in 2012 (table 4.1).</w:t>
      </w:r>
    </w:p>
    <w:p w:rsidR="00DC0C27" w:rsidRPr="003F7D48" w:rsidRDefault="00DC0C27" w:rsidP="00DC0C27">
      <w:pPr>
        <w:pStyle w:val="TableTitle"/>
      </w:pPr>
      <w:r w:rsidRPr="003F7D48">
        <w:rPr>
          <w:b w:val="0"/>
        </w:rPr>
        <w:lastRenderedPageBreak/>
        <w:t xml:space="preserve">Table </w:t>
      </w:r>
      <w:bookmarkStart w:id="32" w:name="OLE_LINK15"/>
      <w:r w:rsidRPr="003F7D48">
        <w:rPr>
          <w:b w:val="0"/>
        </w:rPr>
        <w:t>4.</w:t>
      </w:r>
      <w:bookmarkEnd w:id="32"/>
      <w:r w:rsidR="000F484B" w:rsidRPr="003F7D48">
        <w:rPr>
          <w:b w:val="0"/>
          <w:noProof/>
        </w:rPr>
        <w:t>1</w:t>
      </w:r>
      <w:r w:rsidRPr="003F7D48">
        <w:rPr>
          <w:b w:val="0"/>
        </w:rPr>
        <w:tab/>
      </w:r>
      <w:r w:rsidRPr="003F7D48">
        <w:t>Indigenous full time students, 2012</w:t>
      </w:r>
    </w:p>
    <w:tbl>
      <w:tblPr>
        <w:tblW w:w="8789" w:type="dxa"/>
        <w:tblLayout w:type="fixed"/>
        <w:tblCellMar>
          <w:left w:w="0" w:type="dxa"/>
          <w:right w:w="0" w:type="dxa"/>
        </w:tblCellMar>
        <w:tblLook w:val="0000" w:firstRow="0" w:lastRow="0" w:firstColumn="0" w:lastColumn="0" w:noHBand="0" w:noVBand="0"/>
      </w:tblPr>
      <w:tblGrid>
        <w:gridCol w:w="2700"/>
        <w:gridCol w:w="676"/>
        <w:gridCol w:w="735"/>
        <w:gridCol w:w="567"/>
        <w:gridCol w:w="567"/>
        <w:gridCol w:w="567"/>
        <w:gridCol w:w="567"/>
        <w:gridCol w:w="567"/>
        <w:gridCol w:w="567"/>
        <w:gridCol w:w="567"/>
        <w:gridCol w:w="709"/>
      </w:tblGrid>
      <w:tr w:rsidR="00DC0C27" w:rsidRPr="003F7D48" w:rsidTr="00DF2F59">
        <w:tc>
          <w:tcPr>
            <w:tcW w:w="2700"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rPr>
                <w:rFonts w:ascii="Arial" w:hAnsi="Arial"/>
                <w:i/>
                <w:sz w:val="20"/>
                <w:szCs w:val="20"/>
              </w:rPr>
            </w:pPr>
          </w:p>
        </w:tc>
        <w:tc>
          <w:tcPr>
            <w:tcW w:w="676" w:type="dxa"/>
            <w:tcBorders>
              <w:top w:val="single" w:sz="6" w:space="0" w:color="auto"/>
              <w:bottom w:val="single" w:sz="4" w:space="0" w:color="auto"/>
            </w:tcBorders>
          </w:tcPr>
          <w:p w:rsidR="00DC0C27" w:rsidRPr="003F7D48" w:rsidRDefault="00DC0C27" w:rsidP="00DF2F59">
            <w:pPr>
              <w:keepNext/>
              <w:keepLines/>
              <w:spacing w:before="80" w:after="80" w:line="220" w:lineRule="atLeast"/>
              <w:ind w:left="6" w:right="113"/>
              <w:jc w:val="right"/>
              <w:rPr>
                <w:rFonts w:ascii="Arial" w:hAnsi="Arial"/>
                <w:i/>
                <w:sz w:val="20"/>
                <w:szCs w:val="20"/>
              </w:rPr>
            </w:pPr>
          </w:p>
        </w:tc>
        <w:tc>
          <w:tcPr>
            <w:tcW w:w="735"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NSW</w:t>
            </w:r>
          </w:p>
        </w:tc>
        <w:tc>
          <w:tcPr>
            <w:tcW w:w="567"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Vic</w:t>
            </w:r>
          </w:p>
        </w:tc>
        <w:tc>
          <w:tcPr>
            <w:tcW w:w="567"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Qld</w:t>
            </w:r>
          </w:p>
        </w:tc>
        <w:tc>
          <w:tcPr>
            <w:tcW w:w="567"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WA</w:t>
            </w:r>
          </w:p>
        </w:tc>
        <w:tc>
          <w:tcPr>
            <w:tcW w:w="567"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SA</w:t>
            </w:r>
          </w:p>
        </w:tc>
        <w:tc>
          <w:tcPr>
            <w:tcW w:w="567"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Tas</w:t>
            </w:r>
          </w:p>
        </w:tc>
        <w:tc>
          <w:tcPr>
            <w:tcW w:w="567"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ACT</w:t>
            </w:r>
          </w:p>
        </w:tc>
        <w:tc>
          <w:tcPr>
            <w:tcW w:w="567"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NT</w:t>
            </w:r>
          </w:p>
        </w:tc>
        <w:tc>
          <w:tcPr>
            <w:tcW w:w="709" w:type="dxa"/>
            <w:tcBorders>
              <w:top w:val="single" w:sz="6" w:space="0" w:color="auto"/>
              <w:bottom w:val="single" w:sz="4" w:space="0" w:color="auto"/>
            </w:tcBorders>
            <w:shd w:val="clear" w:color="auto" w:fill="auto"/>
          </w:tcPr>
          <w:p w:rsidR="00DC0C27" w:rsidRPr="003F7D48" w:rsidRDefault="00DC0C27" w:rsidP="00DF2F59">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Aust</w:t>
            </w:r>
          </w:p>
        </w:tc>
      </w:tr>
      <w:tr w:rsidR="00DC0C27" w:rsidRPr="003F7D48" w:rsidTr="00DF2F59">
        <w:tc>
          <w:tcPr>
            <w:tcW w:w="8789" w:type="dxa"/>
            <w:gridSpan w:val="11"/>
            <w:tcBorders>
              <w:top w:val="single" w:sz="4" w:space="0" w:color="auto"/>
            </w:tcBorders>
          </w:tcPr>
          <w:p w:rsidR="00DC0C27" w:rsidRPr="003F7D48" w:rsidRDefault="00DC0C27" w:rsidP="00DF2F59">
            <w:pPr>
              <w:keepNext/>
              <w:keepLines/>
              <w:spacing w:after="40" w:line="220" w:lineRule="atLeast"/>
              <w:ind w:left="6" w:right="113"/>
              <w:rPr>
                <w:rFonts w:ascii="Arial" w:hAnsi="Arial"/>
                <w:sz w:val="20"/>
                <w:szCs w:val="20"/>
              </w:rPr>
            </w:pPr>
            <w:r w:rsidRPr="003F7D48">
              <w:rPr>
                <w:rFonts w:ascii="Arial" w:hAnsi="Arial"/>
                <w:sz w:val="20"/>
                <w:szCs w:val="20"/>
              </w:rPr>
              <w:t xml:space="preserve">Indigenous full time students </w:t>
            </w:r>
            <w:r w:rsidRPr="003F7D48">
              <w:rPr>
                <w:rFonts w:ascii="Arial" w:hAnsi="Arial"/>
                <w:b/>
                <w:position w:val="6"/>
                <w:sz w:val="18"/>
                <w:szCs w:val="20"/>
              </w:rPr>
              <w:t>a</w:t>
            </w:r>
          </w:p>
        </w:tc>
      </w:tr>
      <w:tr w:rsidR="00DC0C27" w:rsidRPr="003F7D48" w:rsidTr="00DF2F59">
        <w:tc>
          <w:tcPr>
            <w:tcW w:w="2700" w:type="dxa"/>
            <w:shd w:val="clear" w:color="auto" w:fill="auto"/>
          </w:tcPr>
          <w:p w:rsidR="00DC0C27" w:rsidRPr="003F7D48" w:rsidRDefault="00DC0C27" w:rsidP="00DF2F59">
            <w:pPr>
              <w:keepNext/>
              <w:keepLines/>
              <w:spacing w:after="40" w:line="220" w:lineRule="atLeast"/>
              <w:ind w:left="180" w:right="113"/>
              <w:rPr>
                <w:rFonts w:ascii="Arial" w:hAnsi="Arial"/>
                <w:sz w:val="20"/>
                <w:szCs w:val="20"/>
              </w:rPr>
            </w:pPr>
            <w:r w:rsidRPr="003F7D48">
              <w:rPr>
                <w:rFonts w:ascii="Arial" w:hAnsi="Arial"/>
                <w:sz w:val="20"/>
                <w:szCs w:val="20"/>
              </w:rPr>
              <w:t>Government schools</w:t>
            </w:r>
          </w:p>
        </w:tc>
        <w:tc>
          <w:tcPr>
            <w:tcW w:w="676" w:type="dxa"/>
          </w:tcPr>
          <w:p w:rsidR="00DC0C27" w:rsidRPr="003F7D48" w:rsidRDefault="00DC0C27" w:rsidP="00DF2F59">
            <w:pPr>
              <w:pStyle w:val="TableBodyText"/>
            </w:pPr>
            <w:r w:rsidRPr="003F7D48">
              <w:t>(‘000)</w:t>
            </w:r>
          </w:p>
        </w:tc>
        <w:tc>
          <w:tcPr>
            <w:tcW w:w="735" w:type="dxa"/>
            <w:shd w:val="clear" w:color="auto" w:fill="auto"/>
            <w:vAlign w:val="bottom"/>
          </w:tcPr>
          <w:p w:rsidR="00DC0C27" w:rsidRPr="003F7D48" w:rsidRDefault="00DC0C27" w:rsidP="00DF2F59">
            <w:pPr>
              <w:pStyle w:val="TableBodyText"/>
            </w:pPr>
            <w:r w:rsidRPr="003F7D48">
              <w:t>47.0</w:t>
            </w:r>
          </w:p>
        </w:tc>
        <w:tc>
          <w:tcPr>
            <w:tcW w:w="567" w:type="dxa"/>
            <w:shd w:val="clear" w:color="auto" w:fill="auto"/>
            <w:vAlign w:val="bottom"/>
          </w:tcPr>
          <w:p w:rsidR="00DC0C27" w:rsidRPr="003F7D48" w:rsidRDefault="00DC0C27" w:rsidP="00DF2F59">
            <w:pPr>
              <w:pStyle w:val="TableBodyText"/>
            </w:pPr>
            <w:r w:rsidRPr="003F7D48">
              <w:t>9.7</w:t>
            </w:r>
          </w:p>
        </w:tc>
        <w:tc>
          <w:tcPr>
            <w:tcW w:w="567" w:type="dxa"/>
            <w:shd w:val="clear" w:color="auto" w:fill="auto"/>
            <w:vAlign w:val="bottom"/>
          </w:tcPr>
          <w:p w:rsidR="00DC0C27" w:rsidRPr="003F7D48" w:rsidRDefault="00DC0C27" w:rsidP="00DF2F59">
            <w:pPr>
              <w:pStyle w:val="TableBodyText"/>
            </w:pPr>
            <w:r w:rsidRPr="003F7D48">
              <w:t>43.2</w:t>
            </w:r>
          </w:p>
        </w:tc>
        <w:tc>
          <w:tcPr>
            <w:tcW w:w="567" w:type="dxa"/>
            <w:shd w:val="clear" w:color="auto" w:fill="auto"/>
            <w:vAlign w:val="bottom"/>
          </w:tcPr>
          <w:p w:rsidR="00DC0C27" w:rsidRPr="003F7D48" w:rsidRDefault="00DC0C27" w:rsidP="00DF2F59">
            <w:pPr>
              <w:pStyle w:val="TableBodyText"/>
            </w:pPr>
            <w:r w:rsidRPr="003F7D48">
              <w:t>20.0</w:t>
            </w:r>
          </w:p>
        </w:tc>
        <w:tc>
          <w:tcPr>
            <w:tcW w:w="567" w:type="dxa"/>
            <w:shd w:val="clear" w:color="auto" w:fill="auto"/>
            <w:vAlign w:val="bottom"/>
          </w:tcPr>
          <w:p w:rsidR="00DC0C27" w:rsidRPr="003F7D48" w:rsidRDefault="00DC0C27" w:rsidP="00DF2F59">
            <w:pPr>
              <w:pStyle w:val="TableBodyText"/>
            </w:pPr>
            <w:r w:rsidRPr="003F7D48">
              <w:t>9.0</w:t>
            </w:r>
          </w:p>
        </w:tc>
        <w:tc>
          <w:tcPr>
            <w:tcW w:w="567" w:type="dxa"/>
            <w:shd w:val="clear" w:color="auto" w:fill="auto"/>
            <w:vAlign w:val="bottom"/>
          </w:tcPr>
          <w:p w:rsidR="00DC0C27" w:rsidRPr="003F7D48" w:rsidRDefault="00DC0C27" w:rsidP="00DF2F59">
            <w:pPr>
              <w:pStyle w:val="TableBodyText"/>
            </w:pPr>
            <w:r w:rsidRPr="003F7D48">
              <w:t>4.7</w:t>
            </w:r>
          </w:p>
        </w:tc>
        <w:tc>
          <w:tcPr>
            <w:tcW w:w="567" w:type="dxa"/>
            <w:shd w:val="clear" w:color="auto" w:fill="auto"/>
            <w:vAlign w:val="bottom"/>
          </w:tcPr>
          <w:p w:rsidR="00DC0C27" w:rsidRPr="003F7D48" w:rsidRDefault="00DC0C27" w:rsidP="00DF2F59">
            <w:pPr>
              <w:pStyle w:val="TableBodyText"/>
            </w:pPr>
            <w:r w:rsidRPr="003F7D48">
              <w:t>1.2</w:t>
            </w:r>
          </w:p>
        </w:tc>
        <w:tc>
          <w:tcPr>
            <w:tcW w:w="567" w:type="dxa"/>
            <w:shd w:val="clear" w:color="auto" w:fill="auto"/>
            <w:vAlign w:val="bottom"/>
          </w:tcPr>
          <w:p w:rsidR="00DC0C27" w:rsidRPr="003F7D48" w:rsidRDefault="00DC0C27" w:rsidP="00DF2F59">
            <w:pPr>
              <w:pStyle w:val="TableBodyText"/>
            </w:pPr>
            <w:r w:rsidRPr="003F7D48">
              <w:t>13.1</w:t>
            </w:r>
          </w:p>
        </w:tc>
        <w:tc>
          <w:tcPr>
            <w:tcW w:w="709" w:type="dxa"/>
            <w:shd w:val="clear" w:color="auto" w:fill="auto"/>
            <w:vAlign w:val="bottom"/>
          </w:tcPr>
          <w:p w:rsidR="00DC0C27" w:rsidRPr="003F7D48" w:rsidRDefault="00DC0C27" w:rsidP="00DF2F59">
            <w:pPr>
              <w:pStyle w:val="TableBodyText"/>
            </w:pPr>
            <w:r w:rsidRPr="003F7D48">
              <w:t>147.9</w:t>
            </w:r>
          </w:p>
        </w:tc>
      </w:tr>
      <w:tr w:rsidR="00DC0C27" w:rsidRPr="003F7D48" w:rsidTr="00DF2F59">
        <w:tc>
          <w:tcPr>
            <w:tcW w:w="2700" w:type="dxa"/>
            <w:shd w:val="clear" w:color="auto" w:fill="auto"/>
          </w:tcPr>
          <w:p w:rsidR="00DC0C27" w:rsidRPr="003F7D48" w:rsidRDefault="00DC0C27" w:rsidP="00DF2F59">
            <w:pPr>
              <w:keepNext/>
              <w:keepLines/>
              <w:spacing w:after="40" w:line="220" w:lineRule="atLeast"/>
              <w:ind w:left="180" w:right="113"/>
              <w:rPr>
                <w:rFonts w:ascii="Arial" w:hAnsi="Arial"/>
                <w:sz w:val="20"/>
                <w:szCs w:val="20"/>
              </w:rPr>
            </w:pPr>
            <w:r w:rsidRPr="003F7D48">
              <w:rPr>
                <w:rFonts w:ascii="Arial" w:hAnsi="Arial"/>
                <w:sz w:val="20"/>
                <w:szCs w:val="20"/>
              </w:rPr>
              <w:t>Non-government schools</w:t>
            </w:r>
          </w:p>
        </w:tc>
        <w:tc>
          <w:tcPr>
            <w:tcW w:w="676" w:type="dxa"/>
          </w:tcPr>
          <w:p w:rsidR="00DC0C27" w:rsidRPr="003F7D48" w:rsidRDefault="00DC0C27" w:rsidP="00DF2F59">
            <w:pPr>
              <w:pStyle w:val="TableBodyText"/>
            </w:pPr>
            <w:r w:rsidRPr="003F7D48">
              <w:t>(‘000)</w:t>
            </w:r>
          </w:p>
        </w:tc>
        <w:tc>
          <w:tcPr>
            <w:tcW w:w="735" w:type="dxa"/>
            <w:shd w:val="clear" w:color="auto" w:fill="auto"/>
            <w:vAlign w:val="bottom"/>
          </w:tcPr>
          <w:p w:rsidR="00DC0C27" w:rsidRPr="003F7D48" w:rsidRDefault="00DC0C27" w:rsidP="00DF2F59">
            <w:pPr>
              <w:pStyle w:val="TableBodyText"/>
            </w:pPr>
            <w:r w:rsidRPr="003F7D48">
              <w:t>7.8</w:t>
            </w:r>
          </w:p>
        </w:tc>
        <w:tc>
          <w:tcPr>
            <w:tcW w:w="567" w:type="dxa"/>
            <w:shd w:val="clear" w:color="auto" w:fill="auto"/>
            <w:vAlign w:val="bottom"/>
          </w:tcPr>
          <w:p w:rsidR="00DC0C27" w:rsidRPr="003F7D48" w:rsidRDefault="00DC0C27" w:rsidP="00DF2F59">
            <w:pPr>
              <w:pStyle w:val="TableBodyText"/>
            </w:pPr>
            <w:r w:rsidRPr="003F7D48">
              <w:t>1.6</w:t>
            </w:r>
          </w:p>
        </w:tc>
        <w:tc>
          <w:tcPr>
            <w:tcW w:w="567" w:type="dxa"/>
            <w:shd w:val="clear" w:color="auto" w:fill="auto"/>
            <w:vAlign w:val="bottom"/>
          </w:tcPr>
          <w:p w:rsidR="00DC0C27" w:rsidRPr="003F7D48" w:rsidRDefault="00DC0C27" w:rsidP="00DF2F59">
            <w:pPr>
              <w:pStyle w:val="TableBodyText"/>
            </w:pPr>
            <w:r w:rsidRPr="003F7D48">
              <w:t>8.1</w:t>
            </w:r>
          </w:p>
        </w:tc>
        <w:tc>
          <w:tcPr>
            <w:tcW w:w="567" w:type="dxa"/>
            <w:shd w:val="clear" w:color="auto" w:fill="auto"/>
            <w:vAlign w:val="bottom"/>
          </w:tcPr>
          <w:p w:rsidR="00DC0C27" w:rsidRPr="003F7D48" w:rsidRDefault="00DC0C27" w:rsidP="00DF2F59">
            <w:pPr>
              <w:pStyle w:val="TableBodyText"/>
            </w:pPr>
            <w:r w:rsidRPr="003F7D48">
              <w:t>3.7</w:t>
            </w:r>
          </w:p>
        </w:tc>
        <w:tc>
          <w:tcPr>
            <w:tcW w:w="567" w:type="dxa"/>
            <w:shd w:val="clear" w:color="auto" w:fill="auto"/>
            <w:vAlign w:val="bottom"/>
          </w:tcPr>
          <w:p w:rsidR="00DC0C27" w:rsidRPr="003F7D48" w:rsidRDefault="00DC0C27" w:rsidP="00DF2F59">
            <w:pPr>
              <w:pStyle w:val="TableBodyText"/>
            </w:pPr>
            <w:r w:rsidRPr="003F7D48">
              <w:t>1.1</w:t>
            </w:r>
          </w:p>
        </w:tc>
        <w:tc>
          <w:tcPr>
            <w:tcW w:w="567" w:type="dxa"/>
            <w:shd w:val="clear" w:color="auto" w:fill="auto"/>
            <w:vAlign w:val="bottom"/>
          </w:tcPr>
          <w:p w:rsidR="00DC0C27" w:rsidRPr="003F7D48" w:rsidRDefault="00DC0C27" w:rsidP="00DF2F59">
            <w:pPr>
              <w:pStyle w:val="TableBodyText"/>
            </w:pPr>
            <w:r w:rsidRPr="003F7D48">
              <w:t>0.9</w:t>
            </w:r>
          </w:p>
        </w:tc>
        <w:tc>
          <w:tcPr>
            <w:tcW w:w="567" w:type="dxa"/>
            <w:shd w:val="clear" w:color="auto" w:fill="auto"/>
            <w:vAlign w:val="bottom"/>
          </w:tcPr>
          <w:p w:rsidR="00DC0C27" w:rsidRPr="003F7D48" w:rsidRDefault="00DC0C27" w:rsidP="00DF2F59">
            <w:pPr>
              <w:pStyle w:val="TableBodyText"/>
            </w:pPr>
            <w:r w:rsidRPr="003F7D48">
              <w:t>0.3</w:t>
            </w:r>
          </w:p>
        </w:tc>
        <w:tc>
          <w:tcPr>
            <w:tcW w:w="567" w:type="dxa"/>
            <w:shd w:val="clear" w:color="auto" w:fill="auto"/>
            <w:vAlign w:val="bottom"/>
          </w:tcPr>
          <w:p w:rsidR="00DC0C27" w:rsidRPr="003F7D48" w:rsidRDefault="00DC0C27" w:rsidP="00DF2F59">
            <w:pPr>
              <w:pStyle w:val="TableBodyText"/>
            </w:pPr>
            <w:r w:rsidRPr="003F7D48">
              <w:t>3.0</w:t>
            </w:r>
          </w:p>
        </w:tc>
        <w:tc>
          <w:tcPr>
            <w:tcW w:w="709" w:type="dxa"/>
            <w:shd w:val="clear" w:color="auto" w:fill="auto"/>
            <w:vAlign w:val="bottom"/>
          </w:tcPr>
          <w:p w:rsidR="00DC0C27" w:rsidRPr="003F7D48" w:rsidRDefault="00DC0C27" w:rsidP="00DF2F59">
            <w:pPr>
              <w:pStyle w:val="TableBodyText"/>
            </w:pPr>
            <w:r w:rsidRPr="003F7D48">
              <w:t>26.6</w:t>
            </w:r>
          </w:p>
        </w:tc>
      </w:tr>
      <w:tr w:rsidR="00DC0C27" w:rsidRPr="003F7D48" w:rsidTr="00DF2F59">
        <w:tc>
          <w:tcPr>
            <w:tcW w:w="2700" w:type="dxa"/>
            <w:shd w:val="clear" w:color="auto" w:fill="auto"/>
          </w:tcPr>
          <w:p w:rsidR="00DC0C27" w:rsidRPr="003F7D48" w:rsidRDefault="00DC0C27" w:rsidP="00DF2F59">
            <w:pPr>
              <w:keepNext/>
              <w:keepLines/>
              <w:spacing w:after="40" w:line="220" w:lineRule="atLeast"/>
              <w:ind w:left="180" w:right="113"/>
              <w:rPr>
                <w:rFonts w:ascii="Arial" w:hAnsi="Arial"/>
                <w:b/>
                <w:sz w:val="20"/>
                <w:szCs w:val="20"/>
              </w:rPr>
            </w:pPr>
            <w:r w:rsidRPr="003F7D48">
              <w:rPr>
                <w:rFonts w:ascii="Arial" w:hAnsi="Arial"/>
                <w:b/>
                <w:sz w:val="20"/>
                <w:szCs w:val="20"/>
              </w:rPr>
              <w:t>All schools</w:t>
            </w:r>
            <w:r w:rsidRPr="003F7D48">
              <w:rPr>
                <w:rFonts w:ascii="Arial" w:hAnsi="Arial"/>
                <w:b/>
                <w:position w:val="6"/>
                <w:sz w:val="18"/>
                <w:szCs w:val="20"/>
              </w:rPr>
              <w:t>b</w:t>
            </w:r>
          </w:p>
        </w:tc>
        <w:tc>
          <w:tcPr>
            <w:tcW w:w="676" w:type="dxa"/>
          </w:tcPr>
          <w:p w:rsidR="00DC0C27" w:rsidRPr="003F7D48" w:rsidRDefault="00DC0C27" w:rsidP="00DF2F59">
            <w:pPr>
              <w:pStyle w:val="TableBodyText"/>
            </w:pPr>
            <w:r w:rsidRPr="003F7D48">
              <w:t>(‘000)</w:t>
            </w:r>
          </w:p>
        </w:tc>
        <w:tc>
          <w:tcPr>
            <w:tcW w:w="735" w:type="dxa"/>
            <w:shd w:val="clear" w:color="auto" w:fill="auto"/>
            <w:vAlign w:val="bottom"/>
          </w:tcPr>
          <w:p w:rsidR="00DC0C27" w:rsidRPr="003F7D48" w:rsidRDefault="00DC0C27" w:rsidP="00DF2F59">
            <w:pPr>
              <w:pStyle w:val="TableBodyText"/>
            </w:pPr>
            <w:r w:rsidRPr="003F7D48">
              <w:t>54.8</w:t>
            </w:r>
          </w:p>
        </w:tc>
        <w:tc>
          <w:tcPr>
            <w:tcW w:w="567" w:type="dxa"/>
            <w:shd w:val="clear" w:color="auto" w:fill="auto"/>
            <w:vAlign w:val="bottom"/>
          </w:tcPr>
          <w:p w:rsidR="00DC0C27" w:rsidRPr="003F7D48" w:rsidRDefault="00DC0C27" w:rsidP="00DF2F59">
            <w:pPr>
              <w:pStyle w:val="TableBodyText"/>
            </w:pPr>
            <w:r w:rsidRPr="003F7D48">
              <w:t>11.3</w:t>
            </w:r>
          </w:p>
        </w:tc>
        <w:tc>
          <w:tcPr>
            <w:tcW w:w="567" w:type="dxa"/>
            <w:shd w:val="clear" w:color="auto" w:fill="auto"/>
            <w:vAlign w:val="bottom"/>
          </w:tcPr>
          <w:p w:rsidR="00DC0C27" w:rsidRPr="003F7D48" w:rsidRDefault="00DC0C27" w:rsidP="00DF2F59">
            <w:pPr>
              <w:pStyle w:val="TableBodyText"/>
            </w:pPr>
            <w:r w:rsidRPr="003F7D48">
              <w:t>51.3</w:t>
            </w:r>
          </w:p>
        </w:tc>
        <w:tc>
          <w:tcPr>
            <w:tcW w:w="567" w:type="dxa"/>
            <w:shd w:val="clear" w:color="auto" w:fill="auto"/>
            <w:vAlign w:val="bottom"/>
          </w:tcPr>
          <w:p w:rsidR="00DC0C27" w:rsidRPr="003F7D48" w:rsidRDefault="00DC0C27" w:rsidP="00DF2F59">
            <w:pPr>
              <w:pStyle w:val="TableBodyText"/>
            </w:pPr>
            <w:r w:rsidRPr="003F7D48">
              <w:t>23.8</w:t>
            </w:r>
          </w:p>
        </w:tc>
        <w:tc>
          <w:tcPr>
            <w:tcW w:w="567" w:type="dxa"/>
            <w:shd w:val="clear" w:color="auto" w:fill="auto"/>
            <w:vAlign w:val="bottom"/>
          </w:tcPr>
          <w:p w:rsidR="00DC0C27" w:rsidRPr="003F7D48" w:rsidRDefault="00DC0C27" w:rsidP="00DF2F59">
            <w:pPr>
              <w:pStyle w:val="TableBodyText"/>
            </w:pPr>
            <w:r w:rsidRPr="003F7D48">
              <w:t>10.1</w:t>
            </w:r>
          </w:p>
        </w:tc>
        <w:tc>
          <w:tcPr>
            <w:tcW w:w="567" w:type="dxa"/>
            <w:shd w:val="clear" w:color="auto" w:fill="auto"/>
            <w:vAlign w:val="bottom"/>
          </w:tcPr>
          <w:p w:rsidR="00DC0C27" w:rsidRPr="003F7D48" w:rsidRDefault="00DC0C27" w:rsidP="00DF2F59">
            <w:pPr>
              <w:pStyle w:val="TableBodyText"/>
            </w:pPr>
            <w:r w:rsidRPr="003F7D48">
              <w:t>5.6</w:t>
            </w:r>
          </w:p>
        </w:tc>
        <w:tc>
          <w:tcPr>
            <w:tcW w:w="567" w:type="dxa"/>
            <w:shd w:val="clear" w:color="auto" w:fill="auto"/>
            <w:vAlign w:val="bottom"/>
          </w:tcPr>
          <w:p w:rsidR="00DC0C27" w:rsidRPr="003F7D48" w:rsidRDefault="00DC0C27" w:rsidP="00DF2F59">
            <w:pPr>
              <w:pStyle w:val="TableBodyText"/>
            </w:pPr>
            <w:r w:rsidRPr="003F7D48">
              <w:t>1.5</w:t>
            </w:r>
          </w:p>
        </w:tc>
        <w:tc>
          <w:tcPr>
            <w:tcW w:w="567" w:type="dxa"/>
            <w:shd w:val="clear" w:color="auto" w:fill="auto"/>
            <w:vAlign w:val="bottom"/>
          </w:tcPr>
          <w:p w:rsidR="00DC0C27" w:rsidRPr="003F7D48" w:rsidRDefault="00DC0C27" w:rsidP="00DF2F59">
            <w:pPr>
              <w:pStyle w:val="TableBodyText"/>
            </w:pPr>
            <w:r w:rsidRPr="003F7D48">
              <w:t>16.1</w:t>
            </w:r>
          </w:p>
        </w:tc>
        <w:tc>
          <w:tcPr>
            <w:tcW w:w="709" w:type="dxa"/>
            <w:shd w:val="clear" w:color="auto" w:fill="auto"/>
            <w:vAlign w:val="bottom"/>
          </w:tcPr>
          <w:p w:rsidR="00DC0C27" w:rsidRPr="003F7D48" w:rsidRDefault="00DC0C27" w:rsidP="00DF2F59">
            <w:pPr>
              <w:pStyle w:val="TableBodyText"/>
            </w:pPr>
            <w:r w:rsidRPr="003F7D48">
              <w:t>174.5</w:t>
            </w:r>
          </w:p>
        </w:tc>
      </w:tr>
      <w:tr w:rsidR="00DC0C27" w:rsidRPr="003F7D48" w:rsidTr="00DF2F59">
        <w:tc>
          <w:tcPr>
            <w:tcW w:w="8789" w:type="dxa"/>
            <w:gridSpan w:val="11"/>
          </w:tcPr>
          <w:p w:rsidR="00DC0C27" w:rsidRPr="003F7D48" w:rsidRDefault="00DC0C27" w:rsidP="00DF2F59">
            <w:pPr>
              <w:pStyle w:val="TableBodyText"/>
              <w:jc w:val="left"/>
              <w:rPr>
                <w:b/>
              </w:rPr>
            </w:pPr>
            <w:r w:rsidRPr="003F7D48">
              <w:t>Indigenous full time students as a proportion of all full time students</w:t>
            </w:r>
          </w:p>
        </w:tc>
      </w:tr>
      <w:tr w:rsidR="00DC0C27" w:rsidRPr="003F7D48" w:rsidTr="00DF2F59">
        <w:tc>
          <w:tcPr>
            <w:tcW w:w="2700" w:type="dxa"/>
            <w:shd w:val="clear" w:color="auto" w:fill="auto"/>
          </w:tcPr>
          <w:p w:rsidR="00DC0C27" w:rsidRPr="003F7D48" w:rsidRDefault="00DC0C27" w:rsidP="00DF2F59">
            <w:pPr>
              <w:keepNext/>
              <w:keepLines/>
              <w:spacing w:after="40" w:line="220" w:lineRule="atLeast"/>
              <w:ind w:left="6" w:right="113" w:firstLine="174"/>
              <w:rPr>
                <w:rFonts w:ascii="Arial" w:hAnsi="Arial"/>
                <w:sz w:val="20"/>
                <w:szCs w:val="20"/>
              </w:rPr>
            </w:pPr>
            <w:r w:rsidRPr="003F7D48">
              <w:rPr>
                <w:rFonts w:ascii="Arial" w:hAnsi="Arial"/>
                <w:sz w:val="20"/>
                <w:szCs w:val="20"/>
              </w:rPr>
              <w:t>Government schools</w:t>
            </w:r>
          </w:p>
        </w:tc>
        <w:tc>
          <w:tcPr>
            <w:tcW w:w="676" w:type="dxa"/>
          </w:tcPr>
          <w:p w:rsidR="00DC0C27" w:rsidRPr="003F7D48" w:rsidRDefault="00DC0C27" w:rsidP="00DF2F59">
            <w:pPr>
              <w:pStyle w:val="TableBodyText"/>
            </w:pPr>
            <w:r w:rsidRPr="003F7D48">
              <w:t>%</w:t>
            </w:r>
          </w:p>
        </w:tc>
        <w:tc>
          <w:tcPr>
            <w:tcW w:w="735" w:type="dxa"/>
            <w:shd w:val="clear" w:color="auto" w:fill="auto"/>
            <w:vAlign w:val="center"/>
          </w:tcPr>
          <w:p w:rsidR="00DC0C27" w:rsidRPr="003F7D48" w:rsidRDefault="00DC0C27" w:rsidP="00DF2F59">
            <w:pPr>
              <w:pStyle w:val="TableBodyText"/>
            </w:pPr>
            <w:r w:rsidRPr="003F7D48">
              <w:t>6.3</w:t>
            </w:r>
          </w:p>
        </w:tc>
        <w:tc>
          <w:tcPr>
            <w:tcW w:w="567" w:type="dxa"/>
            <w:shd w:val="clear" w:color="auto" w:fill="auto"/>
            <w:vAlign w:val="center"/>
          </w:tcPr>
          <w:p w:rsidR="00DC0C27" w:rsidRPr="003F7D48" w:rsidRDefault="00DC0C27" w:rsidP="00DF2F59">
            <w:pPr>
              <w:pStyle w:val="TableBodyText"/>
            </w:pPr>
            <w:r w:rsidRPr="003F7D48">
              <w:t>1.8</w:t>
            </w:r>
          </w:p>
        </w:tc>
        <w:tc>
          <w:tcPr>
            <w:tcW w:w="567" w:type="dxa"/>
            <w:shd w:val="clear" w:color="auto" w:fill="auto"/>
            <w:vAlign w:val="center"/>
          </w:tcPr>
          <w:p w:rsidR="00DC0C27" w:rsidRPr="003F7D48" w:rsidRDefault="00DC0C27" w:rsidP="00DF2F59">
            <w:pPr>
              <w:pStyle w:val="TableBodyText"/>
            </w:pPr>
            <w:r w:rsidRPr="003F7D48">
              <w:t>8.7</w:t>
            </w:r>
          </w:p>
        </w:tc>
        <w:tc>
          <w:tcPr>
            <w:tcW w:w="567" w:type="dxa"/>
            <w:shd w:val="clear" w:color="auto" w:fill="auto"/>
            <w:vAlign w:val="center"/>
          </w:tcPr>
          <w:p w:rsidR="00DC0C27" w:rsidRPr="003F7D48" w:rsidRDefault="00DC0C27" w:rsidP="00DF2F59">
            <w:pPr>
              <w:pStyle w:val="TableBodyText"/>
            </w:pPr>
            <w:r w:rsidRPr="003F7D48">
              <w:t>8.2</w:t>
            </w:r>
          </w:p>
        </w:tc>
        <w:tc>
          <w:tcPr>
            <w:tcW w:w="567" w:type="dxa"/>
            <w:shd w:val="clear" w:color="auto" w:fill="auto"/>
            <w:vAlign w:val="center"/>
          </w:tcPr>
          <w:p w:rsidR="00DC0C27" w:rsidRPr="003F7D48" w:rsidRDefault="00DC0C27" w:rsidP="00DF2F59">
            <w:pPr>
              <w:pStyle w:val="TableBodyText"/>
            </w:pPr>
            <w:r w:rsidRPr="003F7D48">
              <w:t>5.4</w:t>
            </w:r>
          </w:p>
        </w:tc>
        <w:tc>
          <w:tcPr>
            <w:tcW w:w="567" w:type="dxa"/>
            <w:shd w:val="clear" w:color="auto" w:fill="auto"/>
            <w:vAlign w:val="center"/>
          </w:tcPr>
          <w:p w:rsidR="00DC0C27" w:rsidRPr="003F7D48" w:rsidRDefault="00DC0C27" w:rsidP="00DF2F59">
            <w:pPr>
              <w:pStyle w:val="TableBodyText"/>
            </w:pPr>
            <w:r w:rsidRPr="003F7D48">
              <w:t>8.4</w:t>
            </w:r>
          </w:p>
        </w:tc>
        <w:tc>
          <w:tcPr>
            <w:tcW w:w="567" w:type="dxa"/>
            <w:shd w:val="clear" w:color="auto" w:fill="auto"/>
            <w:vAlign w:val="center"/>
          </w:tcPr>
          <w:p w:rsidR="00DC0C27" w:rsidRPr="003F7D48" w:rsidRDefault="00DC0C27" w:rsidP="00DF2F59">
            <w:pPr>
              <w:pStyle w:val="TableBodyText"/>
            </w:pPr>
            <w:r w:rsidRPr="003F7D48">
              <w:t>3.3</w:t>
            </w:r>
          </w:p>
        </w:tc>
        <w:tc>
          <w:tcPr>
            <w:tcW w:w="567" w:type="dxa"/>
            <w:shd w:val="clear" w:color="auto" w:fill="auto"/>
            <w:vAlign w:val="center"/>
          </w:tcPr>
          <w:p w:rsidR="00DC0C27" w:rsidRPr="003F7D48" w:rsidRDefault="00DC0C27" w:rsidP="00DF2F59">
            <w:pPr>
              <w:pStyle w:val="TableBodyText"/>
            </w:pPr>
            <w:r w:rsidRPr="003F7D48">
              <w:t>44.5</w:t>
            </w:r>
          </w:p>
        </w:tc>
        <w:tc>
          <w:tcPr>
            <w:tcW w:w="709" w:type="dxa"/>
            <w:shd w:val="clear" w:color="auto" w:fill="auto"/>
            <w:vAlign w:val="center"/>
          </w:tcPr>
          <w:p w:rsidR="00DC0C27" w:rsidRPr="003F7D48" w:rsidRDefault="00DC0C27" w:rsidP="00DF2F59">
            <w:pPr>
              <w:pStyle w:val="TableBodyText"/>
            </w:pPr>
            <w:r w:rsidRPr="003F7D48">
              <w:t>6.4</w:t>
            </w:r>
          </w:p>
        </w:tc>
      </w:tr>
      <w:tr w:rsidR="00DC0C27" w:rsidRPr="003F7D48" w:rsidTr="00DF2F59">
        <w:tc>
          <w:tcPr>
            <w:tcW w:w="2700" w:type="dxa"/>
            <w:shd w:val="clear" w:color="auto" w:fill="auto"/>
          </w:tcPr>
          <w:p w:rsidR="00DC0C27" w:rsidRPr="003F7D48" w:rsidRDefault="00DC0C27" w:rsidP="00DF2F59">
            <w:pPr>
              <w:keepNext/>
              <w:keepLines/>
              <w:spacing w:after="40" w:line="220" w:lineRule="atLeast"/>
              <w:ind w:left="6" w:right="113" w:firstLine="174"/>
              <w:rPr>
                <w:rFonts w:ascii="Arial" w:hAnsi="Arial"/>
                <w:sz w:val="20"/>
                <w:szCs w:val="20"/>
              </w:rPr>
            </w:pPr>
            <w:r w:rsidRPr="003F7D48">
              <w:rPr>
                <w:rFonts w:ascii="Arial" w:hAnsi="Arial"/>
                <w:sz w:val="20"/>
                <w:szCs w:val="20"/>
              </w:rPr>
              <w:t>Non-government schools</w:t>
            </w:r>
          </w:p>
        </w:tc>
        <w:tc>
          <w:tcPr>
            <w:tcW w:w="676" w:type="dxa"/>
          </w:tcPr>
          <w:p w:rsidR="00DC0C27" w:rsidRPr="003F7D48" w:rsidRDefault="00DC0C27" w:rsidP="00DF2F59">
            <w:pPr>
              <w:pStyle w:val="TableBodyText"/>
            </w:pPr>
            <w:r w:rsidRPr="003F7D48">
              <w:t>%</w:t>
            </w:r>
          </w:p>
        </w:tc>
        <w:tc>
          <w:tcPr>
            <w:tcW w:w="735" w:type="dxa"/>
            <w:shd w:val="clear" w:color="auto" w:fill="auto"/>
            <w:vAlign w:val="center"/>
          </w:tcPr>
          <w:p w:rsidR="00DC0C27" w:rsidRPr="003F7D48" w:rsidRDefault="00DC0C27" w:rsidP="00DF2F59">
            <w:pPr>
              <w:pStyle w:val="TableBodyText"/>
            </w:pPr>
            <w:r w:rsidRPr="003F7D48">
              <w:t>2.0</w:t>
            </w:r>
          </w:p>
        </w:tc>
        <w:tc>
          <w:tcPr>
            <w:tcW w:w="567" w:type="dxa"/>
            <w:shd w:val="clear" w:color="auto" w:fill="auto"/>
            <w:vAlign w:val="center"/>
          </w:tcPr>
          <w:p w:rsidR="00DC0C27" w:rsidRPr="003F7D48" w:rsidRDefault="00DC0C27" w:rsidP="00DF2F59">
            <w:pPr>
              <w:pStyle w:val="TableBodyText"/>
            </w:pPr>
            <w:r w:rsidRPr="003F7D48">
              <w:t>0.5</w:t>
            </w:r>
          </w:p>
        </w:tc>
        <w:tc>
          <w:tcPr>
            <w:tcW w:w="567" w:type="dxa"/>
            <w:shd w:val="clear" w:color="auto" w:fill="auto"/>
            <w:vAlign w:val="center"/>
          </w:tcPr>
          <w:p w:rsidR="00DC0C27" w:rsidRPr="003F7D48" w:rsidRDefault="00DC0C27" w:rsidP="00DF2F59">
            <w:pPr>
              <w:pStyle w:val="TableBodyText"/>
            </w:pPr>
            <w:r w:rsidRPr="003F7D48">
              <w:t>3.2</w:t>
            </w:r>
          </w:p>
        </w:tc>
        <w:tc>
          <w:tcPr>
            <w:tcW w:w="567" w:type="dxa"/>
            <w:shd w:val="clear" w:color="auto" w:fill="auto"/>
            <w:vAlign w:val="center"/>
          </w:tcPr>
          <w:p w:rsidR="00DC0C27" w:rsidRPr="003F7D48" w:rsidRDefault="00DC0C27" w:rsidP="00DF2F59">
            <w:pPr>
              <w:pStyle w:val="TableBodyText"/>
            </w:pPr>
            <w:r w:rsidRPr="003F7D48">
              <w:t>2.9</w:t>
            </w:r>
          </w:p>
        </w:tc>
        <w:tc>
          <w:tcPr>
            <w:tcW w:w="567" w:type="dxa"/>
            <w:shd w:val="clear" w:color="auto" w:fill="auto"/>
            <w:vAlign w:val="center"/>
          </w:tcPr>
          <w:p w:rsidR="00DC0C27" w:rsidRPr="003F7D48" w:rsidRDefault="00DC0C27" w:rsidP="00DF2F59">
            <w:pPr>
              <w:pStyle w:val="TableBodyText"/>
            </w:pPr>
            <w:r w:rsidRPr="003F7D48">
              <w:t>1.2</w:t>
            </w:r>
          </w:p>
        </w:tc>
        <w:tc>
          <w:tcPr>
            <w:tcW w:w="567" w:type="dxa"/>
            <w:shd w:val="clear" w:color="auto" w:fill="auto"/>
            <w:vAlign w:val="center"/>
          </w:tcPr>
          <w:p w:rsidR="00DC0C27" w:rsidRPr="003F7D48" w:rsidRDefault="00DC0C27" w:rsidP="00DF2F59">
            <w:pPr>
              <w:pStyle w:val="TableBodyText"/>
            </w:pPr>
            <w:r w:rsidRPr="003F7D48">
              <w:t>3.9</w:t>
            </w:r>
          </w:p>
        </w:tc>
        <w:tc>
          <w:tcPr>
            <w:tcW w:w="567" w:type="dxa"/>
            <w:shd w:val="clear" w:color="auto" w:fill="auto"/>
            <w:vAlign w:val="center"/>
          </w:tcPr>
          <w:p w:rsidR="00DC0C27" w:rsidRPr="003F7D48" w:rsidRDefault="00DC0C27" w:rsidP="00DF2F59">
            <w:pPr>
              <w:pStyle w:val="TableBodyText"/>
            </w:pPr>
            <w:r w:rsidRPr="003F7D48">
              <w:t>1.2</w:t>
            </w:r>
          </w:p>
        </w:tc>
        <w:tc>
          <w:tcPr>
            <w:tcW w:w="567" w:type="dxa"/>
            <w:shd w:val="clear" w:color="auto" w:fill="auto"/>
            <w:vAlign w:val="center"/>
          </w:tcPr>
          <w:p w:rsidR="00DC0C27" w:rsidRPr="003F7D48" w:rsidRDefault="00DC0C27" w:rsidP="00DF2F59">
            <w:pPr>
              <w:pStyle w:val="TableBodyText"/>
            </w:pPr>
            <w:r w:rsidRPr="003F7D48">
              <w:t>28.9</w:t>
            </w:r>
          </w:p>
        </w:tc>
        <w:tc>
          <w:tcPr>
            <w:tcW w:w="709" w:type="dxa"/>
            <w:shd w:val="clear" w:color="auto" w:fill="auto"/>
            <w:vAlign w:val="center"/>
          </w:tcPr>
          <w:p w:rsidR="00DC0C27" w:rsidRPr="003F7D48" w:rsidRDefault="00DC0C27" w:rsidP="00DF2F59">
            <w:pPr>
              <w:pStyle w:val="TableBodyText"/>
            </w:pPr>
            <w:r w:rsidRPr="003F7D48">
              <w:t>2.1</w:t>
            </w:r>
          </w:p>
        </w:tc>
      </w:tr>
      <w:tr w:rsidR="00DC0C27" w:rsidRPr="003F7D48" w:rsidTr="00DF2F59">
        <w:tc>
          <w:tcPr>
            <w:tcW w:w="2700" w:type="dxa"/>
            <w:tcBorders>
              <w:bottom w:val="single" w:sz="4" w:space="0" w:color="auto"/>
            </w:tcBorders>
            <w:shd w:val="clear" w:color="auto" w:fill="auto"/>
          </w:tcPr>
          <w:p w:rsidR="00DC0C27" w:rsidRPr="003F7D48" w:rsidRDefault="00DC0C27" w:rsidP="00DF2F59">
            <w:pPr>
              <w:keepNext/>
              <w:keepLines/>
              <w:spacing w:after="40" w:line="220" w:lineRule="atLeast"/>
              <w:ind w:left="6" w:right="113" w:firstLine="174"/>
              <w:rPr>
                <w:rFonts w:ascii="Arial" w:hAnsi="Arial"/>
                <w:b/>
                <w:sz w:val="20"/>
                <w:szCs w:val="20"/>
              </w:rPr>
            </w:pPr>
            <w:r w:rsidRPr="003F7D48">
              <w:rPr>
                <w:rFonts w:ascii="Arial" w:hAnsi="Arial"/>
                <w:b/>
                <w:sz w:val="20"/>
                <w:szCs w:val="20"/>
              </w:rPr>
              <w:t>All schools</w:t>
            </w:r>
          </w:p>
        </w:tc>
        <w:tc>
          <w:tcPr>
            <w:tcW w:w="676" w:type="dxa"/>
            <w:tcBorders>
              <w:bottom w:val="single" w:sz="4" w:space="0" w:color="auto"/>
            </w:tcBorders>
          </w:tcPr>
          <w:p w:rsidR="00DC0C27" w:rsidRPr="003F7D48" w:rsidRDefault="00DC0C27" w:rsidP="00DF2F59">
            <w:pPr>
              <w:pStyle w:val="TableBodyText"/>
            </w:pPr>
            <w:r w:rsidRPr="003F7D48">
              <w:t>%</w:t>
            </w:r>
          </w:p>
        </w:tc>
        <w:tc>
          <w:tcPr>
            <w:tcW w:w="735" w:type="dxa"/>
            <w:tcBorders>
              <w:bottom w:val="single" w:sz="4" w:space="0" w:color="auto"/>
            </w:tcBorders>
            <w:shd w:val="clear" w:color="auto" w:fill="auto"/>
            <w:vAlign w:val="center"/>
          </w:tcPr>
          <w:p w:rsidR="00DC0C27" w:rsidRPr="003F7D48" w:rsidRDefault="00DC0C27" w:rsidP="00DF2F59">
            <w:pPr>
              <w:pStyle w:val="TableBodyText"/>
            </w:pPr>
            <w:r w:rsidRPr="003F7D48">
              <w:t>4.8</w:t>
            </w:r>
          </w:p>
        </w:tc>
        <w:tc>
          <w:tcPr>
            <w:tcW w:w="567" w:type="dxa"/>
            <w:tcBorders>
              <w:bottom w:val="single" w:sz="4" w:space="0" w:color="auto"/>
            </w:tcBorders>
            <w:shd w:val="clear" w:color="auto" w:fill="auto"/>
            <w:vAlign w:val="center"/>
          </w:tcPr>
          <w:p w:rsidR="00DC0C27" w:rsidRPr="003F7D48" w:rsidRDefault="00DC0C27" w:rsidP="00DF2F59">
            <w:pPr>
              <w:pStyle w:val="TableBodyText"/>
            </w:pPr>
            <w:r w:rsidRPr="003F7D48">
              <w:t>1.3</w:t>
            </w:r>
          </w:p>
        </w:tc>
        <w:tc>
          <w:tcPr>
            <w:tcW w:w="567" w:type="dxa"/>
            <w:tcBorders>
              <w:bottom w:val="single" w:sz="4" w:space="0" w:color="auto"/>
            </w:tcBorders>
            <w:shd w:val="clear" w:color="auto" w:fill="auto"/>
            <w:vAlign w:val="center"/>
          </w:tcPr>
          <w:p w:rsidR="00DC0C27" w:rsidRPr="003F7D48" w:rsidRDefault="00DC0C27" w:rsidP="00DF2F59">
            <w:pPr>
              <w:pStyle w:val="TableBodyText"/>
            </w:pPr>
            <w:r w:rsidRPr="003F7D48">
              <w:t>6.9</w:t>
            </w:r>
          </w:p>
        </w:tc>
        <w:tc>
          <w:tcPr>
            <w:tcW w:w="567" w:type="dxa"/>
            <w:tcBorders>
              <w:bottom w:val="single" w:sz="4" w:space="0" w:color="auto"/>
            </w:tcBorders>
            <w:shd w:val="clear" w:color="auto" w:fill="auto"/>
            <w:vAlign w:val="center"/>
          </w:tcPr>
          <w:p w:rsidR="00DC0C27" w:rsidRPr="003F7D48" w:rsidRDefault="00DC0C27" w:rsidP="00DF2F59">
            <w:pPr>
              <w:pStyle w:val="TableBodyText"/>
            </w:pPr>
            <w:r w:rsidRPr="003F7D48">
              <w:t>6.4</w:t>
            </w:r>
          </w:p>
        </w:tc>
        <w:tc>
          <w:tcPr>
            <w:tcW w:w="567" w:type="dxa"/>
            <w:tcBorders>
              <w:bottom w:val="single" w:sz="4" w:space="0" w:color="auto"/>
            </w:tcBorders>
            <w:shd w:val="clear" w:color="auto" w:fill="auto"/>
            <w:vAlign w:val="center"/>
          </w:tcPr>
          <w:p w:rsidR="00DC0C27" w:rsidRPr="003F7D48" w:rsidRDefault="00DC0C27" w:rsidP="00DF2F59">
            <w:pPr>
              <w:pStyle w:val="TableBodyText"/>
            </w:pPr>
            <w:r w:rsidRPr="003F7D48">
              <w:t>3.9</w:t>
            </w:r>
          </w:p>
        </w:tc>
        <w:tc>
          <w:tcPr>
            <w:tcW w:w="567" w:type="dxa"/>
            <w:tcBorders>
              <w:bottom w:val="single" w:sz="4" w:space="0" w:color="auto"/>
            </w:tcBorders>
            <w:shd w:val="clear" w:color="auto" w:fill="auto"/>
            <w:vAlign w:val="center"/>
          </w:tcPr>
          <w:p w:rsidR="00DC0C27" w:rsidRPr="003F7D48" w:rsidRDefault="00DC0C27" w:rsidP="00DF2F59">
            <w:pPr>
              <w:pStyle w:val="TableBodyText"/>
            </w:pPr>
            <w:r w:rsidRPr="003F7D48">
              <w:t>7.0</w:t>
            </w:r>
          </w:p>
        </w:tc>
        <w:tc>
          <w:tcPr>
            <w:tcW w:w="567" w:type="dxa"/>
            <w:tcBorders>
              <w:bottom w:val="single" w:sz="4" w:space="0" w:color="auto"/>
            </w:tcBorders>
            <w:shd w:val="clear" w:color="auto" w:fill="auto"/>
            <w:vAlign w:val="center"/>
          </w:tcPr>
          <w:p w:rsidR="00DC0C27" w:rsidRPr="003F7D48" w:rsidRDefault="00DC0C27" w:rsidP="00DF2F59">
            <w:pPr>
              <w:pStyle w:val="TableBodyText"/>
            </w:pPr>
            <w:r w:rsidRPr="003F7D48">
              <w:t>2.4</w:t>
            </w:r>
          </w:p>
        </w:tc>
        <w:tc>
          <w:tcPr>
            <w:tcW w:w="567" w:type="dxa"/>
            <w:tcBorders>
              <w:bottom w:val="single" w:sz="4" w:space="0" w:color="auto"/>
            </w:tcBorders>
            <w:shd w:val="clear" w:color="auto" w:fill="auto"/>
            <w:vAlign w:val="center"/>
          </w:tcPr>
          <w:p w:rsidR="00DC0C27" w:rsidRPr="003F7D48" w:rsidRDefault="00DC0C27" w:rsidP="00DF2F59">
            <w:pPr>
              <w:pStyle w:val="TableBodyText"/>
            </w:pPr>
            <w:r w:rsidRPr="003F7D48">
              <w:t>40.4</w:t>
            </w:r>
          </w:p>
        </w:tc>
        <w:tc>
          <w:tcPr>
            <w:tcW w:w="709" w:type="dxa"/>
            <w:tcBorders>
              <w:bottom w:val="single" w:sz="4" w:space="0" w:color="auto"/>
            </w:tcBorders>
            <w:shd w:val="clear" w:color="auto" w:fill="auto"/>
            <w:vAlign w:val="center"/>
          </w:tcPr>
          <w:p w:rsidR="00DC0C27" w:rsidRPr="003F7D48" w:rsidRDefault="00DC0C27" w:rsidP="00DF2F59">
            <w:pPr>
              <w:pStyle w:val="TableBodyText"/>
            </w:pPr>
            <w:r w:rsidRPr="003F7D48">
              <w:t>4.9</w:t>
            </w:r>
          </w:p>
        </w:tc>
      </w:tr>
    </w:tbl>
    <w:p w:rsidR="00DC0C27" w:rsidRPr="003F7D48" w:rsidRDefault="00DC0C27" w:rsidP="00DC0C27">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sym w:font="Symbol" w:char="F020"/>
      </w:r>
      <w:r w:rsidRPr="003F7D48">
        <w:rPr>
          <w:rFonts w:ascii="Arial" w:hAnsi="Arial"/>
          <w:sz w:val="18"/>
          <w:szCs w:val="20"/>
        </w:rPr>
        <w:t xml:space="preserve"> Students counted as Indigenous are those who have identified as being of Indigenous origin. It is possible that the number of Indigenous students may be under-represented in some jurisdictions. </w:t>
      </w:r>
      <w:r w:rsidRPr="003F7D48">
        <w:rPr>
          <w:rFonts w:ascii="Arial" w:hAnsi="Arial"/>
          <w:b/>
          <w:position w:val="6"/>
          <w:sz w:val="18"/>
          <w:szCs w:val="20"/>
        </w:rPr>
        <w:t>b</w:t>
      </w:r>
      <w:r w:rsidRPr="003F7D48">
        <w:rPr>
          <w:rFonts w:ascii="Arial" w:hAnsi="Arial"/>
          <w:sz w:val="18"/>
          <w:szCs w:val="20"/>
        </w:rPr>
        <w:t> Totals may not add as a result of rounding.</w:t>
      </w:r>
    </w:p>
    <w:p w:rsidR="00DC0C27" w:rsidRPr="003F7D48" w:rsidRDefault="00DC0C27" w:rsidP="00DE5B0C">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ABS (2013) </w:t>
      </w:r>
      <w:r w:rsidRPr="003F7D48">
        <w:rPr>
          <w:rFonts w:ascii="Arial" w:hAnsi="Arial"/>
          <w:i/>
          <w:sz w:val="18"/>
          <w:szCs w:val="20"/>
        </w:rPr>
        <w:t>Schools Australia 2012</w:t>
      </w:r>
      <w:r w:rsidRPr="003F7D48">
        <w:rPr>
          <w:rFonts w:ascii="Arial" w:hAnsi="Arial"/>
          <w:sz w:val="18"/>
          <w:szCs w:val="20"/>
        </w:rPr>
        <w:t>, Cat. no. 4221.0; table 4A.29</w:t>
      </w:r>
      <w:r w:rsidR="00DE5B0C" w:rsidRPr="003F7D48">
        <w:rPr>
          <w:rFonts w:ascii="Arial" w:hAnsi="Arial"/>
          <w:sz w:val="18"/>
          <w:szCs w:val="20"/>
        </w:rPr>
        <w:t>; 2014 Report, table 4.5, p. 4.11.</w:t>
      </w:r>
    </w:p>
    <w:p w:rsidR="001C601E" w:rsidRPr="003F7D48" w:rsidRDefault="001C601E" w:rsidP="001C601E">
      <w:pPr>
        <w:keepNext/>
        <w:spacing w:before="560" w:line="320" w:lineRule="exact"/>
        <w:outlineLvl w:val="2"/>
        <w:rPr>
          <w:rFonts w:ascii="Arial" w:hAnsi="Arial"/>
          <w:b/>
          <w:szCs w:val="20"/>
        </w:rPr>
      </w:pPr>
      <w:bookmarkStart w:id="33" w:name="_Toc288229072"/>
      <w:bookmarkStart w:id="34" w:name="_Toc288726449"/>
      <w:bookmarkStart w:id="35" w:name="_Toc316974024"/>
      <w:bookmarkStart w:id="36" w:name="_Toc318981213"/>
      <w:bookmarkStart w:id="37" w:name="_Toc319589145"/>
      <w:bookmarkStart w:id="38" w:name="_Toc320770601"/>
      <w:bookmarkStart w:id="39" w:name="_Toc347391005"/>
      <w:bookmarkStart w:id="40" w:name="_Toc379459334"/>
      <w:bookmarkStart w:id="41" w:name="_Toc379459445"/>
      <w:bookmarkStart w:id="42" w:name="_Toc382471403"/>
      <w:bookmarkStart w:id="43" w:name="_Toc383520564"/>
      <w:r w:rsidRPr="003F7D48">
        <w:rPr>
          <w:rFonts w:ascii="Arial" w:hAnsi="Arial"/>
          <w:b/>
          <w:szCs w:val="20"/>
        </w:rPr>
        <w:t>Framework of performance indicators</w:t>
      </w:r>
      <w:bookmarkEnd w:id="33"/>
      <w:bookmarkEnd w:id="34"/>
      <w:bookmarkEnd w:id="35"/>
      <w:bookmarkEnd w:id="36"/>
      <w:bookmarkEnd w:id="37"/>
      <w:bookmarkEnd w:id="38"/>
      <w:bookmarkEnd w:id="39"/>
      <w:bookmarkEnd w:id="40"/>
      <w:bookmarkEnd w:id="41"/>
      <w:bookmarkEnd w:id="42"/>
      <w:bookmarkEnd w:id="43"/>
    </w:p>
    <w:p w:rsidR="001C601E" w:rsidRPr="003F7D48" w:rsidRDefault="001C601E" w:rsidP="001C601E">
      <w:pPr>
        <w:spacing w:before="240" w:line="320" w:lineRule="atLeast"/>
        <w:jc w:val="both"/>
        <w:rPr>
          <w:szCs w:val="20"/>
        </w:rPr>
      </w:pPr>
      <w:r w:rsidRPr="003F7D48">
        <w:rPr>
          <w:szCs w:val="20"/>
        </w:rPr>
        <w:t xml:space="preserve">The School education performance indicator framework outlined in figure 4.1 identifies the performance indicators reported in the </w:t>
      </w:r>
      <w:r w:rsidR="00722715" w:rsidRPr="003F7D48">
        <w:rPr>
          <w:szCs w:val="20"/>
        </w:rPr>
        <w:t xml:space="preserve">2014 </w:t>
      </w:r>
      <w:r w:rsidRPr="003F7D48">
        <w:rPr>
          <w:szCs w:val="20"/>
        </w:rPr>
        <w:t xml:space="preserve">Report. Data for Indigenous </w:t>
      </w:r>
      <w:r w:rsidR="00165C27" w:rsidRPr="003F7D48">
        <w:rPr>
          <w:szCs w:val="20"/>
        </w:rPr>
        <w:t>Australians</w:t>
      </w:r>
      <w:r w:rsidRPr="003F7D48">
        <w:rPr>
          <w:szCs w:val="20"/>
        </w:rPr>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1C601E" w:rsidRPr="003F7D48" w:rsidRDefault="001C601E" w:rsidP="001C601E">
      <w:pPr>
        <w:spacing w:before="240" w:line="320" w:lineRule="atLeast"/>
        <w:jc w:val="both"/>
        <w:rPr>
          <w:szCs w:val="20"/>
        </w:rPr>
      </w:pPr>
      <w:r w:rsidRPr="003F7D48">
        <w:rPr>
          <w:szCs w:val="20"/>
        </w:rPr>
        <w:t xml:space="preserve">Indicator boxes presented throughout the chapter provide information about the reported indicators. As these are sourced directly from the </w:t>
      </w:r>
      <w:r w:rsidR="00722715" w:rsidRPr="003F7D48">
        <w:rPr>
          <w:szCs w:val="20"/>
        </w:rPr>
        <w:t xml:space="preserve">2014 </w:t>
      </w:r>
      <w:r w:rsidRPr="003F7D48">
        <w:rPr>
          <w:szCs w:val="20"/>
        </w:rPr>
        <w:t xml:space="preserve">Report, they might include references to data not reported for Indigenous </w:t>
      </w:r>
      <w:r w:rsidR="00165C27" w:rsidRPr="003F7D48">
        <w:rPr>
          <w:szCs w:val="20"/>
        </w:rPr>
        <w:t>Australians</w:t>
      </w:r>
      <w:r w:rsidRPr="003F7D48">
        <w:rPr>
          <w:szCs w:val="20"/>
        </w:rPr>
        <w:t xml:space="preserve"> and therefore not included in this Compendium.</w:t>
      </w:r>
    </w:p>
    <w:p w:rsidR="00D57558" w:rsidRPr="003F7D48" w:rsidRDefault="00D57558" w:rsidP="00D57558">
      <w:pPr>
        <w:spacing w:before="240" w:line="320" w:lineRule="atLeast"/>
        <w:jc w:val="both"/>
        <w:rPr>
          <w:rStyle w:val="BodyTextChar"/>
        </w:rPr>
      </w:pPr>
      <w:r w:rsidRPr="003F7D48">
        <w:rPr>
          <w:szCs w:val="20"/>
        </w:rPr>
        <w:t xml:space="preserve">The </w:t>
      </w:r>
      <w:r w:rsidR="00697719" w:rsidRPr="003F7D48">
        <w:rPr>
          <w:szCs w:val="20"/>
        </w:rPr>
        <w:t xml:space="preserve">National </w:t>
      </w:r>
      <w:r w:rsidR="001045A9" w:rsidRPr="003F7D48">
        <w:rPr>
          <w:szCs w:val="20"/>
        </w:rPr>
        <w:t>E</w:t>
      </w:r>
      <w:r w:rsidR="00697719" w:rsidRPr="003F7D48">
        <w:rPr>
          <w:szCs w:val="20"/>
        </w:rPr>
        <w:t>ducation Agreement (</w:t>
      </w:r>
      <w:r w:rsidRPr="003F7D48">
        <w:rPr>
          <w:szCs w:val="20"/>
        </w:rPr>
        <w:t>NEA</w:t>
      </w:r>
      <w:r w:rsidR="00697719" w:rsidRPr="003F7D48">
        <w:rPr>
          <w:szCs w:val="20"/>
        </w:rPr>
        <w:t>)</w:t>
      </w:r>
      <w:r w:rsidRPr="003F7D48">
        <w:rPr>
          <w:szCs w:val="20"/>
        </w:rPr>
        <w:t xml:space="preserve"> </w:t>
      </w:r>
      <w:r w:rsidR="00DE5B0C" w:rsidRPr="003F7D48">
        <w:rPr>
          <w:szCs w:val="20"/>
        </w:rPr>
        <w:t xml:space="preserve">covers the area of school education, and education and training indicators in the NIRA establish specific outcomes for reducing the level of disadvantage experienced by Indigenous Australians. Both agreements include sets of performance indicators, for which the Steering Committee collates performance information for analysis by the </w:t>
      </w:r>
      <w:r w:rsidR="00B44ECD" w:rsidRPr="003F7D48">
        <w:t xml:space="preserve">Council of Australian Governments (COAG) </w:t>
      </w:r>
      <w:r w:rsidR="00DE5B0C" w:rsidRPr="003F7D48">
        <w:rPr>
          <w:szCs w:val="20"/>
        </w:rPr>
        <w:t>Reform Council (CRC). Performance indicators reported in this chapter are aligned with school education performance indicators in the NEA. The NEA was reviewed in 2011 and 2012, resulting in changes that have been reflected in this Report, as relevant.</w:t>
      </w:r>
    </w:p>
    <w:p w:rsidR="00D57558" w:rsidRPr="003F7D48" w:rsidRDefault="00D57558" w:rsidP="00D57558">
      <w:pPr>
        <w:spacing w:before="240" w:line="320" w:lineRule="atLeast"/>
        <w:jc w:val="both"/>
        <w:rPr>
          <w:szCs w:val="20"/>
        </w:rPr>
      </w:pPr>
      <w:r w:rsidRPr="003F7D48">
        <w:rPr>
          <w:szCs w:val="20"/>
        </w:rPr>
        <w:t xml:space="preserve">The performance indicator framework provides information on equity, efficiency and effectiveness, and distinguishes the outputs and outcomes of school </w:t>
      </w:r>
      <w:r w:rsidR="00DE5B0C" w:rsidRPr="003F7D48">
        <w:rPr>
          <w:szCs w:val="20"/>
        </w:rPr>
        <w:t xml:space="preserve">education </w:t>
      </w:r>
      <w:r w:rsidR="00DE5B0C" w:rsidRPr="003F7D48">
        <w:rPr>
          <w:szCs w:val="20"/>
        </w:rPr>
        <w:lastRenderedPageBreak/>
        <w:t xml:space="preserve">services (figure 4.1). Chapter </w:t>
      </w:r>
      <w:r w:rsidRPr="003F7D48">
        <w:rPr>
          <w:szCs w:val="20"/>
        </w:rPr>
        <w:t>1 discusses data comparability from a Report-wide perspective (see</w:t>
      </w:r>
      <w:r w:rsidR="00A63F8A" w:rsidRPr="003F7D48">
        <w:rPr>
          <w:szCs w:val="20"/>
        </w:rPr>
        <w:t xml:space="preserve"> </w:t>
      </w:r>
      <w:r w:rsidR="00DE5B0C" w:rsidRPr="003F7D48">
        <w:rPr>
          <w:szCs w:val="20"/>
        </w:rPr>
        <w:t xml:space="preserve">2014 Report, section </w:t>
      </w:r>
      <w:r w:rsidRPr="003F7D48">
        <w:rPr>
          <w:szCs w:val="20"/>
        </w:rPr>
        <w:t>1.6).</w:t>
      </w:r>
    </w:p>
    <w:p w:rsidR="00DE5B0C" w:rsidRPr="003F7D48" w:rsidRDefault="00DE5B0C" w:rsidP="00DE5B0C">
      <w:pPr>
        <w:autoSpaceDE w:val="0"/>
        <w:autoSpaceDN w:val="0"/>
        <w:adjustRightInd w:val="0"/>
        <w:spacing w:before="240" w:line="320" w:lineRule="atLeast"/>
        <w:jc w:val="both"/>
        <w:rPr>
          <w:szCs w:val="26"/>
        </w:rPr>
      </w:pPr>
      <w:r w:rsidRPr="003F7D48">
        <w:t xml:space="preserve">Different delivery contexts and locations influence the equity, effectiveness and efficiency of school education services. Results are also affected by the broader education environment (for example, availability of employment and further educational alternatives and population movements). </w:t>
      </w:r>
    </w:p>
    <w:p w:rsidR="00DE5B0C" w:rsidRPr="003F7D48" w:rsidRDefault="00DE5B0C" w:rsidP="00DE5B0C">
      <w:pPr>
        <w:spacing w:before="240" w:line="320" w:lineRule="atLeast"/>
        <w:jc w:val="both"/>
        <w:rPr>
          <w:szCs w:val="20"/>
        </w:rPr>
      </w:pPr>
      <w:r w:rsidRPr="003F7D48">
        <w:rPr>
          <w:szCs w:val="20"/>
        </w:rP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DE5B0C" w:rsidRPr="003F7D48" w:rsidRDefault="00DE5B0C" w:rsidP="00DE5B0C">
      <w:pPr>
        <w:pStyle w:val="FigureTitle"/>
      </w:pPr>
      <w:r w:rsidRPr="003F7D48">
        <w:rPr>
          <w:b w:val="0"/>
        </w:rPr>
        <w:lastRenderedPageBreak/>
        <w:t xml:space="preserve">Figure </w:t>
      </w:r>
      <w:bookmarkStart w:id="44" w:name="OLE_LINK20"/>
      <w:r w:rsidRPr="003F7D48">
        <w:rPr>
          <w:b w:val="0"/>
        </w:rPr>
        <w:t>4.</w:t>
      </w:r>
      <w:bookmarkEnd w:id="44"/>
      <w:r w:rsidRPr="003F7D48">
        <w:rPr>
          <w:b w:val="0"/>
        </w:rPr>
        <w:t>1</w:t>
      </w:r>
      <w:r w:rsidRPr="003F7D48">
        <w:rPr>
          <w:b w:val="0"/>
        </w:rPr>
        <w:tab/>
      </w:r>
      <w:r w:rsidRPr="003F7D48">
        <w:t>School education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E5B0C" w:rsidRPr="003F7D48" w:rsidTr="00DF2F59">
        <w:tc>
          <w:tcPr>
            <w:tcW w:w="8777" w:type="dxa"/>
          </w:tcPr>
          <w:p w:rsidR="00DE5B0C" w:rsidRPr="003F7D48" w:rsidRDefault="00DE5B0C" w:rsidP="00DF2F59">
            <w:pPr>
              <w:spacing w:after="200" w:line="276" w:lineRule="auto"/>
              <w:rPr>
                <w:rFonts w:asciiTheme="minorHAnsi" w:eastAsiaTheme="minorHAnsi" w:hAnsiTheme="minorHAnsi" w:cstheme="minorBidi"/>
                <w:sz w:val="22"/>
                <w:szCs w:val="22"/>
                <w:lang w:eastAsia="en-US"/>
              </w:rPr>
            </w:pPr>
            <w:r w:rsidRPr="003F7D48">
              <w:rPr>
                <w:rFonts w:asciiTheme="minorHAnsi" w:eastAsiaTheme="minorHAnsi" w:hAnsiTheme="minorHAnsi" w:cstheme="minorBidi"/>
                <w:noProof/>
                <w:sz w:val="22"/>
                <w:szCs w:val="22"/>
              </w:rPr>
              <w:drawing>
                <wp:inline distT="0" distB="0" distL="0" distR="0" wp14:anchorId="62FF4E30" wp14:editId="776770C9">
                  <wp:extent cx="5514975" cy="5838825"/>
                  <wp:effectExtent l="0" t="0" r="9525" b="0"/>
                  <wp:docPr id="25" name="Picture 25" descr="Figure 4.1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4975" cy="5838825"/>
                          </a:xfrm>
                          <a:prstGeom prst="rect">
                            <a:avLst/>
                          </a:prstGeom>
                          <a:noFill/>
                          <a:ln>
                            <a:noFill/>
                          </a:ln>
                        </pic:spPr>
                      </pic:pic>
                    </a:graphicData>
                  </a:graphic>
                </wp:inline>
              </w:drawing>
            </w:r>
          </w:p>
        </w:tc>
      </w:tr>
    </w:tbl>
    <w:p w:rsidR="001C601E" w:rsidRPr="003F7D48" w:rsidRDefault="001C601E" w:rsidP="001C601E">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201</w:t>
      </w:r>
      <w:r w:rsidR="00DE5B0C" w:rsidRPr="003F7D48">
        <w:rPr>
          <w:rFonts w:ascii="Arial" w:hAnsi="Arial"/>
          <w:sz w:val="18"/>
          <w:szCs w:val="20"/>
        </w:rPr>
        <w:t>4</w:t>
      </w:r>
      <w:r w:rsidRPr="003F7D48">
        <w:rPr>
          <w:rFonts w:ascii="Arial" w:hAnsi="Arial"/>
          <w:sz w:val="18"/>
          <w:szCs w:val="20"/>
        </w:rPr>
        <w:t xml:space="preserve"> Report, figure 4.4, p. 4.17.</w:t>
      </w:r>
    </w:p>
    <w:p w:rsidR="001C601E" w:rsidRPr="003F7D48" w:rsidRDefault="001C601E" w:rsidP="001C601E">
      <w:pPr>
        <w:keepNext/>
        <w:spacing w:before="560" w:line="320" w:lineRule="exact"/>
        <w:outlineLvl w:val="2"/>
        <w:rPr>
          <w:rFonts w:ascii="Arial" w:hAnsi="Arial"/>
          <w:b/>
          <w:szCs w:val="20"/>
        </w:rPr>
      </w:pPr>
      <w:bookmarkStart w:id="45" w:name="_Toc318981214"/>
      <w:bookmarkStart w:id="46" w:name="_Toc319589146"/>
      <w:bookmarkStart w:id="47" w:name="_Toc320770602"/>
      <w:bookmarkStart w:id="48" w:name="_Toc347391006"/>
      <w:bookmarkStart w:id="49" w:name="_Toc379459335"/>
      <w:bookmarkStart w:id="50" w:name="_Toc379459446"/>
      <w:bookmarkStart w:id="51" w:name="_Toc382471404"/>
      <w:bookmarkStart w:id="52" w:name="_Toc383520565"/>
      <w:bookmarkStart w:id="53" w:name="_Toc316974025"/>
      <w:r w:rsidRPr="003F7D48">
        <w:rPr>
          <w:rFonts w:ascii="Arial" w:hAnsi="Arial"/>
          <w:b/>
          <w:szCs w:val="20"/>
        </w:rPr>
        <w:t>Equity and effectiveness</w:t>
      </w:r>
      <w:bookmarkEnd w:id="45"/>
      <w:bookmarkEnd w:id="46"/>
      <w:bookmarkEnd w:id="47"/>
      <w:bookmarkEnd w:id="48"/>
      <w:bookmarkEnd w:id="49"/>
      <w:bookmarkEnd w:id="50"/>
      <w:bookmarkEnd w:id="51"/>
      <w:bookmarkEnd w:id="52"/>
    </w:p>
    <w:p w:rsidR="001C601E" w:rsidRPr="003F7D48" w:rsidRDefault="001C601E" w:rsidP="00245C09">
      <w:pPr>
        <w:pStyle w:val="Heading4"/>
      </w:pPr>
      <w:bookmarkStart w:id="54" w:name="_Toc319589147"/>
      <w:bookmarkStart w:id="55" w:name="_Toc320770603"/>
      <w:bookmarkStart w:id="56" w:name="_Toc347391007"/>
      <w:bookmarkStart w:id="57" w:name="_Toc379459336"/>
      <w:bookmarkStart w:id="58" w:name="_Toc379459447"/>
      <w:bookmarkStart w:id="59" w:name="_Toc383520566"/>
      <w:r w:rsidRPr="003F7D48">
        <w:t>Attendance and participation</w:t>
      </w:r>
      <w:bookmarkEnd w:id="53"/>
      <w:bookmarkEnd w:id="54"/>
      <w:bookmarkEnd w:id="55"/>
      <w:bookmarkEnd w:id="56"/>
      <w:bookmarkEnd w:id="57"/>
      <w:bookmarkEnd w:id="58"/>
      <w:bookmarkEnd w:id="59"/>
    </w:p>
    <w:p w:rsidR="00DE5B0C" w:rsidRPr="003F7D48" w:rsidRDefault="00DE5B0C" w:rsidP="00DE5B0C">
      <w:pPr>
        <w:spacing w:before="240" w:line="320" w:lineRule="atLeast"/>
        <w:jc w:val="both"/>
        <w:rPr>
          <w:szCs w:val="20"/>
        </w:rPr>
      </w:pPr>
      <w:r w:rsidRPr="003F7D48">
        <w:rPr>
          <w:szCs w:val="20"/>
        </w:rPr>
        <w:t xml:space="preserve">‘Attendance and participation’ is an indicator of governments’ objective to develop fully the talents and capacities of young people through equitable access to, and participation in, education and learning, to complete school education to year 12 or its equivalent (box 4.1). National and international research confirms a link between </w:t>
      </w:r>
      <w:r w:rsidRPr="003F7D48">
        <w:rPr>
          <w:szCs w:val="20"/>
        </w:rPr>
        <w:lastRenderedPageBreak/>
        <w:t>attendance and student achievement, although numerous interrelated factors influence attendance a</w:t>
      </w:r>
      <w:r w:rsidR="00245505" w:rsidRPr="003F7D48">
        <w:rPr>
          <w:szCs w:val="20"/>
        </w:rPr>
        <w:t>nd achievement in complex ways.</w:t>
      </w:r>
    </w:p>
    <w:p w:rsidR="006E0DBD" w:rsidRPr="003F7D48" w:rsidRDefault="00DE5B0C" w:rsidP="00DE5B0C">
      <w:pPr>
        <w:spacing w:before="240" w:line="320" w:lineRule="atLeast"/>
        <w:jc w:val="both"/>
        <w:rPr>
          <w:szCs w:val="20"/>
        </w:rPr>
      </w:pPr>
      <w:r w:rsidRPr="003F7D48">
        <w:rPr>
          <w:szCs w:val="20"/>
        </w:rPr>
        <w:t>In addition, attendance and participation rates for special needs groups are an indication of the equity of access to school education (box 4.1).</w:t>
      </w:r>
    </w:p>
    <w:p w:rsidR="006E0DBD" w:rsidRPr="003F7D48" w:rsidRDefault="006E0DBD" w:rsidP="006E0DBD">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0DBD" w:rsidRPr="003F7D48" w:rsidTr="00F538D7">
        <w:tc>
          <w:tcPr>
            <w:tcW w:w="8771" w:type="dxa"/>
            <w:tcBorders>
              <w:top w:val="single" w:sz="6" w:space="0" w:color="auto"/>
              <w:bottom w:val="nil"/>
            </w:tcBorders>
          </w:tcPr>
          <w:p w:rsidR="006E0DBD" w:rsidRPr="003F7D48" w:rsidRDefault="006E0DBD" w:rsidP="006E0DBD">
            <w:pPr>
              <w:pStyle w:val="BoxTitle"/>
            </w:pPr>
            <w:r w:rsidRPr="003F7D48">
              <w:rPr>
                <w:b w:val="0"/>
              </w:rPr>
              <w:t>Box 4.</w:t>
            </w:r>
            <w:r w:rsidRPr="003F7D48">
              <w:rPr>
                <w:b w:val="0"/>
                <w:noProof/>
              </w:rPr>
              <w:t>1</w:t>
            </w:r>
            <w:r w:rsidRPr="003F7D48">
              <w:tab/>
              <w:t>Attendance and participation</w:t>
            </w:r>
          </w:p>
        </w:tc>
      </w:tr>
      <w:tr w:rsidR="006E0DBD" w:rsidRPr="003F7D48" w:rsidTr="00F538D7">
        <w:trPr>
          <w:cantSplit/>
          <w:trHeight w:val="3349"/>
        </w:trPr>
        <w:tc>
          <w:tcPr>
            <w:tcW w:w="8771" w:type="dxa"/>
            <w:tcBorders>
              <w:top w:val="nil"/>
              <w:left w:val="single" w:sz="6" w:space="0" w:color="auto"/>
              <w:bottom w:val="nil"/>
              <w:right w:val="single" w:sz="6" w:space="0" w:color="auto"/>
            </w:tcBorders>
          </w:tcPr>
          <w:p w:rsidR="006E0DBD" w:rsidRPr="003F7D48" w:rsidRDefault="006E0DBD" w:rsidP="00F538D7">
            <w:pPr>
              <w:keepNext/>
              <w:spacing w:before="120" w:line="280" w:lineRule="atLeast"/>
              <w:jc w:val="both"/>
              <w:rPr>
                <w:rFonts w:ascii="Arial" w:hAnsi="Arial"/>
                <w:sz w:val="22"/>
                <w:szCs w:val="20"/>
              </w:rPr>
            </w:pPr>
            <w:r w:rsidRPr="003F7D48">
              <w:rPr>
                <w:rFonts w:ascii="Arial" w:hAnsi="Arial"/>
                <w:sz w:val="22"/>
                <w:szCs w:val="20"/>
              </w:rPr>
              <w:t>‘Attendance and participation’ is defined by four measures.</w:t>
            </w:r>
          </w:p>
          <w:p w:rsidR="006E0DBD" w:rsidRPr="003F7D48" w:rsidRDefault="006E0DBD" w:rsidP="00F538D7">
            <w:pPr>
              <w:keepNext/>
              <w:spacing w:before="120" w:line="280" w:lineRule="atLeast"/>
              <w:jc w:val="both"/>
              <w:rPr>
                <w:rFonts w:ascii="Arial" w:hAnsi="Arial"/>
                <w:i/>
                <w:sz w:val="22"/>
                <w:szCs w:val="20"/>
              </w:rPr>
            </w:pPr>
            <w:r w:rsidRPr="003F7D48">
              <w:rPr>
                <w:rFonts w:ascii="Arial" w:hAnsi="Arial"/>
                <w:i/>
                <w:sz w:val="22"/>
                <w:szCs w:val="20"/>
              </w:rPr>
              <w:t>Attendance</w:t>
            </w:r>
          </w:p>
          <w:p w:rsidR="006E0DBD" w:rsidRPr="003F7D48" w:rsidRDefault="006E0DBD" w:rsidP="006E0DBD">
            <w:pPr>
              <w:keepNext/>
              <w:numPr>
                <w:ilvl w:val="0"/>
                <w:numId w:val="18"/>
              </w:numPr>
              <w:spacing w:before="120" w:line="280" w:lineRule="atLeast"/>
              <w:jc w:val="both"/>
              <w:rPr>
                <w:rFonts w:ascii="Arial" w:hAnsi="Arial"/>
                <w:sz w:val="22"/>
                <w:szCs w:val="20"/>
              </w:rPr>
            </w:pPr>
            <w:r w:rsidRPr="003F7D48">
              <w:rPr>
                <w:rFonts w:ascii="Arial" w:hAnsi="Arial"/>
                <w:sz w:val="22"/>
                <w:szCs w:val="20"/>
              </w:rPr>
              <w:t>The number of actual full time equivalent ‘student days attended’ over the collection period as a percentage of the total number of possible student days attended over the collection period. A high student attendance rate is desirable.</w:t>
            </w:r>
          </w:p>
          <w:p w:rsidR="006E0DBD" w:rsidRPr="003F7D48" w:rsidRDefault="006E0DBD" w:rsidP="00F538D7">
            <w:pPr>
              <w:keepNext/>
              <w:spacing w:before="120" w:line="280" w:lineRule="atLeast"/>
              <w:ind w:left="284"/>
              <w:jc w:val="both"/>
              <w:rPr>
                <w:rFonts w:ascii="Arial" w:hAnsi="Arial"/>
                <w:sz w:val="22"/>
                <w:szCs w:val="20"/>
              </w:rPr>
            </w:pPr>
            <w:r w:rsidRPr="003F7D48">
              <w:rPr>
                <w:rFonts w:ascii="Arial" w:hAnsi="Arial"/>
                <w:sz w:val="22"/>
                <w:szCs w:val="20"/>
              </w:rPr>
              <w:t>Data on student attendance are collected for each State and Territory by school sector (government, Catholic and independent), sex, year level (1–10) and Indigenous status (Indigenous and non-Indigenous students).</w:t>
            </w:r>
          </w:p>
          <w:p w:rsidR="006E0DBD" w:rsidRPr="003F7D48" w:rsidRDefault="006E0DBD" w:rsidP="00F538D7">
            <w:pPr>
              <w:keepNext/>
              <w:spacing w:before="120" w:line="280" w:lineRule="atLeast"/>
              <w:ind w:left="284"/>
              <w:jc w:val="both"/>
              <w:rPr>
                <w:rFonts w:ascii="Arial" w:hAnsi="Arial"/>
                <w:sz w:val="22"/>
                <w:szCs w:val="20"/>
              </w:rPr>
            </w:pPr>
            <w:r w:rsidRPr="003F7D48">
              <w:rPr>
                <w:rFonts w:ascii="Arial" w:hAnsi="Arial"/>
                <w:sz w:val="22"/>
                <w:szCs w:val="20"/>
              </w:rPr>
              <w:t>Data reported for this measure are:</w:t>
            </w:r>
          </w:p>
          <w:p w:rsidR="006E0DBD" w:rsidRPr="003F7D48" w:rsidRDefault="006E0DBD" w:rsidP="0021687A">
            <w:pPr>
              <w:pStyle w:val="BoxListBullet2"/>
            </w:pPr>
            <w:r w:rsidRPr="003F7D48">
              <w:t>not comparable across jurisdictions</w:t>
            </w:r>
          </w:p>
          <w:p w:rsidR="006E0DBD" w:rsidRPr="003F7D48" w:rsidRDefault="006E0DBD" w:rsidP="0021687A">
            <w:pPr>
              <w:pStyle w:val="BoxListBullet2"/>
            </w:pPr>
            <w:r w:rsidRPr="003F7D48">
              <w:t>complete for the current reporting period (subject to caveats). All required 2012 data are available for all jurisdictions providing the service.</w:t>
            </w:r>
          </w:p>
          <w:p w:rsidR="006E0DBD" w:rsidRPr="003F7D48" w:rsidRDefault="006E0DBD" w:rsidP="00F538D7">
            <w:pPr>
              <w:keepNext/>
              <w:spacing w:before="120" w:line="280" w:lineRule="atLeast"/>
              <w:ind w:left="284"/>
              <w:jc w:val="both"/>
              <w:rPr>
                <w:rFonts w:ascii="Arial" w:hAnsi="Arial"/>
                <w:sz w:val="22"/>
                <w:szCs w:val="20"/>
              </w:rPr>
            </w:pPr>
            <w:r w:rsidRPr="003F7D48">
              <w:rPr>
                <w:rFonts w:ascii="Arial" w:hAnsi="Arial"/>
                <w:sz w:val="22"/>
                <w:szCs w:val="20"/>
              </w:rPr>
              <w:t>It is intended to measure student attendance over a single consistent time period (the first semester) for all schools. However, current reporting against the measure is transitional, with most jurisdictions providing government school data for the first semester, and non</w:t>
            </w:r>
            <w:r w:rsidRPr="003F7D48">
              <w:rPr>
                <w:rFonts w:ascii="Arial" w:hAnsi="Arial"/>
                <w:sz w:val="22"/>
                <w:szCs w:val="20"/>
              </w:rPr>
              <w:noBreakHyphen/>
              <w:t>government schools providing data over a period including the last 20 days in May.</w:t>
            </w:r>
          </w:p>
          <w:p w:rsidR="006E0DBD" w:rsidRPr="003F7D48" w:rsidRDefault="006E0DBD" w:rsidP="00F538D7">
            <w:pPr>
              <w:keepNext/>
              <w:spacing w:before="120" w:line="280" w:lineRule="atLeast"/>
              <w:jc w:val="both"/>
              <w:rPr>
                <w:rFonts w:ascii="Arial" w:hAnsi="Arial"/>
                <w:i/>
                <w:sz w:val="22"/>
                <w:szCs w:val="20"/>
              </w:rPr>
            </w:pPr>
            <w:r w:rsidRPr="003F7D48">
              <w:rPr>
                <w:rFonts w:ascii="Arial" w:hAnsi="Arial"/>
                <w:i/>
                <w:sz w:val="22"/>
                <w:szCs w:val="20"/>
              </w:rPr>
              <w:t>Participation</w:t>
            </w:r>
          </w:p>
          <w:p w:rsidR="006E0DBD" w:rsidRPr="003F7D48" w:rsidRDefault="006E0DBD" w:rsidP="006E0DBD">
            <w:pPr>
              <w:keepNext/>
              <w:numPr>
                <w:ilvl w:val="0"/>
                <w:numId w:val="18"/>
              </w:numPr>
              <w:spacing w:before="120" w:line="280" w:lineRule="atLeast"/>
              <w:jc w:val="both"/>
              <w:rPr>
                <w:rFonts w:ascii="Arial" w:hAnsi="Arial"/>
                <w:sz w:val="22"/>
                <w:szCs w:val="20"/>
              </w:rPr>
            </w:pPr>
            <w:r w:rsidRPr="003F7D48">
              <w:rPr>
                <w:rFonts w:ascii="Arial" w:hAnsi="Arial"/>
                <w:sz w:val="22"/>
                <w:szCs w:val="20"/>
              </w:rPr>
              <w:t>The total number of children aged 6–15 years and enrolled in school (full time and part time enrolments) as a proportion of the estimated resident population of the same age.</w:t>
            </w:r>
          </w:p>
          <w:p w:rsidR="006E0DBD" w:rsidRPr="003F7D48" w:rsidRDefault="006E0DBD" w:rsidP="006E0DBD">
            <w:pPr>
              <w:keepNext/>
              <w:numPr>
                <w:ilvl w:val="0"/>
                <w:numId w:val="18"/>
              </w:numPr>
              <w:spacing w:before="120" w:line="280" w:lineRule="atLeast"/>
              <w:jc w:val="both"/>
              <w:rPr>
                <w:b/>
                <w:sz w:val="24"/>
              </w:rPr>
            </w:pPr>
            <w:r w:rsidRPr="003F7D48">
              <w:rPr>
                <w:rFonts w:ascii="Arial" w:hAnsi="Arial"/>
                <w:sz w:val="22"/>
                <w:szCs w:val="20"/>
              </w:rPr>
              <w:t xml:space="preserve">The number of full time and part time school students of a particular age expressed as a proportion of the estimated resident population of the same age, for each year for 14–19 year olds. </w:t>
            </w:r>
          </w:p>
          <w:p w:rsidR="006E0DBD" w:rsidRPr="003F7D48" w:rsidRDefault="006E0DBD" w:rsidP="00F538D7">
            <w:pPr>
              <w:keepNext/>
              <w:spacing w:before="120" w:line="280" w:lineRule="atLeast"/>
              <w:ind w:left="284"/>
              <w:jc w:val="both"/>
              <w:rPr>
                <w:rFonts w:ascii="Arial" w:hAnsi="Arial"/>
                <w:sz w:val="22"/>
                <w:szCs w:val="20"/>
              </w:rPr>
            </w:pPr>
            <w:r w:rsidRPr="003F7D48">
              <w:rPr>
                <w:rFonts w:ascii="Arial" w:hAnsi="Arial"/>
                <w:sz w:val="22"/>
                <w:szCs w:val="20"/>
              </w:rPr>
              <w:t>A higher or increasing participation rate suggests an improvement in educational outcomes through greater access to school education. Participation rates in school education need to be interpreted with care, because rates are influenced by jurisdictional differences in age/grade structures, and the participation rate is an age-based rate. The rate is comparable over time within a jurisdiction, but may not be directly comparable across jurisdictions where there are differences in the age/grade structure.</w:t>
            </w:r>
          </w:p>
        </w:tc>
      </w:tr>
      <w:tr w:rsidR="006E0DBD" w:rsidRPr="003F7D48" w:rsidTr="00F538D7">
        <w:trPr>
          <w:cantSplit/>
          <w:trHeight w:val="279"/>
        </w:trPr>
        <w:tc>
          <w:tcPr>
            <w:tcW w:w="8771" w:type="dxa"/>
            <w:tcBorders>
              <w:top w:val="nil"/>
              <w:left w:val="single" w:sz="6" w:space="0" w:color="auto"/>
              <w:bottom w:val="nil"/>
              <w:right w:val="single" w:sz="6" w:space="0" w:color="auto"/>
            </w:tcBorders>
          </w:tcPr>
          <w:p w:rsidR="006E0DBD" w:rsidRPr="003F7D48" w:rsidRDefault="006E0DBD" w:rsidP="00F538D7">
            <w:pPr>
              <w:spacing w:before="180" w:line="220" w:lineRule="exact"/>
              <w:jc w:val="right"/>
              <w:rPr>
                <w:rFonts w:ascii="Arial" w:hAnsi="Arial"/>
                <w:sz w:val="18"/>
                <w:szCs w:val="20"/>
              </w:rPr>
            </w:pPr>
            <w:r w:rsidRPr="003F7D48">
              <w:rPr>
                <w:rFonts w:ascii="Arial" w:hAnsi="Arial"/>
                <w:sz w:val="18"/>
                <w:szCs w:val="20"/>
              </w:rPr>
              <w:t>(Continued next page)</w:t>
            </w:r>
          </w:p>
        </w:tc>
      </w:tr>
      <w:tr w:rsidR="006E0DBD" w:rsidRPr="003F7D48" w:rsidTr="00F538D7">
        <w:trPr>
          <w:cantSplit/>
        </w:trPr>
        <w:tc>
          <w:tcPr>
            <w:tcW w:w="8771" w:type="dxa"/>
            <w:tcBorders>
              <w:top w:val="nil"/>
              <w:left w:val="single" w:sz="6" w:space="0" w:color="auto"/>
              <w:bottom w:val="single" w:sz="6" w:space="0" w:color="auto"/>
              <w:right w:val="single" w:sz="6" w:space="0" w:color="auto"/>
            </w:tcBorders>
          </w:tcPr>
          <w:p w:rsidR="006E0DBD" w:rsidRPr="003F7D48" w:rsidRDefault="006E0DBD" w:rsidP="00F538D7">
            <w:pPr>
              <w:keepNext/>
              <w:spacing w:line="120" w:lineRule="exact"/>
              <w:jc w:val="both"/>
              <w:rPr>
                <w:rFonts w:ascii="Arial" w:hAnsi="Arial"/>
                <w:sz w:val="22"/>
                <w:szCs w:val="20"/>
              </w:rPr>
            </w:pPr>
          </w:p>
        </w:tc>
      </w:tr>
      <w:tr w:rsidR="006E0DBD" w:rsidRPr="003F7D48" w:rsidTr="00F538D7">
        <w:tc>
          <w:tcPr>
            <w:tcW w:w="8771" w:type="dxa"/>
            <w:tcBorders>
              <w:top w:val="nil"/>
              <w:left w:val="nil"/>
              <w:bottom w:val="nil"/>
              <w:right w:val="nil"/>
            </w:tcBorders>
          </w:tcPr>
          <w:p w:rsidR="006E0DBD" w:rsidRPr="003F7D48" w:rsidRDefault="006E0DBD" w:rsidP="00F538D7">
            <w:pPr>
              <w:spacing w:before="60" w:after="60" w:line="80" w:lineRule="exact"/>
              <w:jc w:val="both"/>
              <w:rPr>
                <w:rFonts w:ascii="Arial" w:hAnsi="Arial"/>
                <w:b/>
                <w:color w:val="FF00FF"/>
                <w:sz w:val="14"/>
                <w:szCs w:val="20"/>
              </w:rPr>
            </w:pPr>
          </w:p>
        </w:tc>
      </w:tr>
    </w:tbl>
    <w:p w:rsidR="00DE5B0C" w:rsidRPr="003F7D48" w:rsidRDefault="00DE5B0C" w:rsidP="00DE5B0C">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E5B0C" w:rsidRPr="003F7D48" w:rsidTr="00DF2F59">
        <w:tc>
          <w:tcPr>
            <w:tcW w:w="8771" w:type="dxa"/>
            <w:tcBorders>
              <w:top w:val="single" w:sz="6" w:space="0" w:color="auto"/>
              <w:bottom w:val="nil"/>
            </w:tcBorders>
          </w:tcPr>
          <w:p w:rsidR="00DE5B0C" w:rsidRPr="003F7D48" w:rsidRDefault="00DE5B0C" w:rsidP="00DE5B0C">
            <w:pPr>
              <w:keepNext/>
              <w:keepLines/>
              <w:spacing w:before="120" w:line="280" w:lineRule="exact"/>
              <w:ind w:left="1304" w:hanging="1304"/>
              <w:rPr>
                <w:rFonts w:ascii="Arial" w:hAnsi="Arial"/>
                <w:b/>
              </w:rPr>
            </w:pPr>
            <w:r w:rsidRPr="003F7D48">
              <w:rPr>
                <w:rFonts w:ascii="Arial" w:hAnsi="Arial"/>
                <w:sz w:val="24"/>
              </w:rPr>
              <w:t>Box 4.1</w:t>
            </w:r>
            <w:r w:rsidRPr="003F7D48">
              <w:rPr>
                <w:rFonts w:ascii="Arial" w:hAnsi="Arial"/>
                <w:b/>
              </w:rPr>
              <w:tab/>
            </w:r>
            <w:r w:rsidR="006E0DBD" w:rsidRPr="003F7D48">
              <w:rPr>
                <w:rFonts w:ascii="Arial" w:hAnsi="Arial"/>
                <w:b/>
                <w:sz w:val="18"/>
                <w:szCs w:val="18"/>
              </w:rPr>
              <w:t>(C</w:t>
            </w:r>
            <w:r w:rsidRPr="003F7D48">
              <w:rPr>
                <w:rFonts w:ascii="Arial" w:hAnsi="Arial"/>
                <w:b/>
                <w:sz w:val="18"/>
                <w:szCs w:val="18"/>
              </w:rPr>
              <w:t>ontinued)</w:t>
            </w:r>
          </w:p>
        </w:tc>
      </w:tr>
      <w:tr w:rsidR="00DE5B0C" w:rsidRPr="003F7D48" w:rsidTr="00DF2F59">
        <w:trPr>
          <w:cantSplit/>
        </w:trPr>
        <w:tc>
          <w:tcPr>
            <w:tcW w:w="8771" w:type="dxa"/>
            <w:tcBorders>
              <w:top w:val="nil"/>
              <w:left w:val="single" w:sz="6" w:space="0" w:color="auto"/>
              <w:bottom w:val="nil"/>
              <w:right w:val="single" w:sz="4" w:space="0" w:color="auto"/>
            </w:tcBorders>
          </w:tcPr>
          <w:p w:rsidR="00DE5B0C" w:rsidRPr="003F7D48" w:rsidRDefault="00DE5B0C" w:rsidP="00DE5B0C">
            <w:pPr>
              <w:keepNext/>
              <w:shd w:val="clear" w:color="auto" w:fill="FFFFFF" w:themeFill="background1"/>
              <w:spacing w:before="120" w:line="280" w:lineRule="atLeast"/>
              <w:ind w:left="284"/>
              <w:jc w:val="both"/>
              <w:rPr>
                <w:rFonts w:ascii="Arial" w:hAnsi="Arial"/>
                <w:sz w:val="22"/>
                <w:szCs w:val="20"/>
              </w:rPr>
            </w:pPr>
            <w:r w:rsidRPr="003F7D48">
              <w:rPr>
                <w:rFonts w:ascii="Arial" w:hAnsi="Arial"/>
                <w:sz w:val="22"/>
                <w:szCs w:val="20"/>
              </w:rPr>
              <w:t>Proportions that exceed 100 per cent may reflect disparities between the sources of data for students and residential population, multiple enrolments by individual students or students residing in one jurisdiction enrolling in schools in another jurisdiction.</w:t>
            </w:r>
          </w:p>
          <w:p w:rsidR="00DE5B0C" w:rsidRPr="003F7D48" w:rsidRDefault="00DE5B0C" w:rsidP="00DE5B0C">
            <w:pPr>
              <w:keepNext/>
              <w:spacing w:before="120" w:line="280" w:lineRule="atLeast"/>
              <w:ind w:left="284"/>
              <w:jc w:val="both"/>
              <w:rPr>
                <w:rFonts w:ascii="Arial" w:hAnsi="Arial"/>
                <w:sz w:val="22"/>
                <w:szCs w:val="20"/>
              </w:rPr>
            </w:pPr>
            <w:r w:rsidRPr="003F7D48">
              <w:rPr>
                <w:rFonts w:ascii="Arial" w:hAnsi="Arial"/>
                <w:sz w:val="22"/>
                <w:szCs w:val="20"/>
              </w:rPr>
              <w:t>These measures do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reported in the Child care, education and training sector overview.</w:t>
            </w:r>
          </w:p>
          <w:p w:rsidR="00DE5B0C" w:rsidRPr="003F7D48" w:rsidRDefault="00DE5B0C" w:rsidP="00DE5B0C">
            <w:pPr>
              <w:keepNext/>
              <w:numPr>
                <w:ilvl w:val="0"/>
                <w:numId w:val="18"/>
              </w:numPr>
              <w:spacing w:before="120" w:line="280" w:lineRule="atLeast"/>
              <w:jc w:val="both"/>
              <w:rPr>
                <w:rFonts w:ascii="Arial" w:hAnsi="Arial"/>
                <w:sz w:val="22"/>
                <w:szCs w:val="20"/>
              </w:rPr>
            </w:pPr>
            <w:r w:rsidRPr="003F7D48">
              <w:rPr>
                <w:rFonts w:ascii="Arial" w:hAnsi="Arial"/>
                <w:sz w:val="22"/>
                <w:szCs w:val="20"/>
              </w:rPr>
              <w:t>The proportion of 15–19 year olds who have successfully completed at least one unit of competency as part of a VET qualification at Australian Qualifications Framework (AQF) Certificate II or above.</w:t>
            </w:r>
          </w:p>
          <w:p w:rsidR="00DE5B0C" w:rsidRPr="003F7D48" w:rsidRDefault="00DE5B0C" w:rsidP="00DE5B0C">
            <w:pPr>
              <w:keepNext/>
              <w:shd w:val="clear" w:color="auto" w:fill="FFFFFF" w:themeFill="background1"/>
              <w:spacing w:before="120" w:line="280" w:lineRule="atLeast"/>
              <w:ind w:left="262"/>
              <w:jc w:val="both"/>
              <w:rPr>
                <w:rFonts w:ascii="Arial" w:hAnsi="Arial"/>
                <w:sz w:val="22"/>
                <w:szCs w:val="20"/>
              </w:rPr>
            </w:pPr>
            <w:r w:rsidRPr="003F7D48">
              <w:rPr>
                <w:rFonts w:ascii="Arial" w:hAnsi="Arial"/>
                <w:sz w:val="22"/>
                <w:szCs w:val="20"/>
              </w:rPr>
              <w:t>Data report</w:t>
            </w:r>
            <w:r w:rsidR="006E0DBD" w:rsidRPr="003F7D48">
              <w:rPr>
                <w:rFonts w:ascii="Arial" w:hAnsi="Arial"/>
                <w:sz w:val="22"/>
                <w:szCs w:val="20"/>
              </w:rPr>
              <w:t>ed for these three measures are:</w:t>
            </w:r>
          </w:p>
          <w:p w:rsidR="00DE5B0C" w:rsidRPr="003F7D48" w:rsidRDefault="00DE5B0C" w:rsidP="00B17477">
            <w:pPr>
              <w:pStyle w:val="BoxListBullet2"/>
            </w:pPr>
            <w:r w:rsidRPr="003F7D48">
              <w:t>comparable (subject to caveats) acro</w:t>
            </w:r>
            <w:r w:rsidR="006E0DBD" w:rsidRPr="003F7D48">
              <w:t>ss jurisdictions and over time.</w:t>
            </w:r>
          </w:p>
          <w:p w:rsidR="00DE5B0C" w:rsidRPr="003F7D48" w:rsidRDefault="00DE5B0C" w:rsidP="00B17477">
            <w:pPr>
              <w:pStyle w:val="BoxListBullet2"/>
            </w:pPr>
            <w:r w:rsidRPr="003F7D48">
              <w:t>complete for the current reporting period (subject to caveats). All required 2011 and 2012 data are available for all jurisdictions providing the service.</w:t>
            </w:r>
          </w:p>
          <w:p w:rsidR="00DE5B0C" w:rsidRPr="003F7D48" w:rsidRDefault="00DE5B0C" w:rsidP="00DE5B0C">
            <w:pPr>
              <w:keepNext/>
              <w:spacing w:before="60" w:line="280" w:lineRule="atLeast"/>
              <w:ind w:left="17"/>
              <w:jc w:val="both"/>
              <w:rPr>
                <w:rFonts w:ascii="Arial" w:hAnsi="Arial"/>
                <w:sz w:val="22"/>
                <w:szCs w:val="20"/>
              </w:rPr>
            </w:pPr>
            <w:r w:rsidRPr="003F7D48">
              <w:rPr>
                <w:rFonts w:ascii="Arial" w:hAnsi="Arial"/>
                <w:sz w:val="22"/>
                <w:szCs w:val="20"/>
              </w:rPr>
              <w:t>Care should be exercised in relation to the data for Indigenous students, particularly in some jurisdictions and in the non-government sectors, due to small population sizes.</w:t>
            </w:r>
          </w:p>
          <w:p w:rsidR="00DE5B0C" w:rsidRPr="003F7D48" w:rsidRDefault="00DE5B0C" w:rsidP="00DE5B0C">
            <w:pPr>
              <w:keepNext/>
              <w:spacing w:before="120" w:line="280" w:lineRule="atLeast"/>
              <w:jc w:val="both"/>
              <w:rPr>
                <w:rFonts w:ascii="Arial" w:hAnsi="Arial"/>
                <w:sz w:val="22"/>
                <w:szCs w:val="20"/>
              </w:rPr>
            </w:pPr>
            <w:r w:rsidRPr="003F7D48">
              <w:rPr>
                <w:rFonts w:ascii="Arial" w:hAnsi="Arial"/>
                <w:sz w:val="22"/>
                <w:szCs w:val="20"/>
              </w:rPr>
              <w:t>Information about data quality for this indicator is at www.pc.gov.au/gsp/reports/rogs/2014.</w:t>
            </w:r>
          </w:p>
        </w:tc>
      </w:tr>
      <w:tr w:rsidR="00DE5B0C" w:rsidRPr="003F7D48" w:rsidTr="00DF2F59">
        <w:trPr>
          <w:cantSplit/>
        </w:trPr>
        <w:tc>
          <w:tcPr>
            <w:tcW w:w="8771" w:type="dxa"/>
            <w:tcBorders>
              <w:top w:val="nil"/>
              <w:left w:val="single" w:sz="6" w:space="0" w:color="auto"/>
              <w:bottom w:val="single" w:sz="6" w:space="0" w:color="auto"/>
              <w:right w:val="single" w:sz="6" w:space="0" w:color="auto"/>
            </w:tcBorders>
          </w:tcPr>
          <w:p w:rsidR="00DE5B0C" w:rsidRPr="003F7D48" w:rsidRDefault="00DE5B0C" w:rsidP="00DE5B0C">
            <w:pPr>
              <w:keepNext/>
              <w:spacing w:line="120" w:lineRule="exact"/>
              <w:jc w:val="both"/>
              <w:rPr>
                <w:rFonts w:ascii="Arial" w:hAnsi="Arial"/>
                <w:sz w:val="22"/>
                <w:szCs w:val="20"/>
              </w:rPr>
            </w:pPr>
          </w:p>
        </w:tc>
      </w:tr>
      <w:tr w:rsidR="00DE5B0C" w:rsidRPr="003F7D48" w:rsidTr="00DF2F59">
        <w:tc>
          <w:tcPr>
            <w:tcW w:w="8771" w:type="dxa"/>
            <w:tcBorders>
              <w:top w:val="nil"/>
              <w:left w:val="nil"/>
              <w:bottom w:val="nil"/>
              <w:right w:val="nil"/>
            </w:tcBorders>
          </w:tcPr>
          <w:p w:rsidR="00DE5B0C" w:rsidRPr="003F7D48" w:rsidRDefault="00DE5B0C" w:rsidP="00DE5B0C">
            <w:pPr>
              <w:spacing w:before="60" w:after="60" w:line="80" w:lineRule="exact"/>
              <w:jc w:val="both"/>
              <w:rPr>
                <w:rFonts w:ascii="Arial" w:hAnsi="Arial"/>
                <w:b/>
                <w:color w:val="FF00FF"/>
                <w:sz w:val="14"/>
                <w:szCs w:val="20"/>
              </w:rPr>
            </w:pPr>
          </w:p>
        </w:tc>
      </w:tr>
    </w:tbl>
    <w:p w:rsidR="00DF2F59" w:rsidRPr="003F7D48" w:rsidRDefault="00DF2F59" w:rsidP="00DF2F59">
      <w:pPr>
        <w:keepNext/>
        <w:spacing w:before="480" w:line="320" w:lineRule="exact"/>
        <w:outlineLvl w:val="4"/>
        <w:rPr>
          <w:i/>
        </w:rPr>
      </w:pPr>
      <w:r w:rsidRPr="003F7D48">
        <w:rPr>
          <w:i/>
        </w:rPr>
        <w:t>Attendance</w:t>
      </w:r>
    </w:p>
    <w:p w:rsidR="00DF2F59" w:rsidRPr="003F7D48" w:rsidRDefault="00DF2F59" w:rsidP="00DF2F59">
      <w:pPr>
        <w:spacing w:before="240" w:line="320" w:lineRule="atLeast"/>
        <w:jc w:val="both"/>
        <w:rPr>
          <w:szCs w:val="20"/>
        </w:rPr>
      </w:pPr>
      <w:r w:rsidRPr="003F7D48">
        <w:rPr>
          <w:szCs w:val="20"/>
        </w:rPr>
        <w:t>School attendance is measured in a specific collection period during the school year (see box 4.1 for details), and results may not be representative of school attendance throughout the school year.</w:t>
      </w:r>
    </w:p>
    <w:p w:rsidR="00DF2F59" w:rsidRPr="003F7D48" w:rsidRDefault="00DF2F59" w:rsidP="00DF2F59">
      <w:pPr>
        <w:spacing w:before="240" w:line="320" w:lineRule="atLeast"/>
        <w:jc w:val="both"/>
        <w:rPr>
          <w:szCs w:val="20"/>
        </w:rPr>
      </w:pPr>
      <w:r w:rsidRPr="003F7D48">
        <w:rPr>
          <w:szCs w:val="20"/>
        </w:rPr>
        <w:t xml:space="preserve">Non-Indigenous students in government schools had higher attendance rates than Indigenous students across all year levels in all jurisdictions (figure 4.2 and </w:t>
      </w:r>
      <w:r w:rsidRPr="003F7D48">
        <w:rPr>
          <w:szCs w:val="20"/>
        </w:rPr>
        <w:br/>
        <w:t>table 4A.131). The differences varied across states and territories. A similar pattern to the government schools was observed for non-government schools (independent and catholic schools) in most jurisdictions (tables 4A.133 and 4A.135).</w:t>
      </w:r>
    </w:p>
    <w:p w:rsidR="00EF7173" w:rsidRPr="003F7D48" w:rsidRDefault="00EF7173" w:rsidP="00EF7173">
      <w:pPr>
        <w:pStyle w:val="FigureTitle"/>
        <w:rPr>
          <w:position w:val="6"/>
          <w:sz w:val="18"/>
        </w:rPr>
      </w:pPr>
      <w:r w:rsidRPr="003F7D48">
        <w:rPr>
          <w:b w:val="0"/>
        </w:rPr>
        <w:lastRenderedPageBreak/>
        <w:t xml:space="preserve">Figure </w:t>
      </w:r>
      <w:bookmarkStart w:id="60" w:name="OLE_LINK2"/>
      <w:bookmarkStart w:id="61" w:name="OLE_LINK3"/>
      <w:r w:rsidRPr="003F7D48">
        <w:rPr>
          <w:b w:val="0"/>
        </w:rPr>
        <w:t>4.</w:t>
      </w:r>
      <w:bookmarkEnd w:id="60"/>
      <w:bookmarkEnd w:id="61"/>
      <w:r w:rsidRPr="003F7D48">
        <w:rPr>
          <w:b w:val="0"/>
          <w:noProof/>
        </w:rPr>
        <w:t>2</w:t>
      </w:r>
      <w:r w:rsidRPr="003F7D48">
        <w:tab/>
        <w:t>Student attendance rate, Indigenous students, government schools, 2012</w:t>
      </w:r>
      <w:r w:rsidRPr="003F7D48">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7173" w:rsidRPr="003F7D48" w:rsidTr="000F484B">
        <w:tc>
          <w:tcPr>
            <w:tcW w:w="8777" w:type="dxa"/>
          </w:tcPr>
          <w:p w:rsidR="00EF7173" w:rsidRPr="003F7D48" w:rsidRDefault="00EF7173" w:rsidP="000F484B">
            <w:pPr>
              <w:keepNext/>
              <w:shd w:val="clear" w:color="auto" w:fill="FFFFFF" w:themeFill="background1"/>
              <w:spacing w:before="120" w:after="120" w:line="240" w:lineRule="atLeast"/>
              <w:jc w:val="center"/>
              <w:rPr>
                <w:szCs w:val="20"/>
              </w:rPr>
            </w:pPr>
            <w:r w:rsidRPr="003F7D48">
              <w:rPr>
                <w:noProof/>
                <w:szCs w:val="20"/>
              </w:rPr>
              <w:drawing>
                <wp:inline distT="0" distB="0" distL="0" distR="0" wp14:anchorId="565EB7B1" wp14:editId="0AB9F811">
                  <wp:extent cx="5381625" cy="2647950"/>
                  <wp:effectExtent l="0" t="0" r="9525" b="0"/>
                  <wp:docPr id="27" name="Picture 27" descr="Figure 4.2 Student attendance rate, Indigenous students, government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EF7173" w:rsidRPr="003F7D48" w:rsidRDefault="00EF7173" w:rsidP="00EF7173">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Attendance rates are the number of actual full time equivalent ‘student days’ attended as a percentage of the total number of possible student days attended over the period. Student attendance data are reported for full time students in years 1–10, but are not collected uniformly across jurisdictions and schooling sectors and therefore are not comparable.</w:t>
      </w:r>
    </w:p>
    <w:p w:rsidR="00EF7173" w:rsidRPr="003F7D48" w:rsidRDefault="00EF7173" w:rsidP="00EF7173">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ACARA (unpublished); table 4A.131; 2014 Report, figure 4.6, p. 4.22.</w:t>
      </w:r>
    </w:p>
    <w:p w:rsidR="00EF7173" w:rsidRPr="003F7D48" w:rsidRDefault="00EF7173" w:rsidP="00245C09">
      <w:pPr>
        <w:pStyle w:val="Heading4"/>
      </w:pPr>
      <w:bookmarkStart w:id="62" w:name="_Toc383520567"/>
      <w:bookmarkStart w:id="63" w:name="_Toc319589148"/>
      <w:bookmarkStart w:id="64" w:name="_Toc320770604"/>
      <w:bookmarkStart w:id="65" w:name="_Toc347391008"/>
      <w:r w:rsidRPr="003F7D48">
        <w:t>Retention</w:t>
      </w:r>
      <w:bookmarkEnd w:id="62"/>
    </w:p>
    <w:p w:rsidR="00EF7173" w:rsidRPr="003F7D48" w:rsidRDefault="00EF7173" w:rsidP="00EF7173">
      <w:pPr>
        <w:spacing w:before="240" w:line="320" w:lineRule="atLeast"/>
        <w:jc w:val="both"/>
        <w:rPr>
          <w:szCs w:val="20"/>
        </w:rPr>
      </w:pPr>
      <w:r w:rsidRPr="003F7D48">
        <w:rPr>
          <w:szCs w:val="20"/>
        </w:rPr>
        <w:t>‘Retention’ to the final years of schooling is an indicator of governments’ objective that all students have access to high quality education and training necessary to complete education to year 12 or its equivalent (box 4.2).</w:t>
      </w:r>
    </w:p>
    <w:p w:rsidR="00EF7173" w:rsidRPr="003F7D48" w:rsidRDefault="00EF7173" w:rsidP="00EF717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F7173" w:rsidRPr="003F7D48" w:rsidTr="000F484B">
        <w:tc>
          <w:tcPr>
            <w:tcW w:w="8771" w:type="dxa"/>
            <w:tcBorders>
              <w:top w:val="single" w:sz="6" w:space="0" w:color="auto"/>
              <w:bottom w:val="nil"/>
            </w:tcBorders>
          </w:tcPr>
          <w:p w:rsidR="00EF7173" w:rsidRPr="003F7D48" w:rsidRDefault="00EF7173" w:rsidP="00EF7173">
            <w:pPr>
              <w:pStyle w:val="BoxTitle"/>
            </w:pPr>
            <w:r w:rsidRPr="003F7D48">
              <w:rPr>
                <w:b w:val="0"/>
              </w:rPr>
              <w:t>Box 4.</w:t>
            </w:r>
            <w:r w:rsidRPr="003F7D48">
              <w:rPr>
                <w:b w:val="0"/>
                <w:noProof/>
              </w:rPr>
              <w:t>2</w:t>
            </w:r>
            <w:r w:rsidRPr="003F7D48">
              <w:tab/>
              <w:t>Retention</w:t>
            </w:r>
          </w:p>
        </w:tc>
      </w:tr>
      <w:tr w:rsidR="00EF7173" w:rsidRPr="003F7D48" w:rsidTr="000F484B">
        <w:trPr>
          <w:cantSplit/>
        </w:trPr>
        <w:tc>
          <w:tcPr>
            <w:tcW w:w="8771" w:type="dxa"/>
            <w:tcBorders>
              <w:top w:val="nil"/>
              <w:left w:val="single" w:sz="6" w:space="0" w:color="auto"/>
              <w:bottom w:val="nil"/>
              <w:right w:val="single" w:sz="6" w:space="0" w:color="auto"/>
            </w:tcBorders>
          </w:tcPr>
          <w:p w:rsidR="00EF7173" w:rsidRPr="003F7D48" w:rsidRDefault="00EF7173" w:rsidP="000F484B">
            <w:pPr>
              <w:keepNext/>
              <w:spacing w:before="120" w:line="280" w:lineRule="atLeast"/>
              <w:jc w:val="both"/>
              <w:rPr>
                <w:rFonts w:ascii="Arial" w:hAnsi="Arial"/>
                <w:sz w:val="22"/>
                <w:szCs w:val="20"/>
              </w:rPr>
            </w:pPr>
            <w:r w:rsidRPr="003F7D48">
              <w:rPr>
                <w:rFonts w:ascii="Arial" w:hAnsi="Arial"/>
                <w:sz w:val="22"/>
                <w:szCs w:val="20"/>
              </w:rPr>
              <w:t>‘Retention’ (apparent retention rate) is defined as the number of full time school students in a designated level/year of education as a percentage of their respective cohort group (either at the commencement of their secondary schooling at year 7 or 8, or at year 10). Data are reported for:</w:t>
            </w:r>
          </w:p>
          <w:p w:rsidR="00EF7173" w:rsidRPr="003F7D48" w:rsidRDefault="00EF7173" w:rsidP="00EF7173">
            <w:pPr>
              <w:keepNext/>
              <w:numPr>
                <w:ilvl w:val="0"/>
                <w:numId w:val="18"/>
              </w:numPr>
              <w:spacing w:before="120" w:line="280" w:lineRule="atLeast"/>
              <w:jc w:val="both"/>
              <w:rPr>
                <w:rFonts w:ascii="Arial" w:hAnsi="Arial"/>
                <w:sz w:val="22"/>
                <w:szCs w:val="20"/>
              </w:rPr>
            </w:pPr>
            <w:r w:rsidRPr="003F7D48">
              <w:rPr>
                <w:rFonts w:ascii="Arial" w:hAnsi="Arial"/>
                <w:sz w:val="22"/>
                <w:szCs w:val="20"/>
              </w:rPr>
              <w:t>the proportion of students commencing secondary school at year 7 or 8 and continuing to year 10</w:t>
            </w:r>
          </w:p>
          <w:p w:rsidR="00EF7173" w:rsidRPr="003F7D48" w:rsidRDefault="00EF7173" w:rsidP="00EF7173">
            <w:pPr>
              <w:keepNext/>
              <w:numPr>
                <w:ilvl w:val="0"/>
                <w:numId w:val="18"/>
              </w:numPr>
              <w:spacing w:before="120" w:line="280" w:lineRule="atLeast"/>
              <w:jc w:val="both"/>
              <w:rPr>
                <w:rFonts w:ascii="Arial" w:hAnsi="Arial"/>
                <w:sz w:val="22"/>
                <w:szCs w:val="20"/>
              </w:rPr>
            </w:pPr>
            <w:r w:rsidRPr="003F7D48">
              <w:rPr>
                <w:rFonts w:ascii="Arial" w:hAnsi="Arial"/>
                <w:sz w:val="22"/>
                <w:szCs w:val="20"/>
              </w:rPr>
              <w:t>the proportion of students commencing secondary school at year 7 or 8 and continuing to year 12</w:t>
            </w:r>
          </w:p>
          <w:p w:rsidR="00EF7173" w:rsidRPr="003F7D48" w:rsidRDefault="00EF7173" w:rsidP="00EF7173">
            <w:pPr>
              <w:keepNext/>
              <w:numPr>
                <w:ilvl w:val="0"/>
                <w:numId w:val="18"/>
              </w:numPr>
              <w:spacing w:before="120" w:line="280" w:lineRule="atLeast"/>
              <w:jc w:val="both"/>
              <w:rPr>
                <w:rFonts w:ascii="Arial" w:hAnsi="Arial"/>
                <w:sz w:val="22"/>
                <w:szCs w:val="20"/>
              </w:rPr>
            </w:pPr>
            <w:r w:rsidRPr="003F7D48">
              <w:rPr>
                <w:rFonts w:ascii="Arial" w:hAnsi="Arial"/>
                <w:sz w:val="22"/>
                <w:szCs w:val="20"/>
              </w:rPr>
              <w:t>the proportion of year 10 students continuing to year 12.</w:t>
            </w:r>
          </w:p>
          <w:p w:rsidR="00EF7173" w:rsidRPr="003F7D48" w:rsidRDefault="00EF7173" w:rsidP="000F484B">
            <w:pPr>
              <w:keepNext/>
              <w:spacing w:before="120" w:line="280" w:lineRule="atLeast"/>
              <w:jc w:val="both"/>
              <w:rPr>
                <w:rFonts w:ascii="Arial" w:hAnsi="Arial"/>
                <w:sz w:val="22"/>
                <w:szCs w:val="20"/>
              </w:rPr>
            </w:pPr>
            <w:r w:rsidRPr="003F7D48">
              <w:rPr>
                <w:rFonts w:ascii="Arial" w:hAnsi="Arial"/>
                <w:sz w:val="22"/>
                <w:szCs w:val="20"/>
              </w:rPr>
              <w:t>Data are reported for all students, Indigenous and non-Indigenous students, and for students in government and non-government schools.</w:t>
            </w:r>
          </w:p>
          <w:p w:rsidR="00EF7173" w:rsidRPr="003F7D48" w:rsidRDefault="00EF7173" w:rsidP="000F484B">
            <w:pPr>
              <w:keepNext/>
              <w:spacing w:before="120" w:line="280" w:lineRule="atLeast"/>
              <w:jc w:val="both"/>
              <w:rPr>
                <w:rFonts w:ascii="Arial" w:hAnsi="Arial"/>
                <w:sz w:val="22"/>
                <w:szCs w:val="20"/>
              </w:rPr>
            </w:pPr>
            <w:r w:rsidRPr="003F7D48">
              <w:rPr>
                <w:rFonts w:ascii="Arial" w:hAnsi="Arial"/>
                <w:sz w:val="22"/>
                <w:szCs w:val="20"/>
              </w:rPr>
              <w:t>A higher or increasing apparent retention rate suggests that a larger proportion of students are continuing to participate in school education, which is likely to result in improved educational outcomes.</w:t>
            </w:r>
          </w:p>
          <w:p w:rsidR="00EF7173" w:rsidRPr="003F7D48" w:rsidRDefault="00EF7173" w:rsidP="000F484B">
            <w:pPr>
              <w:keepNext/>
              <w:spacing w:before="120" w:line="280" w:lineRule="atLeast"/>
              <w:jc w:val="both"/>
              <w:rPr>
                <w:rFonts w:ascii="Arial" w:hAnsi="Arial"/>
                <w:sz w:val="22"/>
                <w:szCs w:val="20"/>
              </w:rPr>
            </w:pPr>
            <w:r w:rsidRPr="003F7D48">
              <w:rPr>
                <w:rFonts w:ascii="Arial" w:hAnsi="Arial"/>
                <w:sz w:val="22"/>
                <w:szCs w:val="20"/>
              </w:rPr>
              <w:t>This indicator does not include part time students or provide information on students who pursue year 12 (or equivalent qualifications) through non-school pathways.</w:t>
            </w:r>
          </w:p>
          <w:p w:rsidR="00EF7173" w:rsidRPr="003F7D48" w:rsidRDefault="00EF7173" w:rsidP="000F484B">
            <w:pPr>
              <w:keepNext/>
              <w:spacing w:before="120" w:line="280" w:lineRule="atLeast"/>
              <w:jc w:val="both"/>
              <w:rPr>
                <w:rFonts w:ascii="Arial" w:hAnsi="Arial"/>
                <w:sz w:val="22"/>
                <w:szCs w:val="20"/>
              </w:rPr>
            </w:pPr>
            <w:r w:rsidRPr="003F7D48">
              <w:rPr>
                <w:rFonts w:ascii="Arial" w:hAnsi="Arial"/>
                <w:sz w:val="22"/>
                <w:szCs w:val="20"/>
              </w:rPr>
              <w:t>The term ‘apparent’ is used because the indicator is derived from total numbers of students in each of the relevant year levels, not by tracking the retention of individual students. Care needs be taken in interpretation because the apparent retention rate does not take account of factors such as:</w:t>
            </w:r>
          </w:p>
          <w:p w:rsidR="00EF7173" w:rsidRPr="003F7D48" w:rsidRDefault="00EF7173" w:rsidP="00EF7173">
            <w:pPr>
              <w:keepNext/>
              <w:numPr>
                <w:ilvl w:val="0"/>
                <w:numId w:val="18"/>
              </w:numPr>
              <w:spacing w:before="120" w:line="280" w:lineRule="atLeast"/>
              <w:jc w:val="both"/>
              <w:rPr>
                <w:rFonts w:ascii="Arial" w:hAnsi="Arial"/>
                <w:sz w:val="22"/>
                <w:szCs w:val="20"/>
              </w:rPr>
            </w:pPr>
            <w:r w:rsidRPr="003F7D48">
              <w:rPr>
                <w:rFonts w:ascii="Arial" w:hAnsi="Arial"/>
                <w:sz w:val="22"/>
                <w:szCs w:val="20"/>
              </w:rPr>
              <w:t>students repeating a year of education or returning to education after a period of absence</w:t>
            </w:r>
          </w:p>
          <w:p w:rsidR="00EF7173" w:rsidRPr="003F7D48" w:rsidRDefault="00EF7173" w:rsidP="00EF7173">
            <w:pPr>
              <w:keepNext/>
              <w:numPr>
                <w:ilvl w:val="0"/>
                <w:numId w:val="18"/>
              </w:numPr>
              <w:spacing w:before="120" w:line="280" w:lineRule="atLeast"/>
              <w:jc w:val="both"/>
              <w:rPr>
                <w:rFonts w:ascii="Arial" w:hAnsi="Arial"/>
                <w:sz w:val="22"/>
                <w:szCs w:val="20"/>
              </w:rPr>
            </w:pPr>
            <w:r w:rsidRPr="003F7D48">
              <w:rPr>
                <w:rFonts w:ascii="Arial" w:hAnsi="Arial"/>
                <w:sz w:val="22"/>
                <w:szCs w:val="20"/>
              </w:rPr>
              <w:t>movement or migration of students between school sectors, between states/territories and between countries</w:t>
            </w:r>
          </w:p>
          <w:p w:rsidR="00EF7173" w:rsidRPr="003F7D48" w:rsidRDefault="00EF7173" w:rsidP="00EF7173">
            <w:pPr>
              <w:keepNext/>
              <w:numPr>
                <w:ilvl w:val="0"/>
                <w:numId w:val="18"/>
              </w:numPr>
              <w:spacing w:before="120" w:line="280" w:lineRule="atLeast"/>
              <w:jc w:val="both"/>
              <w:rPr>
                <w:rFonts w:ascii="Arial" w:hAnsi="Arial"/>
                <w:sz w:val="22"/>
                <w:szCs w:val="20"/>
              </w:rPr>
            </w:pPr>
            <w:r w:rsidRPr="003F7D48">
              <w:rPr>
                <w:rFonts w:ascii="Arial" w:hAnsi="Arial"/>
                <w:sz w:val="22"/>
                <w:szCs w:val="20"/>
              </w:rPr>
              <w:t>the impact of full fee paying overseas students.</w:t>
            </w:r>
          </w:p>
          <w:p w:rsidR="00EF7173" w:rsidRPr="003F7D48" w:rsidRDefault="00EF7173" w:rsidP="000F484B">
            <w:pPr>
              <w:keepNext/>
              <w:shd w:val="clear" w:color="auto" w:fill="FFFFFF" w:themeFill="background1"/>
              <w:spacing w:before="120" w:line="280" w:lineRule="atLeast"/>
              <w:jc w:val="both"/>
              <w:rPr>
                <w:rFonts w:ascii="Arial" w:hAnsi="Arial"/>
                <w:sz w:val="22"/>
                <w:szCs w:val="20"/>
              </w:rPr>
            </w:pPr>
            <w:r w:rsidRPr="003F7D48">
              <w:rPr>
                <w:rFonts w:ascii="Arial" w:hAnsi="Arial"/>
                <w:sz w:val="22"/>
                <w:szCs w:val="20"/>
              </w:rPr>
              <w:t>Data reported for all measures in this</w:t>
            </w:r>
            <w:r w:rsidR="006B629A">
              <w:rPr>
                <w:rFonts w:ascii="Arial" w:hAnsi="Arial"/>
                <w:sz w:val="22"/>
                <w:szCs w:val="20"/>
              </w:rPr>
              <w:t xml:space="preserve"> indicator are:</w:t>
            </w:r>
          </w:p>
          <w:p w:rsidR="00EF7173" w:rsidRPr="003F7D48" w:rsidRDefault="00EF7173" w:rsidP="00EF7173">
            <w:pPr>
              <w:pStyle w:val="BoxListBullet"/>
              <w:numPr>
                <w:ilvl w:val="0"/>
                <w:numId w:val="18"/>
              </w:numPr>
            </w:pPr>
            <w:r w:rsidRPr="003F7D48">
              <w:t>comparable (subject to caveats) across jurisdictions and over time</w:t>
            </w:r>
          </w:p>
          <w:p w:rsidR="00EF7173" w:rsidRPr="003F7D48" w:rsidRDefault="00EF7173" w:rsidP="00EF7173">
            <w:pPr>
              <w:pStyle w:val="BoxListBullet"/>
              <w:numPr>
                <w:ilvl w:val="0"/>
                <w:numId w:val="18"/>
              </w:numPr>
            </w:pPr>
            <w:r w:rsidRPr="003F7D48">
              <w:t>complete for the current reporting period (subject to caveats). All required 2012 data are available for all jurisdictions providing the service.</w:t>
            </w:r>
          </w:p>
          <w:p w:rsidR="00EF7173" w:rsidRPr="003F7D48" w:rsidRDefault="00EF7173" w:rsidP="000F484B">
            <w:pPr>
              <w:pStyle w:val="Box"/>
            </w:pPr>
            <w:r w:rsidRPr="003F7D48">
              <w:t>Information about data quality for this indicator is at www.pc.gov.au/gsp/reports/rogs/2014.</w:t>
            </w:r>
          </w:p>
        </w:tc>
      </w:tr>
      <w:tr w:rsidR="00EF7173" w:rsidRPr="003F7D48" w:rsidTr="000F484B">
        <w:trPr>
          <w:cantSplit/>
        </w:trPr>
        <w:tc>
          <w:tcPr>
            <w:tcW w:w="8771" w:type="dxa"/>
            <w:tcBorders>
              <w:top w:val="nil"/>
              <w:left w:val="single" w:sz="6" w:space="0" w:color="auto"/>
              <w:bottom w:val="single" w:sz="6" w:space="0" w:color="auto"/>
              <w:right w:val="single" w:sz="6" w:space="0" w:color="auto"/>
            </w:tcBorders>
          </w:tcPr>
          <w:p w:rsidR="00EF7173" w:rsidRPr="003F7D48" w:rsidRDefault="00EF7173" w:rsidP="000F484B">
            <w:pPr>
              <w:keepNext/>
              <w:spacing w:line="120" w:lineRule="exact"/>
              <w:jc w:val="both"/>
              <w:rPr>
                <w:rFonts w:ascii="Arial" w:hAnsi="Arial"/>
                <w:sz w:val="22"/>
                <w:szCs w:val="20"/>
              </w:rPr>
            </w:pPr>
          </w:p>
        </w:tc>
      </w:tr>
      <w:tr w:rsidR="00EF7173" w:rsidRPr="003F7D48" w:rsidTr="000F484B">
        <w:tc>
          <w:tcPr>
            <w:tcW w:w="8771" w:type="dxa"/>
            <w:tcBorders>
              <w:top w:val="nil"/>
              <w:left w:val="nil"/>
              <w:bottom w:val="nil"/>
              <w:right w:val="nil"/>
            </w:tcBorders>
          </w:tcPr>
          <w:p w:rsidR="00EF7173" w:rsidRPr="003F7D48" w:rsidRDefault="00EF7173" w:rsidP="000F484B">
            <w:pPr>
              <w:spacing w:before="60" w:after="60" w:line="80" w:lineRule="exact"/>
              <w:jc w:val="both"/>
              <w:rPr>
                <w:rFonts w:ascii="Arial" w:hAnsi="Arial"/>
                <w:b/>
                <w:color w:val="FF00FF"/>
                <w:sz w:val="14"/>
                <w:szCs w:val="20"/>
              </w:rPr>
            </w:pPr>
          </w:p>
        </w:tc>
      </w:tr>
    </w:tbl>
    <w:p w:rsidR="00BB0F06" w:rsidRPr="003F7D48" w:rsidRDefault="00BB0F06" w:rsidP="00BB0F06">
      <w:pPr>
        <w:spacing w:before="240" w:line="320" w:lineRule="atLeast"/>
        <w:jc w:val="both"/>
        <w:rPr>
          <w:szCs w:val="20"/>
        </w:rPr>
      </w:pPr>
      <w:r w:rsidRPr="003F7D48">
        <w:rPr>
          <w:szCs w:val="20"/>
        </w:rPr>
        <w:t xml:space="preserve">In most jurisdictions, in 2012, apparent retention rates from the commencement of secondary school at year 7 or 8 (2014 Report, figure 4.1 shows the starting years across jurisdictions) to year 10, were 98 per cent to 104 per cent, with a national rate of </w:t>
      </w:r>
      <w:r w:rsidR="00245C09" w:rsidRPr="003F7D48">
        <w:rPr>
          <w:szCs w:val="20"/>
        </w:rPr>
        <w:t xml:space="preserve">101.3 per </w:t>
      </w:r>
      <w:r w:rsidRPr="003F7D48">
        <w:rPr>
          <w:szCs w:val="20"/>
        </w:rPr>
        <w:t xml:space="preserve">cent (figure 4.3). High rates are to be expected, because normal </w:t>
      </w:r>
      <w:r w:rsidRPr="003F7D48">
        <w:rPr>
          <w:szCs w:val="20"/>
        </w:rPr>
        <w:lastRenderedPageBreak/>
        <w:t xml:space="preserve">year level progression means students in year 10 are generally of an age at which schooling is compulsory. </w:t>
      </w:r>
    </w:p>
    <w:p w:rsidR="00BB0F06" w:rsidRPr="003F7D48" w:rsidRDefault="00BB0F06" w:rsidP="00BB0F06">
      <w:pPr>
        <w:spacing w:before="240" w:line="320" w:lineRule="atLeast"/>
        <w:jc w:val="both"/>
        <w:rPr>
          <w:szCs w:val="20"/>
        </w:rPr>
      </w:pPr>
      <w:r w:rsidRPr="003F7D48">
        <w:rPr>
          <w:szCs w:val="20"/>
        </w:rPr>
        <w:t>Retention rates for Indigenous students provide one measure of the equity of access to schooling. Retention rates to year 10 for Indigenous students were lower than those for non-Indigenous students and all students in most jurisdictions, with a national retention rate for Indigenous students of 98.4 per cent, 3.0 percentage points lower than that for non-Indigenous students and 2.9 percentage points lower than that for all students (figure 4.3).</w:t>
      </w:r>
    </w:p>
    <w:p w:rsidR="00BB0F06" w:rsidRPr="003F7D48" w:rsidRDefault="00BB0F06" w:rsidP="00BB0F06">
      <w:pPr>
        <w:pStyle w:val="FigureTitle"/>
        <w:rPr>
          <w:position w:val="6"/>
          <w:sz w:val="18"/>
        </w:rPr>
      </w:pPr>
      <w:r w:rsidRPr="003F7D48">
        <w:rPr>
          <w:b w:val="0"/>
        </w:rPr>
        <w:t xml:space="preserve">Figure </w:t>
      </w:r>
      <w:bookmarkStart w:id="66" w:name="OLE_LINK26"/>
      <w:r w:rsidRPr="003F7D48">
        <w:rPr>
          <w:b w:val="0"/>
        </w:rPr>
        <w:t>4.</w:t>
      </w:r>
      <w:bookmarkEnd w:id="66"/>
      <w:r w:rsidRPr="003F7D48">
        <w:rPr>
          <w:b w:val="0"/>
          <w:noProof/>
        </w:rPr>
        <w:t>3</w:t>
      </w:r>
      <w:r w:rsidRPr="003F7D48">
        <w:tab/>
        <w:t>Apparent retention rate from year 7 or 8 to year 10, full time secondary students, all schools, 2012</w:t>
      </w:r>
      <w:r w:rsidRPr="003F7D48">
        <w:rPr>
          <w:position w:val="6"/>
          <w:sz w:val="18"/>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B0F06" w:rsidRPr="003F7D48" w:rsidTr="000F484B">
        <w:tc>
          <w:tcPr>
            <w:tcW w:w="8777" w:type="dxa"/>
          </w:tcPr>
          <w:p w:rsidR="00BB0F06" w:rsidRPr="003F7D48" w:rsidRDefault="00BB0F06" w:rsidP="000F484B">
            <w:pPr>
              <w:keepNext/>
              <w:spacing w:before="120" w:after="120" w:line="240" w:lineRule="atLeast"/>
              <w:jc w:val="center"/>
              <w:rPr>
                <w:szCs w:val="20"/>
              </w:rPr>
            </w:pPr>
            <w:r w:rsidRPr="003F7D48">
              <w:rPr>
                <w:noProof/>
                <w:szCs w:val="20"/>
              </w:rPr>
              <w:drawing>
                <wp:inline distT="0" distB="0" distL="0" distR="0" wp14:anchorId="1B6E53D5" wp14:editId="7292D9EF">
                  <wp:extent cx="5391150" cy="2686050"/>
                  <wp:effectExtent l="0" t="0" r="0" b="0"/>
                  <wp:docPr id="28" name="Picture 28" descr="Figure 4.3 Apparent retention rate from year 7 or 8 to year 10, full time secondary students, all school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B0F06" w:rsidRPr="003F7D48" w:rsidRDefault="00BB0F06" w:rsidP="00BB0F06">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Apparent retention rates are affected by factors that vary across jurisdictions. For this reason, variations in apparent retention rates over time within jurisdictions may be more useful than comparisons across jurisdictions (see 2014 Report, figure 4.11). </w:t>
      </w:r>
      <w:r w:rsidRPr="003F7D48">
        <w:rPr>
          <w:rFonts w:ascii="Arial" w:hAnsi="Arial"/>
          <w:b/>
          <w:position w:val="6"/>
          <w:sz w:val="18"/>
          <w:szCs w:val="20"/>
        </w:rPr>
        <w:t>b</w:t>
      </w:r>
      <w:r w:rsidRPr="003F7D48">
        <w:rPr>
          <w:rFonts w:ascii="Arial" w:hAnsi="Arial"/>
          <w:sz w:val="18"/>
          <w:szCs w:val="20"/>
        </w:rPr>
        <w:t xml:space="preserve"> Retention rates can exceed 100 per cent for a variety of reasons, including student transfers between jurisdictions. </w:t>
      </w:r>
      <w:r w:rsidRPr="003F7D48">
        <w:rPr>
          <w:rFonts w:ascii="Arial" w:hAnsi="Arial"/>
          <w:b/>
          <w:position w:val="6"/>
          <w:sz w:val="18"/>
          <w:szCs w:val="20"/>
        </w:rPr>
        <w:t>c</w:t>
      </w:r>
      <w:r w:rsidRPr="003F7D48">
        <w:rPr>
          <w:rFonts w:ascii="Arial" w:hAnsi="Arial"/>
          <w:sz w:val="18"/>
          <w:szCs w:val="20"/>
        </w:rPr>
        <w:t xml:space="preserve"> The standard apparent retention rate calculation excludes part time students, which has implications for the interpretation of results for all jurisdictions </w:t>
      </w:r>
      <w:r w:rsidRPr="003F7D48">
        <w:rPr>
          <w:rFonts w:ascii="Arial" w:hAnsi="Arial"/>
          <w:sz w:val="18"/>
          <w:szCs w:val="20"/>
        </w:rPr>
        <w:br/>
        <w:t xml:space="preserve">(2014 Report, table 4.4). </w:t>
      </w:r>
      <w:r w:rsidRPr="003F7D48">
        <w:rPr>
          <w:rFonts w:ascii="Arial" w:hAnsi="Arial"/>
          <w:b/>
          <w:position w:val="6"/>
          <w:sz w:val="18"/>
          <w:szCs w:val="20"/>
        </w:rPr>
        <w:t>d</w:t>
      </w:r>
      <w:r w:rsidRPr="003F7D48">
        <w:rPr>
          <w:rFonts w:ascii="Arial" w:hAnsi="Arial"/>
          <w:sz w:val="18"/>
          <w:szCs w:val="20"/>
        </w:rPr>
        <w:t xml:space="preserve"> Ungraded students are not included in the calculation of apparent retention rates. </w:t>
      </w:r>
      <w:r w:rsidRPr="003F7D48">
        <w:rPr>
          <w:rFonts w:ascii="Arial" w:hAnsi="Arial"/>
          <w:b/>
          <w:position w:val="6"/>
          <w:sz w:val="18"/>
          <w:szCs w:val="20"/>
        </w:rPr>
        <w:t>e</w:t>
      </w:r>
      <w:r w:rsidRPr="003F7D48">
        <w:rPr>
          <w:rFonts w:ascii="Arial" w:hAnsi="Arial"/>
          <w:sz w:val="18"/>
          <w:szCs w:val="20"/>
        </w:rPr>
        <w:t> Some students' Indigenous status is not stated. Consequently, the number of Indigenous students counted in the Indigenous rates may be under</w:t>
      </w:r>
      <w:r w:rsidRPr="003F7D48">
        <w:rPr>
          <w:rFonts w:ascii="Arial" w:hAnsi="Arial"/>
          <w:sz w:val="18"/>
          <w:szCs w:val="20"/>
        </w:rPr>
        <w:noBreakHyphen/>
        <w:t xml:space="preserve">represented in some jurisdictions. Students for whom Indigenous status is not stated are included in the data for 'non-Indigenous students', and are included in the data for 'all students'. </w:t>
      </w:r>
    </w:p>
    <w:p w:rsidR="00BB0F06" w:rsidRPr="003F7D48" w:rsidRDefault="00BB0F06" w:rsidP="00BB0F06">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ABS (2013) </w:t>
      </w:r>
      <w:r w:rsidRPr="003F7D48">
        <w:rPr>
          <w:rFonts w:ascii="Arial" w:hAnsi="Arial"/>
          <w:i/>
          <w:sz w:val="18"/>
          <w:szCs w:val="20"/>
        </w:rPr>
        <w:t>Schools Australia 2012</w:t>
      </w:r>
      <w:r w:rsidRPr="003F7D48">
        <w:rPr>
          <w:rFonts w:ascii="Arial" w:hAnsi="Arial"/>
          <w:sz w:val="18"/>
          <w:szCs w:val="20"/>
        </w:rPr>
        <w:t>, Cat. no. 4221.0; table 4A.121; 2014 Report, figure 4.10, p. 4.27.</w:t>
      </w:r>
    </w:p>
    <w:p w:rsidR="000F484B" w:rsidRPr="003F7D48" w:rsidRDefault="000F484B" w:rsidP="000F484B">
      <w:pPr>
        <w:spacing w:before="240" w:line="320" w:lineRule="atLeast"/>
        <w:jc w:val="both"/>
        <w:rPr>
          <w:szCs w:val="20"/>
        </w:rPr>
      </w:pPr>
      <w:r w:rsidRPr="003F7D48">
        <w:rPr>
          <w:szCs w:val="20"/>
        </w:rPr>
        <w:t>The national apparent retention rate from the commencement of secondary schooling at year 7 or year 8 (figure 4.1 shows the differences across jurisdictions) to year 10 for all full time students was 98.1 per cent in 2004, rising to 99.4 per cent in 2008 and 101.3 per cent in 2012 (</w:t>
      </w:r>
      <w:r w:rsidR="00722715" w:rsidRPr="003F7D48">
        <w:rPr>
          <w:szCs w:val="20"/>
        </w:rPr>
        <w:t>2014 Report,</w:t>
      </w:r>
      <w:r w:rsidR="00885418" w:rsidRPr="003F7D48">
        <w:rPr>
          <w:szCs w:val="20"/>
        </w:rPr>
        <w:t xml:space="preserve"> </w:t>
      </w:r>
      <w:r w:rsidRPr="003F7D48">
        <w:rPr>
          <w:szCs w:val="20"/>
        </w:rPr>
        <w:t>figure 4.11). Data for intervening years and by Indigenous status are in table 4A.123. Data for government schools and non</w:t>
      </w:r>
      <w:r w:rsidRPr="003F7D48">
        <w:rPr>
          <w:szCs w:val="20"/>
        </w:rPr>
        <w:noBreakHyphen/>
        <w:t>government schools are in tables 4A.124 and 4A.125.</w:t>
      </w:r>
    </w:p>
    <w:p w:rsidR="000F484B" w:rsidRPr="003F7D48" w:rsidRDefault="000F484B" w:rsidP="000F484B">
      <w:pPr>
        <w:spacing w:before="240" w:line="320" w:lineRule="atLeast"/>
        <w:jc w:val="both"/>
        <w:rPr>
          <w:szCs w:val="20"/>
        </w:rPr>
      </w:pPr>
      <w:r w:rsidRPr="003F7D48">
        <w:rPr>
          <w:szCs w:val="20"/>
        </w:rPr>
        <w:lastRenderedPageBreak/>
        <w:t>The national apparent retention rate, from the commencement of secondary school at year 7 or 8 (2014 Report, figure 4.1 shows the differences across jurisdictions) to year 12, for all full time students was 75.7 per cent in 2004, rising to 79.9 per cent in 2012 (2014 Report, figure 4.12). Data for intervening years and by Indigenous status are in table 4A.123. Data for government schools and non-government schools are in tables 4A.124 and 4A.125.</w:t>
      </w:r>
    </w:p>
    <w:p w:rsidR="000F484B" w:rsidRPr="003F7D48" w:rsidRDefault="000F484B" w:rsidP="000F484B">
      <w:pPr>
        <w:shd w:val="clear" w:color="auto" w:fill="FFFFFF" w:themeFill="background1"/>
        <w:spacing w:before="240" w:line="320" w:lineRule="atLeast"/>
        <w:jc w:val="both"/>
        <w:rPr>
          <w:szCs w:val="20"/>
        </w:rPr>
      </w:pPr>
      <w:r w:rsidRPr="003F7D48">
        <w:rPr>
          <w:szCs w:val="20"/>
        </w:rPr>
        <w:t xml:space="preserve">Retention rates from year 7/8 to year 12 for Indigenous students in all schools were lower than those for non-Indigenous students and all students in all jurisdictions in 2012, with a national retention rate for Indigenous students of 51.1 per cent, </w:t>
      </w:r>
      <w:r w:rsidRPr="003F7D48">
        <w:rPr>
          <w:szCs w:val="20"/>
        </w:rPr>
        <w:br/>
      </w:r>
      <w:r w:rsidRPr="003F7D48">
        <w:rPr>
          <w:szCs w:val="20"/>
          <w:shd w:val="clear" w:color="auto" w:fill="FFFFFF" w:themeFill="background1"/>
        </w:rPr>
        <w:t>30.2</w:t>
      </w:r>
      <w:r w:rsidRPr="003F7D48">
        <w:rPr>
          <w:szCs w:val="20"/>
        </w:rPr>
        <w:t xml:space="preserve"> percentage points lower than that for non-Indigenous students and </w:t>
      </w:r>
      <w:r w:rsidRPr="003F7D48">
        <w:rPr>
          <w:szCs w:val="20"/>
        </w:rPr>
        <w:br/>
      </w:r>
      <w:r w:rsidRPr="003F7D48">
        <w:rPr>
          <w:szCs w:val="20"/>
          <w:shd w:val="clear" w:color="auto" w:fill="FFFFFF" w:themeFill="background1"/>
        </w:rPr>
        <w:t>28.8</w:t>
      </w:r>
      <w:r w:rsidRPr="003F7D48">
        <w:rPr>
          <w:szCs w:val="20"/>
        </w:rPr>
        <w:t xml:space="preserve"> percentage points lower than that for all students (table 4A.123).</w:t>
      </w:r>
    </w:p>
    <w:p w:rsidR="000F484B" w:rsidRPr="003F7D48" w:rsidRDefault="000F484B" w:rsidP="000F484B">
      <w:pPr>
        <w:spacing w:before="240" w:line="320" w:lineRule="atLeast"/>
        <w:jc w:val="both"/>
        <w:rPr>
          <w:szCs w:val="20"/>
        </w:rPr>
      </w:pPr>
      <w:r w:rsidRPr="003F7D48">
        <w:rPr>
          <w:szCs w:val="20"/>
        </w:rPr>
        <w:t xml:space="preserve">For government and non-government schools, apparent rates of retention from </w:t>
      </w:r>
      <w:r w:rsidRPr="003F7D48">
        <w:rPr>
          <w:szCs w:val="20"/>
        </w:rPr>
        <w:br/>
        <w:t xml:space="preserve">year 10 to year 12 for Indigenous students in 2012 were consistently lower than rates for all students but varied across jurisdictions (figure 4.4 and 2014 Report, figure 4.14). In interpreting Indigenous apparent retention rates, it should be noted that, </w:t>
      </w:r>
      <w:bookmarkStart w:id="67" w:name="OLE_LINK75"/>
      <w:bookmarkStart w:id="68" w:name="OLE_LINK78"/>
      <w:r w:rsidRPr="003F7D48">
        <w:rPr>
          <w:szCs w:val="20"/>
        </w:rPr>
        <w:t>nationally, 1.6 per cent of Indigenous students left school before year 10 (figure 4.3 and table 4A.121), and so are not included in the base year for retention from year 10 to year 12</w:t>
      </w:r>
      <w:bookmarkEnd w:id="67"/>
      <w:bookmarkEnd w:id="68"/>
      <w:r w:rsidRPr="003F7D48">
        <w:rPr>
          <w:szCs w:val="20"/>
        </w:rPr>
        <w:t xml:space="preserve">. Further, Indigenous students made up 6.4 per cent of all students in government schools compared with 2.1 per cent in non-government schools and some jurisdictions have very low numbers of Indigenous students </w:t>
      </w:r>
      <w:r w:rsidRPr="003F7D48">
        <w:rPr>
          <w:szCs w:val="20"/>
        </w:rPr>
        <w:br/>
        <w:t>(table 4.1).</w:t>
      </w:r>
    </w:p>
    <w:p w:rsidR="00ED1F77" w:rsidRPr="003F7D48" w:rsidRDefault="00ED1F77" w:rsidP="00ED1F77">
      <w:pPr>
        <w:spacing w:before="240" w:line="320" w:lineRule="atLeast"/>
        <w:jc w:val="both"/>
        <w:rPr>
          <w:szCs w:val="20"/>
        </w:rPr>
      </w:pPr>
      <w:r w:rsidRPr="003F7D48">
        <w:rPr>
          <w:szCs w:val="20"/>
        </w:rPr>
        <w:t>Nationally, Indigenous retention from year 10 to year 12 for all schools in 2012 was 53.3 per cent (figure 4.4), compared with 80.4 per cent for non-Indigenous students (table 4A.123). However, Indigenous retention from year 10 to year 12 for all schools has risen from 46.0 per cent in 2004, with the gap between Indigenous students and non-Indigenous students decreasing from 32.1 percentage points in 2004 to 27.1 percentage points in 2012 (table 4A.123).</w:t>
      </w:r>
    </w:p>
    <w:p w:rsidR="00ED1F77" w:rsidRPr="003F7D48" w:rsidRDefault="00ED1F77" w:rsidP="00ED1F77">
      <w:pPr>
        <w:pStyle w:val="FigureTitle"/>
        <w:rPr>
          <w:position w:val="6"/>
          <w:sz w:val="18"/>
        </w:rPr>
      </w:pPr>
      <w:r w:rsidRPr="003F7D48">
        <w:rPr>
          <w:b w:val="0"/>
        </w:rPr>
        <w:lastRenderedPageBreak/>
        <w:t>Figure 4.</w:t>
      </w:r>
      <w:r w:rsidRPr="003F7D48">
        <w:rPr>
          <w:b w:val="0"/>
          <w:noProof/>
        </w:rPr>
        <w:t>4</w:t>
      </w:r>
      <w:r w:rsidRPr="003F7D48">
        <w:tab/>
        <w:t>Apparent retention rates from year 10 to year 12, Indigenous full time secondary students, 2012</w:t>
      </w:r>
      <w:r w:rsidRPr="003F7D48">
        <w:rPr>
          <w:position w:val="6"/>
          <w:sz w:val="18"/>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D1F77" w:rsidRPr="003F7D48" w:rsidTr="00C40DB1">
        <w:tc>
          <w:tcPr>
            <w:tcW w:w="8777" w:type="dxa"/>
          </w:tcPr>
          <w:p w:rsidR="00ED1F77" w:rsidRPr="003F7D48" w:rsidRDefault="00ED1F77" w:rsidP="00C40DB1">
            <w:pPr>
              <w:keepNext/>
              <w:spacing w:before="120" w:after="120" w:line="240" w:lineRule="atLeast"/>
              <w:jc w:val="center"/>
              <w:rPr>
                <w:szCs w:val="20"/>
              </w:rPr>
            </w:pPr>
            <w:r w:rsidRPr="003F7D48">
              <w:rPr>
                <w:noProof/>
                <w:szCs w:val="20"/>
              </w:rPr>
              <w:drawing>
                <wp:inline distT="0" distB="0" distL="0" distR="0" wp14:anchorId="06BF9193" wp14:editId="7E406F84">
                  <wp:extent cx="5391150" cy="2867025"/>
                  <wp:effectExtent l="0" t="0" r="0" b="9525"/>
                  <wp:docPr id="1" name="Picture 1" descr="Figure 4.4 Apparent retention rates from year 10 to year 12, Indigenous full time secondary student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ED1F77" w:rsidRPr="003F7D48" w:rsidRDefault="00ED1F77" w:rsidP="00ED1F77">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Apparent retention rates are affected by factors that vary across jurisdictions. For this reason, variations in apparent retention rates over time within jurisdictions may be more useful than comparisons across jurisdictions (see tables 4A.123–125). </w:t>
      </w:r>
      <w:r w:rsidRPr="003F7D48">
        <w:rPr>
          <w:rFonts w:ascii="Arial" w:hAnsi="Arial"/>
          <w:b/>
          <w:position w:val="6"/>
          <w:sz w:val="18"/>
          <w:szCs w:val="20"/>
        </w:rPr>
        <w:t>b</w:t>
      </w:r>
      <w:r w:rsidRPr="003F7D48">
        <w:rPr>
          <w:rFonts w:ascii="Arial" w:hAnsi="Arial"/>
          <w:sz w:val="18"/>
          <w:szCs w:val="20"/>
        </w:rPr>
        <w:t xml:space="preserve"> The standard apparent retention rate calculation excludes part time students, which has implications for the interpretation of results for all jurisdictions (2014 Report, table 4.4). </w:t>
      </w:r>
      <w:r w:rsidRPr="003F7D48">
        <w:rPr>
          <w:rFonts w:ascii="Arial" w:hAnsi="Arial"/>
          <w:b/>
          <w:position w:val="6"/>
          <w:sz w:val="18"/>
          <w:szCs w:val="20"/>
        </w:rPr>
        <w:t>c </w:t>
      </w:r>
      <w:r w:rsidRPr="003F7D48">
        <w:rPr>
          <w:rFonts w:ascii="Arial" w:hAnsi="Arial"/>
          <w:sz w:val="18"/>
          <w:szCs w:val="20"/>
        </w:rPr>
        <w:t xml:space="preserve">Ungraded students are not included in the calculation of apparent retention rates. </w:t>
      </w:r>
      <w:r w:rsidRPr="003F7D48">
        <w:rPr>
          <w:rFonts w:ascii="Arial" w:hAnsi="Arial"/>
          <w:b/>
          <w:position w:val="6"/>
          <w:sz w:val="18"/>
          <w:szCs w:val="20"/>
        </w:rPr>
        <w:t>d</w:t>
      </w:r>
      <w:r w:rsidRPr="003F7D48">
        <w:rPr>
          <w:rFonts w:ascii="Arial" w:hAnsi="Arial"/>
          <w:sz w:val="18"/>
          <w:szCs w:val="20"/>
        </w:rPr>
        <w:t> Some students' Indigenous status is not stated. Consequently, the number of Indigenous students counted in these rates may be under</w:t>
      </w:r>
      <w:r w:rsidRPr="003F7D48">
        <w:rPr>
          <w:rFonts w:ascii="Arial" w:hAnsi="Arial"/>
          <w:sz w:val="18"/>
          <w:szCs w:val="20"/>
        </w:rPr>
        <w:noBreakHyphen/>
        <w:t>represented in some jurisdictions.</w:t>
      </w:r>
    </w:p>
    <w:p w:rsidR="00ED1F77" w:rsidRPr="003F7D48" w:rsidRDefault="00ED1F77" w:rsidP="00ED1F77">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ABS (2013) </w:t>
      </w:r>
      <w:r w:rsidRPr="003F7D48">
        <w:rPr>
          <w:rFonts w:ascii="Arial" w:hAnsi="Arial"/>
          <w:i/>
          <w:sz w:val="18"/>
          <w:szCs w:val="20"/>
        </w:rPr>
        <w:t>Schools Australia 2012</w:t>
      </w:r>
      <w:r w:rsidRPr="003F7D48">
        <w:rPr>
          <w:rFonts w:ascii="Arial" w:hAnsi="Arial"/>
          <w:sz w:val="18"/>
          <w:szCs w:val="20"/>
        </w:rPr>
        <w:t xml:space="preserve">, Cat. no. 4221.0; tables 4A.123–125; 2014 Report, figure 4.14, </w:t>
      </w:r>
      <w:r w:rsidRPr="003F7D48">
        <w:rPr>
          <w:rFonts w:ascii="Arial" w:hAnsi="Arial"/>
          <w:sz w:val="18"/>
          <w:szCs w:val="20"/>
        </w:rPr>
        <w:br/>
        <w:t>p. 4.31.</w:t>
      </w:r>
    </w:p>
    <w:bookmarkEnd w:id="63"/>
    <w:bookmarkEnd w:id="64"/>
    <w:bookmarkEnd w:id="65"/>
    <w:p w:rsidR="00ED1F77" w:rsidRPr="003F7D48" w:rsidRDefault="00ED1F77" w:rsidP="00ED1F77">
      <w:pPr>
        <w:spacing w:before="240" w:line="320" w:lineRule="atLeast"/>
        <w:jc w:val="both"/>
        <w:rPr>
          <w:szCs w:val="20"/>
        </w:rPr>
      </w:pPr>
      <w:r w:rsidRPr="003F7D48">
        <w:rPr>
          <w:szCs w:val="20"/>
        </w:rPr>
        <w:t xml:space="preserve">Nationally, apparent rates of retention for all full time students from year 10 to </w:t>
      </w:r>
      <w:r w:rsidRPr="003F7D48">
        <w:rPr>
          <w:szCs w:val="20"/>
        </w:rPr>
        <w:br/>
        <w:t xml:space="preserve">year 12 rose slightly from 77.2 per cent in 2004 to 79.3 per cent in 2012 </w:t>
      </w:r>
      <w:r w:rsidR="008519FD" w:rsidRPr="003F7D48">
        <w:rPr>
          <w:szCs w:val="20"/>
        </w:rPr>
        <w:br/>
      </w:r>
      <w:r w:rsidRPr="003F7D48">
        <w:rPr>
          <w:szCs w:val="20"/>
        </w:rPr>
        <w:t>(2014 Report, figure 4.15). Data for intervening years and by</w:t>
      </w:r>
      <w:r w:rsidR="008519FD" w:rsidRPr="003F7D48">
        <w:rPr>
          <w:szCs w:val="20"/>
        </w:rPr>
        <w:t xml:space="preserve"> Indigenous status are in </w:t>
      </w:r>
      <w:r w:rsidRPr="003F7D48">
        <w:rPr>
          <w:szCs w:val="20"/>
        </w:rPr>
        <w:t>table 4A.123. Data for government schools and non-government schools are in tables 4A.124 and 4A.125.</w:t>
      </w:r>
    </w:p>
    <w:p w:rsidR="00ED1F77" w:rsidRPr="003F7D48" w:rsidRDefault="00ED1F77" w:rsidP="00ED1F77">
      <w:pPr>
        <w:keepNext/>
        <w:spacing w:before="560" w:line="320" w:lineRule="exact"/>
        <w:outlineLvl w:val="2"/>
        <w:rPr>
          <w:rFonts w:ascii="Arial" w:hAnsi="Arial"/>
          <w:b/>
        </w:rPr>
      </w:pPr>
      <w:bookmarkStart w:id="69" w:name="_Toc379459337"/>
      <w:bookmarkStart w:id="70" w:name="_Toc379459448"/>
      <w:bookmarkStart w:id="71" w:name="_Toc382471405"/>
      <w:bookmarkStart w:id="72" w:name="_Toc383520568"/>
      <w:r w:rsidRPr="003F7D48">
        <w:rPr>
          <w:rFonts w:ascii="Arial" w:hAnsi="Arial"/>
          <w:b/>
        </w:rPr>
        <w:t>Outcomes</w:t>
      </w:r>
      <w:bookmarkEnd w:id="69"/>
      <w:bookmarkEnd w:id="70"/>
      <w:bookmarkEnd w:id="71"/>
      <w:bookmarkEnd w:id="72"/>
    </w:p>
    <w:p w:rsidR="00ED1F77" w:rsidRPr="003F7D48" w:rsidRDefault="00ED1F77" w:rsidP="00ED1F77">
      <w:pPr>
        <w:spacing w:before="240" w:line="320" w:lineRule="atLeast"/>
        <w:jc w:val="both"/>
        <w:rPr>
          <w:szCs w:val="20"/>
        </w:rPr>
      </w:pPr>
      <w:r w:rsidRPr="003F7D48">
        <w:rPr>
          <w:szCs w:val="20"/>
        </w:rPr>
        <w:t>Outcomes are the impact of services on the status of an individual or group (while outputs are the actual services delivered) (see 2014 Report, chapter 1, section 1.5).</w:t>
      </w:r>
    </w:p>
    <w:p w:rsidR="00ED1F77" w:rsidRPr="003F7D48" w:rsidRDefault="00ED1F77" w:rsidP="00ED1F77">
      <w:pPr>
        <w:keepNext/>
        <w:spacing w:before="480" w:line="320" w:lineRule="exact"/>
        <w:outlineLvl w:val="3"/>
        <w:rPr>
          <w:rFonts w:ascii="Arial" w:hAnsi="Arial"/>
          <w:i/>
          <w:sz w:val="24"/>
        </w:rPr>
      </w:pPr>
      <w:bookmarkStart w:id="73" w:name="_Toc379459338"/>
      <w:bookmarkStart w:id="74" w:name="_Toc379459449"/>
      <w:bookmarkStart w:id="75" w:name="_Toc382471406"/>
      <w:bookmarkStart w:id="76" w:name="_Toc383520569"/>
      <w:r w:rsidRPr="003F7D48">
        <w:rPr>
          <w:rFonts w:ascii="Arial" w:hAnsi="Arial"/>
          <w:i/>
          <w:sz w:val="24"/>
        </w:rPr>
        <w:t>Nationally comparable learning outcomes</w:t>
      </w:r>
      <w:bookmarkEnd w:id="73"/>
      <w:bookmarkEnd w:id="74"/>
      <w:bookmarkEnd w:id="75"/>
      <w:bookmarkEnd w:id="76"/>
    </w:p>
    <w:p w:rsidR="00ED1F77" w:rsidRPr="003F7D48" w:rsidRDefault="00ED1F77" w:rsidP="00ED1F77">
      <w:pPr>
        <w:spacing w:before="240" w:line="320" w:lineRule="atLeast"/>
        <w:jc w:val="both"/>
        <w:rPr>
          <w:szCs w:val="20"/>
        </w:rPr>
      </w:pPr>
      <w:r w:rsidRPr="003F7D48">
        <w:rPr>
          <w:szCs w:val="20"/>
        </w:rPr>
        <w:t>Learning outcomes measure students’ attainment of a range of skills, in literacy and numeracy, and in areas such as science literacy, information and communication technology, and civics and citizenship.</w:t>
      </w:r>
    </w:p>
    <w:p w:rsidR="00ED1F77" w:rsidRPr="003F7D48" w:rsidRDefault="00ED1F77" w:rsidP="00ED1F77">
      <w:pPr>
        <w:spacing w:before="240" w:line="320" w:lineRule="atLeast"/>
        <w:jc w:val="both"/>
        <w:rPr>
          <w:szCs w:val="20"/>
        </w:rPr>
      </w:pPr>
      <w:r w:rsidRPr="003F7D48">
        <w:rPr>
          <w:szCs w:val="20"/>
        </w:rPr>
        <w:lastRenderedPageBreak/>
        <w:t>The ‘learning outcomes’ indicator examines outcomes in these areas and draws on two main sources of information:</w:t>
      </w:r>
    </w:p>
    <w:p w:rsidR="00ED1F77" w:rsidRPr="003F7D48" w:rsidRDefault="00ED1F77" w:rsidP="00ED1F77">
      <w:pPr>
        <w:pStyle w:val="ListBullet"/>
        <w:numPr>
          <w:ilvl w:val="0"/>
          <w:numId w:val="3"/>
        </w:numPr>
      </w:pPr>
      <w:r w:rsidRPr="003F7D48">
        <w:t xml:space="preserve">the National Assessment Program </w:t>
      </w:r>
      <w:r w:rsidR="00581AAA" w:rsidRPr="003F7D48">
        <w:t>—</w:t>
      </w:r>
      <w:r w:rsidRPr="003F7D48">
        <w:t xml:space="preserve"> Literacy and Numeracy (NAPLAN), and NAP sample assessments. These are SCSEEC</w:t>
      </w:r>
      <w:r w:rsidRPr="003F7D48">
        <w:noBreakHyphen/>
        <w:t>endorsed tests developed to measure student performance in relation to the National Goals for Schooling</w:t>
      </w:r>
    </w:p>
    <w:p w:rsidR="00ED1F77" w:rsidRPr="003F7D48" w:rsidRDefault="00ED1F77" w:rsidP="00ED1F77">
      <w:pPr>
        <w:pStyle w:val="ListBullet"/>
        <w:numPr>
          <w:ilvl w:val="0"/>
          <w:numId w:val="3"/>
        </w:numPr>
        <w:rPr>
          <w:i/>
          <w:szCs w:val="24"/>
        </w:rPr>
      </w:pPr>
      <w:r w:rsidRPr="003F7D48">
        <w:t>Australia’s participation in three international tests — the Organisation for Economic Co-operation and Development (OECD) Programme for International Student Assessment (PISA); the Trends in International Mathematics and Science Study (TIMSS); and the Progress in International Reading Literacy Study (PIRLS)</w:t>
      </w:r>
      <w:r w:rsidRPr="003F7D48">
        <w:rPr>
          <w:szCs w:val="24"/>
        </w:rPr>
        <w:t>.</w:t>
      </w:r>
    </w:p>
    <w:p w:rsidR="00ED1F77" w:rsidRPr="003F7D48" w:rsidRDefault="008519FD" w:rsidP="00ED1F77">
      <w:pPr>
        <w:keepNext/>
        <w:spacing w:before="480" w:line="320" w:lineRule="exact"/>
        <w:outlineLvl w:val="4"/>
        <w:rPr>
          <w:i/>
        </w:rPr>
      </w:pPr>
      <w:r w:rsidRPr="003F7D48">
        <w:rPr>
          <w:i/>
        </w:rPr>
        <w:t>National Assessment Program</w:t>
      </w:r>
    </w:p>
    <w:p w:rsidR="00ED1F77" w:rsidRPr="003F7D48" w:rsidRDefault="00ED1F77" w:rsidP="00ED1F77">
      <w:pPr>
        <w:spacing w:before="240" w:line="320" w:lineRule="atLeast"/>
        <w:jc w:val="both"/>
        <w:rPr>
          <w:szCs w:val="20"/>
        </w:rPr>
      </w:pPr>
      <w:r w:rsidRPr="003F7D48">
        <w:rPr>
          <w:szCs w:val="20"/>
        </w:rPr>
        <w:t xml:space="preserve">This chapter reports proportions of students undertaking NAPLAN testing in </w:t>
      </w:r>
      <w:r w:rsidRPr="003F7D48">
        <w:rPr>
          <w:szCs w:val="20"/>
        </w:rPr>
        <w:br/>
        <w:t>years 3, 5, 7 and 9 achieving the national minimum standard, and mean scale score learning outcomes, for reading, persuasive writing and numeracy performance in 2012, including by Indigenous status and geolocation. Data comparing a range of outcomes from 2008 to 2012 and 2011 to 2012 for reading and numeracy and from 2011 to 2012 for persuasive writing ar</w:t>
      </w:r>
      <w:r w:rsidR="000163AB" w:rsidRPr="003F7D48">
        <w:rPr>
          <w:szCs w:val="20"/>
        </w:rPr>
        <w:t>e also included in the chapter.</w:t>
      </w:r>
    </w:p>
    <w:p w:rsidR="00ED1F77" w:rsidRPr="003F7D48" w:rsidRDefault="00ED1F77" w:rsidP="00ED1F77">
      <w:pPr>
        <w:spacing w:before="240" w:line="320" w:lineRule="atLeast"/>
        <w:jc w:val="both"/>
        <w:rPr>
          <w:szCs w:val="20"/>
        </w:rPr>
      </w:pPr>
      <w:r w:rsidRPr="003F7D48">
        <w:rPr>
          <w:szCs w:val="20"/>
        </w:rPr>
        <w:t>Achieving (but not exceeding) the national minimum standard represents achievement of the basic elements of literacy or numeracy for the year level. Students who have not achieved the national minimum standard for that year need focused intervention and additional support to help them achieve the skills they require to progress in schooling (ACARA 201</w:t>
      </w:r>
      <w:r w:rsidR="008519FD" w:rsidRPr="003F7D48">
        <w:rPr>
          <w:szCs w:val="20"/>
        </w:rPr>
        <w:t>2</w:t>
      </w:r>
      <w:r w:rsidRPr="003F7D48">
        <w:rPr>
          <w:szCs w:val="20"/>
        </w:rPr>
        <w:t>). The chapter and attachment tables also include additional data on NAP</w:t>
      </w:r>
      <w:r w:rsidR="000163AB" w:rsidRPr="003F7D48">
        <w:rPr>
          <w:szCs w:val="20"/>
        </w:rPr>
        <w:t>LAN mean scale scores for 2012.</w:t>
      </w:r>
    </w:p>
    <w:p w:rsidR="00ED1F77" w:rsidRPr="003F7D48" w:rsidRDefault="00ED1F77" w:rsidP="00ED1F77">
      <w:pPr>
        <w:spacing w:before="240" w:line="320" w:lineRule="atLeast"/>
        <w:jc w:val="both"/>
        <w:rPr>
          <w:szCs w:val="20"/>
        </w:rPr>
      </w:pPr>
      <w:r w:rsidRPr="003F7D48">
        <w:rPr>
          <w:szCs w:val="20"/>
        </w:rPr>
        <w:t>Detailed NAPLAN data for 2012, including outcomes by socio-economic status, are included in the attachment tables (</w:t>
      </w:r>
      <w:r w:rsidR="00CE6BA1" w:rsidRPr="003F7D48">
        <w:rPr>
          <w:szCs w:val="20"/>
        </w:rPr>
        <w:t xml:space="preserve">tables 4A.36–37, 4A.39–40 and </w:t>
      </w:r>
      <w:r w:rsidR="000163AB" w:rsidRPr="003F7D48">
        <w:rPr>
          <w:szCs w:val="20"/>
        </w:rPr>
        <w:br/>
      </w:r>
      <w:r w:rsidR="00CE6BA1" w:rsidRPr="003F7D48">
        <w:rPr>
          <w:szCs w:val="20"/>
        </w:rPr>
        <w:t xml:space="preserve">4A.42–43, </w:t>
      </w:r>
      <w:r w:rsidRPr="003F7D48">
        <w:rPr>
          <w:szCs w:val="20"/>
        </w:rPr>
        <w:t>2014 Report, tables 4A.</w:t>
      </w:r>
      <w:r w:rsidR="00CE6BA1" w:rsidRPr="003F7D48">
        <w:rPr>
          <w:szCs w:val="20"/>
        </w:rPr>
        <w:t xml:space="preserve">38 and </w:t>
      </w:r>
      <w:r w:rsidR="00581AAA" w:rsidRPr="003F7D48">
        <w:rPr>
          <w:szCs w:val="20"/>
        </w:rPr>
        <w:t>4A.</w:t>
      </w:r>
      <w:r w:rsidR="00CE6BA1" w:rsidRPr="003F7D48">
        <w:rPr>
          <w:szCs w:val="20"/>
        </w:rPr>
        <w:t xml:space="preserve">41 </w:t>
      </w:r>
      <w:r w:rsidRPr="003F7D48">
        <w:rPr>
          <w:szCs w:val="20"/>
        </w:rPr>
        <w:t xml:space="preserve">for reading performance, </w:t>
      </w:r>
      <w:r w:rsidR="000163AB" w:rsidRPr="003F7D48">
        <w:rPr>
          <w:szCs w:val="20"/>
        </w:rPr>
        <w:br/>
      </w:r>
      <w:r w:rsidR="00CE6BA1" w:rsidRPr="003F7D48">
        <w:rPr>
          <w:szCs w:val="20"/>
        </w:rPr>
        <w:t>tables 4A.54–55, 4A.57–58 and 4A.60–61,</w:t>
      </w:r>
      <w:r w:rsidR="000163AB" w:rsidRPr="003F7D48">
        <w:rPr>
          <w:szCs w:val="20"/>
        </w:rPr>
        <w:t xml:space="preserve"> </w:t>
      </w:r>
      <w:r w:rsidRPr="003F7D48">
        <w:rPr>
          <w:szCs w:val="20"/>
        </w:rPr>
        <w:t xml:space="preserve">2014 </w:t>
      </w:r>
      <w:r w:rsidR="00CE6BA1" w:rsidRPr="003F7D48">
        <w:rPr>
          <w:szCs w:val="20"/>
        </w:rPr>
        <w:t>Report</w:t>
      </w:r>
      <w:r w:rsidRPr="003F7D48">
        <w:rPr>
          <w:szCs w:val="20"/>
        </w:rPr>
        <w:t>, tables 4A.</w:t>
      </w:r>
      <w:r w:rsidR="00CE6BA1" w:rsidRPr="003F7D48">
        <w:rPr>
          <w:szCs w:val="20"/>
        </w:rPr>
        <w:t>56 and</w:t>
      </w:r>
      <w:r w:rsidR="008B6F1F" w:rsidRPr="003F7D48">
        <w:rPr>
          <w:szCs w:val="20"/>
        </w:rPr>
        <w:t xml:space="preserve"> </w:t>
      </w:r>
      <w:r w:rsidR="00581AAA" w:rsidRPr="003F7D48">
        <w:rPr>
          <w:szCs w:val="20"/>
        </w:rPr>
        <w:t>4A.</w:t>
      </w:r>
      <w:r w:rsidR="00CE6BA1" w:rsidRPr="003F7D48">
        <w:rPr>
          <w:szCs w:val="20"/>
        </w:rPr>
        <w:t xml:space="preserve">59 </w:t>
      </w:r>
      <w:r w:rsidRPr="003F7D48">
        <w:rPr>
          <w:szCs w:val="20"/>
        </w:rPr>
        <w:t xml:space="preserve">for persuasive writing performance and </w:t>
      </w:r>
      <w:r w:rsidR="00CE6BA1" w:rsidRPr="003F7D48">
        <w:rPr>
          <w:szCs w:val="20"/>
        </w:rPr>
        <w:t xml:space="preserve">tables 4A.71–72, 4A.74–75 and 4A.77–78 and </w:t>
      </w:r>
      <w:r w:rsidRPr="003F7D48">
        <w:rPr>
          <w:szCs w:val="20"/>
        </w:rPr>
        <w:t>2014 Report, tables 4A.</w:t>
      </w:r>
      <w:r w:rsidR="00CE6BA1" w:rsidRPr="003F7D48">
        <w:rPr>
          <w:szCs w:val="20"/>
        </w:rPr>
        <w:t>73 and</w:t>
      </w:r>
      <w:r w:rsidR="008B6F1F" w:rsidRPr="003F7D48">
        <w:rPr>
          <w:szCs w:val="20"/>
        </w:rPr>
        <w:t xml:space="preserve"> </w:t>
      </w:r>
      <w:r w:rsidR="00581AAA" w:rsidRPr="003F7D48">
        <w:rPr>
          <w:szCs w:val="20"/>
        </w:rPr>
        <w:t>4A.</w:t>
      </w:r>
      <w:r w:rsidR="00CE6BA1" w:rsidRPr="003F7D48">
        <w:rPr>
          <w:szCs w:val="20"/>
        </w:rPr>
        <w:t xml:space="preserve">76 </w:t>
      </w:r>
      <w:r w:rsidRPr="003F7D48">
        <w:rPr>
          <w:szCs w:val="20"/>
        </w:rPr>
        <w:t>for numeracy performance). More detailed NAPLAN time series data for 2008–2011 and 2011–2012 are included in tables 4A.44–52 for reading performance and tables 4A.79–87 for numeracy performance. Time series data for 2011–2012 for persuasive</w:t>
      </w:r>
      <w:r w:rsidR="008B6F1F" w:rsidRPr="003F7D48">
        <w:rPr>
          <w:szCs w:val="20"/>
        </w:rPr>
        <w:t xml:space="preserve"> writing are included in </w:t>
      </w:r>
      <w:r w:rsidR="00245C09" w:rsidRPr="003F7D48">
        <w:rPr>
          <w:szCs w:val="20"/>
        </w:rPr>
        <w:br/>
        <w:t xml:space="preserve">tables </w:t>
      </w:r>
      <w:r w:rsidRPr="003F7D48">
        <w:rPr>
          <w:szCs w:val="20"/>
        </w:rPr>
        <w:t>4A.62–70. In 2011, NAPLAN writing testing changed from narrative to persuasive writing, leading to a break in the time series. Data for narrative writing (for 2008, 2009 and 2010) are included in the 2010–2012 Reports.</w:t>
      </w:r>
    </w:p>
    <w:p w:rsidR="00C11272" w:rsidRPr="003F7D48" w:rsidRDefault="00C11272" w:rsidP="00C11272">
      <w:pPr>
        <w:spacing w:before="240" w:line="320" w:lineRule="atLeast"/>
        <w:jc w:val="both"/>
        <w:rPr>
          <w:szCs w:val="20"/>
        </w:rPr>
      </w:pPr>
      <w:r w:rsidRPr="003F7D48">
        <w:rPr>
          <w:szCs w:val="20"/>
        </w:rPr>
        <w:lastRenderedPageBreak/>
        <w:t>The NAP also undertakes triennial national sample assessments on a rotating basis. This chapter reports year 6 science literacy performance data for 2006, 2009 and 2012 (2012 data are available for the first time in this Report). The attachment tables include additional data on science literacy performance for 2006, 2009 and 2012 (</w:t>
      </w:r>
      <w:r w:rsidR="00CE6BA1" w:rsidRPr="003F7D48">
        <w:rPr>
          <w:szCs w:val="20"/>
        </w:rPr>
        <w:t xml:space="preserve">table 4A.91 and </w:t>
      </w:r>
      <w:r w:rsidRPr="003F7D48">
        <w:rPr>
          <w:szCs w:val="20"/>
        </w:rPr>
        <w:t>2014 Report, tables 4A.89–</w:t>
      </w:r>
      <w:r w:rsidR="00CE6BA1" w:rsidRPr="003F7D48">
        <w:rPr>
          <w:szCs w:val="20"/>
        </w:rPr>
        <w:t>90</w:t>
      </w:r>
      <w:r w:rsidRPr="003F7D48">
        <w:rPr>
          <w:szCs w:val="20"/>
        </w:rPr>
        <w:t>); year 6 and year 10 civics and citizenship literacy performance for 2004, 2007 and 2010 (</w:t>
      </w:r>
      <w:r w:rsidR="00CE6BA1" w:rsidRPr="003F7D48">
        <w:rPr>
          <w:szCs w:val="20"/>
        </w:rPr>
        <w:t xml:space="preserve">table 4A.92 and </w:t>
      </w:r>
      <w:r w:rsidR="00245C09" w:rsidRPr="003F7D48">
        <w:rPr>
          <w:szCs w:val="20"/>
        </w:rPr>
        <w:br/>
      </w:r>
      <w:r w:rsidR="00414709" w:rsidRPr="003F7D48">
        <w:rPr>
          <w:szCs w:val="20"/>
        </w:rPr>
        <w:t>2014</w:t>
      </w:r>
      <w:r w:rsidR="00245C09" w:rsidRPr="003F7D48">
        <w:rPr>
          <w:szCs w:val="20"/>
        </w:rPr>
        <w:t xml:space="preserve"> </w:t>
      </w:r>
      <w:r w:rsidR="00CE6BA1" w:rsidRPr="003F7D48">
        <w:rPr>
          <w:szCs w:val="20"/>
        </w:rPr>
        <w:t>Report</w:t>
      </w:r>
      <w:r w:rsidRPr="003F7D48">
        <w:rPr>
          <w:szCs w:val="20"/>
        </w:rPr>
        <w:t>, tables 4A.</w:t>
      </w:r>
      <w:r w:rsidR="00CE6BA1" w:rsidRPr="003F7D48">
        <w:rPr>
          <w:szCs w:val="20"/>
        </w:rPr>
        <w:t>93</w:t>
      </w:r>
      <w:r w:rsidRPr="003F7D48">
        <w:rPr>
          <w:szCs w:val="20"/>
        </w:rPr>
        <w:t xml:space="preserve">–94) and year 6 and year 10 information and communication technologies literacy performance for 2005, 2008 and 2011 </w:t>
      </w:r>
      <w:r w:rsidR="000163AB" w:rsidRPr="003F7D48">
        <w:rPr>
          <w:szCs w:val="20"/>
        </w:rPr>
        <w:br/>
      </w:r>
      <w:r w:rsidRPr="003F7D48">
        <w:rPr>
          <w:szCs w:val="20"/>
        </w:rPr>
        <w:t>(</w:t>
      </w:r>
      <w:r w:rsidR="00CE6BA1" w:rsidRPr="003F7D48">
        <w:rPr>
          <w:szCs w:val="20"/>
        </w:rPr>
        <w:t xml:space="preserve">table 4A.96 and </w:t>
      </w:r>
      <w:r w:rsidRPr="003F7D48">
        <w:rPr>
          <w:szCs w:val="20"/>
        </w:rPr>
        <w:t xml:space="preserve">2014 </w:t>
      </w:r>
      <w:r w:rsidR="00CE6BA1" w:rsidRPr="003F7D48">
        <w:rPr>
          <w:szCs w:val="20"/>
        </w:rPr>
        <w:t>Report</w:t>
      </w:r>
      <w:r w:rsidRPr="003F7D48">
        <w:rPr>
          <w:szCs w:val="20"/>
        </w:rPr>
        <w:t>, table 4A.95).</w:t>
      </w:r>
    </w:p>
    <w:p w:rsidR="00C11272" w:rsidRPr="003F7D48" w:rsidRDefault="00C11272" w:rsidP="00C11272">
      <w:pPr>
        <w:spacing w:before="240" w:line="320" w:lineRule="atLeast"/>
        <w:jc w:val="both"/>
        <w:rPr>
          <w:i/>
          <w:szCs w:val="20"/>
        </w:rPr>
      </w:pPr>
      <w:r w:rsidRPr="003F7D48">
        <w:rPr>
          <w:i/>
          <w:szCs w:val="20"/>
        </w:rPr>
        <w:t>International tests</w:t>
      </w:r>
    </w:p>
    <w:p w:rsidR="00C11272" w:rsidRPr="003F7D48" w:rsidRDefault="00C11272" w:rsidP="00C11272">
      <w:pPr>
        <w:spacing w:before="240" w:line="320" w:lineRule="atLeast"/>
        <w:jc w:val="both"/>
        <w:rPr>
          <w:szCs w:val="20"/>
        </w:rPr>
      </w:pPr>
      <w:r w:rsidRPr="003F7D48">
        <w:rPr>
          <w:szCs w:val="20"/>
        </w:rPr>
        <w:t>This chapter reports outcomes of:</w:t>
      </w:r>
    </w:p>
    <w:p w:rsidR="00C11272" w:rsidRPr="003F7D48" w:rsidRDefault="00C11272" w:rsidP="00C11272">
      <w:pPr>
        <w:pStyle w:val="ListBullet"/>
        <w:numPr>
          <w:ilvl w:val="0"/>
          <w:numId w:val="3"/>
        </w:numPr>
      </w:pPr>
      <w:r w:rsidRPr="003F7D48">
        <w:t xml:space="preserve">triennial PISA assessments in reading literacy, mathematical literacy and scientific literacy </w:t>
      </w:r>
      <w:r w:rsidRPr="003F7D48">
        <w:rPr>
          <w:shd w:val="clear" w:color="auto" w:fill="FFFFFF" w:themeFill="background1"/>
        </w:rPr>
        <w:t>for 15 year old students</w:t>
      </w:r>
      <w:r w:rsidRPr="003F7D48">
        <w:t xml:space="preserve">. </w:t>
      </w:r>
      <w:r w:rsidRPr="003F7D48">
        <w:rPr>
          <w:shd w:val="clear" w:color="auto" w:fill="FFFFFF" w:themeFill="background1"/>
        </w:rPr>
        <w:t>Data from the 2012 assessments are included for the first time in this Report, as well as data from 2000, 2003, 2006 and 2009</w:t>
      </w:r>
      <w:r w:rsidRPr="003F7D48">
        <w:t xml:space="preserve"> (</w:t>
      </w:r>
      <w:r w:rsidR="00CE6BA1" w:rsidRPr="003F7D48">
        <w:t xml:space="preserve">tables 4A.98, 4A.102 and 4A.106 and </w:t>
      </w:r>
      <w:r w:rsidRPr="003F7D48">
        <w:t>2014 Report, tables 4A.97</w:t>
      </w:r>
      <w:r w:rsidR="00CE6BA1" w:rsidRPr="003F7D48">
        <w:t>, tables 4A.99–101, tables 4A.103–105 and tables 4A.107</w:t>
      </w:r>
      <w:r w:rsidRPr="003F7D48">
        <w:t>–109)</w:t>
      </w:r>
    </w:p>
    <w:p w:rsidR="00C11272" w:rsidRPr="003F7D48" w:rsidRDefault="00C11272" w:rsidP="00C11272">
      <w:pPr>
        <w:pStyle w:val="ListBullet"/>
        <w:numPr>
          <w:ilvl w:val="0"/>
          <w:numId w:val="3"/>
        </w:numPr>
      </w:pPr>
      <w:r w:rsidRPr="003F7D48">
        <w:t xml:space="preserve">the four-yearly TIMSS </w:t>
      </w:r>
      <w:r w:rsidRPr="003F7D48">
        <w:rPr>
          <w:shd w:val="clear" w:color="auto" w:fill="FFFFFF" w:themeFill="background1"/>
        </w:rPr>
        <w:t>assessments on mathematics and science achievement for year 4 and year 8. The attachment tables include additional information on the 2011 test, as well as data from 2003 and 2007 (</w:t>
      </w:r>
      <w:r w:rsidR="00CE6BA1" w:rsidRPr="003F7D48">
        <w:rPr>
          <w:shd w:val="clear" w:color="auto" w:fill="FFFFFF" w:themeFill="background1"/>
        </w:rPr>
        <w:t xml:space="preserve">table 4A.114 and </w:t>
      </w:r>
      <w:r w:rsidRPr="003F7D48">
        <w:rPr>
          <w:shd w:val="clear" w:color="auto" w:fill="FFFFFF" w:themeFill="background1"/>
        </w:rPr>
        <w:t xml:space="preserve">2014 Report, </w:t>
      </w:r>
      <w:r w:rsidR="00581AAA" w:rsidRPr="003F7D48">
        <w:rPr>
          <w:shd w:val="clear" w:color="auto" w:fill="FFFFFF" w:themeFill="background1"/>
        </w:rPr>
        <w:br/>
      </w:r>
      <w:r w:rsidRPr="003F7D48">
        <w:rPr>
          <w:shd w:val="clear" w:color="auto" w:fill="FFFFFF" w:themeFill="background1"/>
        </w:rPr>
        <w:t>tables</w:t>
      </w:r>
      <w:r w:rsidRPr="003F7D48">
        <w:t xml:space="preserve"> 4A.110–</w:t>
      </w:r>
      <w:r w:rsidR="00CE6BA1" w:rsidRPr="003F7D48">
        <w:t xml:space="preserve">113 and table </w:t>
      </w:r>
      <w:r w:rsidR="00581AAA" w:rsidRPr="003F7D48">
        <w:t>4A.</w:t>
      </w:r>
      <w:r w:rsidRPr="003F7D48">
        <w:t>115)</w:t>
      </w:r>
    </w:p>
    <w:p w:rsidR="00C11272" w:rsidRPr="003F7D48" w:rsidRDefault="00C11272" w:rsidP="00C11272">
      <w:pPr>
        <w:pStyle w:val="ListBullet"/>
        <w:numPr>
          <w:ilvl w:val="0"/>
          <w:numId w:val="3"/>
        </w:numPr>
      </w:pPr>
      <w:r w:rsidRPr="003F7D48">
        <w:t xml:space="preserve">the five-yearly PIRLS test for year 4, conducted in 2011, on reading </w:t>
      </w:r>
      <w:r w:rsidRPr="003F7D48">
        <w:rPr>
          <w:shd w:val="clear" w:color="auto" w:fill="FFFFFF" w:themeFill="background1"/>
        </w:rPr>
        <w:t>literacy</w:t>
      </w:r>
      <w:r w:rsidRPr="003F7D48">
        <w:rPr>
          <w:shd w:val="clear" w:color="auto" w:fill="FFFF00"/>
        </w:rPr>
        <w:t xml:space="preserve"> </w:t>
      </w:r>
      <w:r w:rsidRPr="003F7D48">
        <w:t xml:space="preserve">performance </w:t>
      </w:r>
      <w:r w:rsidR="008B6F1F" w:rsidRPr="003F7D48">
        <w:t>(2014 Report, tables 4A.116–</w:t>
      </w:r>
      <w:r w:rsidRPr="003F7D48">
        <w:t>117).</w:t>
      </w:r>
    </w:p>
    <w:p w:rsidR="00C11272" w:rsidRPr="003F7D48" w:rsidRDefault="00C11272" w:rsidP="00C11272">
      <w:pPr>
        <w:keepNext/>
        <w:spacing w:before="480" w:line="320" w:lineRule="exact"/>
        <w:outlineLvl w:val="4"/>
        <w:rPr>
          <w:i/>
        </w:rPr>
      </w:pPr>
      <w:r w:rsidRPr="003F7D48">
        <w:rPr>
          <w:i/>
        </w:rPr>
        <w:t>Interpreting learning outcomes data</w:t>
      </w:r>
    </w:p>
    <w:p w:rsidR="00C11272" w:rsidRPr="003F7D48" w:rsidRDefault="00C11272" w:rsidP="00C11272">
      <w:pPr>
        <w:spacing w:before="240" w:line="320" w:lineRule="atLeast"/>
        <w:jc w:val="both"/>
        <w:rPr>
          <w:szCs w:val="20"/>
        </w:rPr>
      </w:pPr>
      <w:r w:rsidRPr="003F7D48">
        <w:rPr>
          <w:szCs w:val="20"/>
        </w:rPr>
        <w:t xml:space="preserve">To assist with making comparisons between jurisdictions, where appropriate, </w:t>
      </w:r>
      <w:r w:rsidRPr="003F7D48">
        <w:rPr>
          <w:szCs w:val="20"/>
        </w:rPr>
        <w:br/>
        <w:t xml:space="preserve">95 per cent confidence intervals are presented in charts and attachment tables. Confidence intervals are a standard way of expressing the degree of uncertainty associated with survey estimates or performance measurement. An estimate of </w:t>
      </w:r>
      <w:r w:rsidRPr="003F7D48">
        <w:rPr>
          <w:szCs w:val="20"/>
        </w:rPr>
        <w:br/>
        <w:t xml:space="preserve">80 per cent with a confidence interval of ± 2.0, for example, means that if another sample had been drawn, or if another combination of test items had been used, there is a 95 per cent chance that the result would lie between 78 per cent and 82 per cent. Each learning outcomes proportion can be thought of in terms of a range. If one jurisdiction’s rate ranges from 78–82 per cent and another’s from 77–81 per cent, then it is not possible to say with confidence that one differs from the other (because there is unlikely to be a statistically significant difference). Where ranges do not overlap, there is a high likelihood that there is a statistically significant difference. A statistically significant difference means there is a high probability that there is an </w:t>
      </w:r>
      <w:r w:rsidRPr="003F7D48">
        <w:rPr>
          <w:szCs w:val="20"/>
        </w:rPr>
        <w:lastRenderedPageBreak/>
        <w:t>actual difference; it does not imply that the difference is necessarily large or important.</w:t>
      </w:r>
    </w:p>
    <w:p w:rsidR="00C11272" w:rsidRPr="003F7D48" w:rsidRDefault="00C11272" w:rsidP="00C11272">
      <w:pPr>
        <w:keepNext/>
        <w:spacing w:before="480" w:line="320" w:lineRule="exact"/>
        <w:outlineLvl w:val="4"/>
        <w:rPr>
          <w:i/>
        </w:rPr>
      </w:pPr>
      <w:r w:rsidRPr="003F7D48">
        <w:rPr>
          <w:i/>
        </w:rPr>
        <w:t>Participation in NAPLAN testing</w:t>
      </w:r>
    </w:p>
    <w:p w:rsidR="00C11272" w:rsidRPr="003F7D48" w:rsidRDefault="00C11272" w:rsidP="00C11272">
      <w:pPr>
        <w:spacing w:before="240" w:line="320" w:lineRule="atLeast"/>
        <w:jc w:val="both"/>
        <w:rPr>
          <w:szCs w:val="20"/>
        </w:rPr>
      </w:pPr>
      <w:r w:rsidRPr="003F7D48">
        <w:rPr>
          <w:szCs w:val="20"/>
        </w:rPr>
        <w:t xml:space="preserve">NAPLAN testing reports the number of assessed, exempt, absent and withdrawn students in years </w:t>
      </w:r>
      <w:bookmarkStart w:id="77" w:name="OLE_LINK22"/>
      <w:bookmarkStart w:id="78" w:name="OLE_LINK24"/>
      <w:r w:rsidRPr="003F7D48">
        <w:rPr>
          <w:szCs w:val="20"/>
        </w:rPr>
        <w:t xml:space="preserve">3, 5, 7 and 9. </w:t>
      </w:r>
      <w:bookmarkEnd w:id="77"/>
      <w:bookmarkEnd w:id="78"/>
      <w:r w:rsidRPr="003F7D48">
        <w:rPr>
          <w:szCs w:val="20"/>
        </w:rPr>
        <w:t>Assessed students include all students who attempt the test and exempt students. Students with a language background other than English who arrived from overseas less than a year before the test, and students with significant intellectual disabilities may be exempted from testing. Participating students are those who were assessed or deemed exempt — other students were either absent or withdrawn. A higher or increasing proportion of students participating in NAPLAN testing suggests an improvement in that aspect of educational participation. The proportion of assessed, exempt, absent and withdrawn students in years 3, 5, 7 and 9 for reading, persuasive writing and numeracy in 2012 are in tables 4A.43, 4A.61 and 4A.78 respectively. Participation in the 2012 NAPLAN tests, by Indigenous status, for reading, writing and numeracy are included in tables 4A.42, 4A.60 and 4A.77 respectively. In all domains and year levels, a lower proportion of Indigenous students than non-Indigenous or all students participated in NAPLAN testing.</w:t>
      </w:r>
    </w:p>
    <w:p w:rsidR="00C11272" w:rsidRPr="003F7D48" w:rsidRDefault="00C11272" w:rsidP="00245C09">
      <w:pPr>
        <w:pStyle w:val="Heading4"/>
      </w:pPr>
      <w:bookmarkStart w:id="79" w:name="_Toc383520570"/>
      <w:r w:rsidRPr="003F7D48">
        <w:t>Learning outcomes</w:t>
      </w:r>
      <w:bookmarkEnd w:id="79"/>
    </w:p>
    <w:p w:rsidR="00C11272" w:rsidRPr="003F7D48" w:rsidRDefault="00C11272" w:rsidP="00C11272">
      <w:pPr>
        <w:spacing w:before="240" w:line="320" w:lineRule="atLeast"/>
        <w:jc w:val="both"/>
        <w:rPr>
          <w:szCs w:val="20"/>
        </w:rPr>
      </w:pPr>
      <w:r w:rsidRPr="003F7D48">
        <w:rPr>
          <w:szCs w:val="20"/>
        </w:rPr>
        <w:t>‘Learning outcomes’ is an indicator of governments’ objective that all students should attain a range of skills, including: English literacy, such that every student should be able to read, write, spell and communicate at an appropriate level; skills in numeracy; and skills and becoming informed in areas such as science literacy, information and communications technologies and civics and citizenship (box 4.3).</w:t>
      </w:r>
    </w:p>
    <w:p w:rsidR="00C11272" w:rsidRPr="003F7D48" w:rsidRDefault="00C11272" w:rsidP="00C11272">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1272" w:rsidRPr="003F7D48" w:rsidTr="00C40DB1">
        <w:tc>
          <w:tcPr>
            <w:tcW w:w="8771" w:type="dxa"/>
            <w:tcBorders>
              <w:top w:val="single" w:sz="6" w:space="0" w:color="auto"/>
              <w:bottom w:val="nil"/>
            </w:tcBorders>
          </w:tcPr>
          <w:p w:rsidR="00C11272" w:rsidRPr="003F7D48" w:rsidRDefault="00C11272" w:rsidP="00C11272">
            <w:pPr>
              <w:pStyle w:val="BoxTitle"/>
            </w:pPr>
            <w:r w:rsidRPr="003F7D48">
              <w:rPr>
                <w:b w:val="0"/>
              </w:rPr>
              <w:t>Box 4.3</w:t>
            </w:r>
            <w:r w:rsidRPr="003F7D48">
              <w:tab/>
              <w:t>Learning outcomes</w:t>
            </w:r>
          </w:p>
        </w:tc>
      </w:tr>
      <w:tr w:rsidR="00C11272" w:rsidRPr="003F7D48" w:rsidTr="00C40DB1">
        <w:trPr>
          <w:cantSplit/>
        </w:trPr>
        <w:tc>
          <w:tcPr>
            <w:tcW w:w="8771" w:type="dxa"/>
            <w:tcBorders>
              <w:top w:val="nil"/>
              <w:left w:val="single" w:sz="6" w:space="0" w:color="auto"/>
              <w:bottom w:val="nil"/>
              <w:right w:val="single" w:sz="4" w:space="0" w:color="auto"/>
            </w:tcBorders>
            <w:shd w:val="clear" w:color="auto" w:fill="FFFFFF" w:themeFill="background1"/>
          </w:tcPr>
          <w:p w:rsidR="00C11272" w:rsidRPr="003F7D48" w:rsidRDefault="00C11272" w:rsidP="00C40DB1">
            <w:pPr>
              <w:keepNext/>
              <w:spacing w:before="120" w:line="280" w:lineRule="atLeast"/>
              <w:jc w:val="both"/>
              <w:rPr>
                <w:rFonts w:ascii="Arial" w:hAnsi="Arial"/>
                <w:sz w:val="22"/>
                <w:szCs w:val="20"/>
              </w:rPr>
            </w:pPr>
            <w:r w:rsidRPr="003F7D48">
              <w:rPr>
                <w:rFonts w:ascii="Arial" w:hAnsi="Arial"/>
                <w:sz w:val="22"/>
                <w:szCs w:val="20"/>
              </w:rPr>
              <w:t>‘Learning outcomes’ is defined by six measures:</w:t>
            </w:r>
          </w:p>
          <w:p w:rsidR="00C11272" w:rsidRPr="003F7D48" w:rsidRDefault="00C11272" w:rsidP="00C11272">
            <w:pPr>
              <w:pStyle w:val="BoxListBullet"/>
              <w:numPr>
                <w:ilvl w:val="0"/>
                <w:numId w:val="18"/>
              </w:numPr>
              <w:shd w:val="clear" w:color="auto" w:fill="FFFFFF" w:themeFill="background1"/>
            </w:pPr>
            <w:bookmarkStart w:id="80" w:name="OLE_LINK11"/>
            <w:bookmarkStart w:id="81" w:name="OLE_LINK40"/>
            <w:r w:rsidRPr="003F7D48">
              <w:t xml:space="preserve">the </w:t>
            </w:r>
            <w:r w:rsidRPr="003F7D48">
              <w:rPr>
                <w:shd w:val="clear" w:color="auto" w:fill="FFFFFF" w:themeFill="background1"/>
              </w:rPr>
              <w:t>proportion of years 3, 5, 7 and 9 students achieving at or above the national minimum standard in NAPLAN testing for reading</w:t>
            </w:r>
            <w:bookmarkEnd w:id="80"/>
            <w:bookmarkEnd w:id="81"/>
            <w:r w:rsidRPr="003F7D48">
              <w:rPr>
                <w:shd w:val="clear" w:color="auto" w:fill="FFFFFF" w:themeFill="background1"/>
              </w:rPr>
              <w:t>, persuasive writing and numeracy for a given year, reported by Indigenous status, sex, LBOTE, socio-economic status and MCEECDYA categories of</w:t>
            </w:r>
            <w:r w:rsidRPr="003F7D48">
              <w:t xml:space="preserve"> geolocation (section 4.1</w:t>
            </w:r>
            <w:r w:rsidR="00F91620" w:rsidRPr="003F7D48">
              <w:t xml:space="preserve"> in </w:t>
            </w:r>
            <w:r w:rsidRPr="003F7D48">
              <w:t xml:space="preserve">2014 Report identifies the profile of equity groups in each State and Territory). </w:t>
            </w:r>
          </w:p>
          <w:p w:rsidR="00C11272" w:rsidRPr="003F7D48" w:rsidRDefault="00C11272" w:rsidP="00C11272">
            <w:pPr>
              <w:pStyle w:val="BoxListBullet"/>
              <w:numPr>
                <w:ilvl w:val="0"/>
                <w:numId w:val="18"/>
              </w:numPr>
            </w:pPr>
            <w:r w:rsidRPr="003F7D48">
              <w:t>the mean scale score (on the common national scale for Years 3, 5, 7 and 9, ranging from 0 to 1000) achieved by years 3, 5, 7 and 9 students in NAPLAN assessment for reading, persuasive writing and numeracy for a given year, reported by Indigenous status. This Report also includes a time series for student ‘gain’ for the cohort (for example, between year 3 in 2010 and year 5 in 2012) based on the mean scale score outcomes for reading and numeracy.</w:t>
            </w:r>
          </w:p>
          <w:p w:rsidR="00C11272" w:rsidRPr="003F7D48" w:rsidRDefault="00C11272" w:rsidP="00C11272">
            <w:pPr>
              <w:keepNext/>
              <w:numPr>
                <w:ilvl w:val="0"/>
                <w:numId w:val="18"/>
              </w:numPr>
              <w:shd w:val="clear" w:color="auto" w:fill="FFFFFF" w:themeFill="background1"/>
              <w:spacing w:before="120" w:line="280" w:lineRule="atLeast"/>
              <w:jc w:val="both"/>
              <w:rPr>
                <w:rFonts w:ascii="Arial" w:hAnsi="Arial"/>
                <w:sz w:val="22"/>
                <w:szCs w:val="20"/>
                <w:shd w:val="clear" w:color="auto" w:fill="FFFF00"/>
              </w:rPr>
            </w:pPr>
            <w:r w:rsidRPr="003F7D48">
              <w:rPr>
                <w:rFonts w:ascii="Arial" w:hAnsi="Arial"/>
                <w:sz w:val="22"/>
                <w:szCs w:val="20"/>
              </w:rPr>
              <w:t xml:space="preserve">the proportion of sampled year 6 and year 10 students achieving at or above the proficient standard in civics and citizenship, information and communication technologies and science literacy (year 6 only). National data from the triennial National Assessment Program tests are reported by sex, Indigenous status, LBOTE status, </w:t>
            </w:r>
            <w:r w:rsidRPr="003F7D48">
              <w:rPr>
                <w:rFonts w:ascii="Arial" w:hAnsi="Arial"/>
                <w:sz w:val="22"/>
                <w:szCs w:val="20"/>
                <w:shd w:val="clear" w:color="auto" w:fill="FFFFFF" w:themeFill="background1"/>
              </w:rPr>
              <w:t>MCEECDYA categories of geolocation and socio-economic status</w:t>
            </w:r>
          </w:p>
          <w:p w:rsidR="00C11272" w:rsidRPr="003F7D48" w:rsidRDefault="00C11272" w:rsidP="00C11272">
            <w:pPr>
              <w:pStyle w:val="BoxListBullet"/>
              <w:numPr>
                <w:ilvl w:val="0"/>
                <w:numId w:val="18"/>
              </w:numPr>
              <w:shd w:val="clear" w:color="auto" w:fill="FFFFFF" w:themeFill="background1"/>
            </w:pPr>
            <w:r w:rsidRPr="003F7D48">
              <w:t xml:space="preserve">the </w:t>
            </w:r>
            <w:r w:rsidRPr="003F7D48">
              <w:rPr>
                <w:shd w:val="clear" w:color="auto" w:fill="FFFFFF" w:themeFill="background1"/>
              </w:rPr>
              <w:t>proportion of sampled 15 year old students achieving at or above the proficient standard on the OECD PISA combined reading, mathematical literacy and science literacy scales in a</w:t>
            </w:r>
            <w:r w:rsidRPr="003F7D48">
              <w:t xml:space="preserve"> triennial international assessment. National data are also reported by sex, Indigenous status, socio-economic status and geolocation.</w:t>
            </w:r>
          </w:p>
          <w:p w:rsidR="00C11272" w:rsidRPr="003F7D48" w:rsidRDefault="00C11272" w:rsidP="00C11272">
            <w:pPr>
              <w:pStyle w:val="BoxListBullet"/>
              <w:numPr>
                <w:ilvl w:val="0"/>
                <w:numId w:val="18"/>
              </w:numPr>
              <w:shd w:val="clear" w:color="auto" w:fill="FFFFFF" w:themeFill="background1"/>
            </w:pPr>
            <w:r w:rsidRPr="003F7D48">
              <w:t xml:space="preserve">the proportion of sampled </w:t>
            </w:r>
            <w:r w:rsidRPr="003F7D48">
              <w:rPr>
                <w:shd w:val="clear" w:color="auto" w:fill="FFFFFF" w:themeFill="background1"/>
              </w:rPr>
              <w:t>year 4</w:t>
            </w:r>
            <w:r w:rsidRPr="003F7D48">
              <w:t xml:space="preserve"> students achieving at or above the proficient standard on the </w:t>
            </w:r>
            <w:r w:rsidRPr="003F7D48">
              <w:rPr>
                <w:shd w:val="clear" w:color="auto" w:fill="FFFFFF" w:themeFill="background1"/>
              </w:rPr>
              <w:t>5 yearly</w:t>
            </w:r>
            <w:r w:rsidRPr="003F7D48">
              <w:t xml:space="preserve"> PIRLS reading literacy test. </w:t>
            </w:r>
            <w:r w:rsidRPr="003F7D48">
              <w:rPr>
                <w:shd w:val="clear" w:color="auto" w:fill="FFFFFF" w:themeFill="background1"/>
              </w:rPr>
              <w:t>National data are also reported by sex, Indigenous status and MCEECDYA categories of</w:t>
            </w:r>
            <w:r w:rsidRPr="003F7D48">
              <w:t xml:space="preserve"> geolocation</w:t>
            </w:r>
          </w:p>
          <w:p w:rsidR="00C11272" w:rsidRPr="003F7D48" w:rsidRDefault="00C11272" w:rsidP="00C11272">
            <w:pPr>
              <w:pStyle w:val="BoxListBullet"/>
              <w:numPr>
                <w:ilvl w:val="0"/>
                <w:numId w:val="18"/>
              </w:numPr>
              <w:shd w:val="clear" w:color="auto" w:fill="FFFFFF" w:themeFill="background1"/>
            </w:pPr>
            <w:r w:rsidRPr="003F7D48">
              <w:t xml:space="preserve">the </w:t>
            </w:r>
            <w:r w:rsidRPr="003F7D48">
              <w:rPr>
                <w:shd w:val="clear" w:color="auto" w:fill="FFFFFF" w:themeFill="background1"/>
              </w:rPr>
              <w:t>proportion of sampled students achieving at or above the proficient standard on the TIMSS mathematical literacy and science literacy scales in a quadrennial assessment (assessed year 4 and year 8 students who achieve at or above the proficient standard on the TIMSS mathematical literacy scale for a given year). National data are also reported by sex, Indigenous status and MCEECDYA categories of</w:t>
            </w:r>
            <w:r w:rsidRPr="003F7D48">
              <w:t xml:space="preserve"> geolocation</w:t>
            </w:r>
          </w:p>
          <w:p w:rsidR="00C11272" w:rsidRPr="003F7D48" w:rsidRDefault="00C11272" w:rsidP="00C40DB1">
            <w:pPr>
              <w:keepNext/>
              <w:shd w:val="clear" w:color="auto" w:fill="FFFFFF" w:themeFill="background1"/>
              <w:spacing w:before="120" w:line="280" w:lineRule="atLeast"/>
              <w:jc w:val="both"/>
              <w:rPr>
                <w:rFonts w:ascii="Arial" w:hAnsi="Arial"/>
                <w:sz w:val="22"/>
                <w:szCs w:val="20"/>
              </w:rPr>
            </w:pPr>
            <w:r w:rsidRPr="003F7D48">
              <w:rPr>
                <w:rFonts w:ascii="Arial" w:hAnsi="Arial"/>
                <w:sz w:val="22"/>
                <w:szCs w:val="20"/>
              </w:rPr>
              <w:t>A high or increasing proportion of students achieving at or above the national minimum standard or proficient standard, or a high or increasing mean scale score for learning outcomes is desirable.</w:t>
            </w:r>
          </w:p>
          <w:p w:rsidR="00C11272" w:rsidRPr="003F7D48" w:rsidRDefault="00C11272" w:rsidP="00C40DB1">
            <w:pPr>
              <w:pStyle w:val="Box"/>
            </w:pPr>
            <w:r w:rsidRPr="003F7D48">
              <w:t>Data reported for all</w:t>
            </w:r>
            <w:r w:rsidR="002B1211">
              <w:t xml:space="preserve"> measures in this indicator are:</w:t>
            </w:r>
          </w:p>
          <w:p w:rsidR="00C11272" w:rsidRPr="003F7D48" w:rsidRDefault="00C11272" w:rsidP="00C11272">
            <w:pPr>
              <w:pStyle w:val="BoxListBullet"/>
              <w:numPr>
                <w:ilvl w:val="0"/>
                <w:numId w:val="18"/>
              </w:numPr>
            </w:pPr>
            <w:r w:rsidRPr="003F7D48">
              <w:t>comparable (subject to caveats) across jurisdictions and over time</w:t>
            </w:r>
          </w:p>
          <w:p w:rsidR="00C11272" w:rsidRPr="003F7D48" w:rsidRDefault="00C11272" w:rsidP="00C11272">
            <w:pPr>
              <w:pStyle w:val="BoxListBullet"/>
              <w:numPr>
                <w:ilvl w:val="0"/>
                <w:numId w:val="18"/>
              </w:numPr>
            </w:pPr>
            <w:r w:rsidRPr="003F7D48">
              <w:t>complete for the current reporting period (subject to caveats). All required 2012 data are available for all jurisdictions providing the service.</w:t>
            </w:r>
          </w:p>
          <w:p w:rsidR="00C11272" w:rsidRPr="003F7D48" w:rsidRDefault="00C11272" w:rsidP="00C40DB1">
            <w:pPr>
              <w:pStyle w:val="Box"/>
            </w:pPr>
            <w:r w:rsidRPr="003F7D48">
              <w:t>Information about data quality for this indicator is at www.pc.gov.au/gsp/reports/rogs/2014.</w:t>
            </w:r>
          </w:p>
        </w:tc>
      </w:tr>
      <w:tr w:rsidR="00C11272" w:rsidRPr="003F7D48" w:rsidTr="00C40DB1">
        <w:trPr>
          <w:cantSplit/>
        </w:trPr>
        <w:tc>
          <w:tcPr>
            <w:tcW w:w="8771" w:type="dxa"/>
            <w:tcBorders>
              <w:top w:val="nil"/>
              <w:left w:val="single" w:sz="6" w:space="0" w:color="auto"/>
              <w:bottom w:val="single" w:sz="6" w:space="0" w:color="auto"/>
              <w:right w:val="single" w:sz="6" w:space="0" w:color="auto"/>
            </w:tcBorders>
          </w:tcPr>
          <w:p w:rsidR="00C11272" w:rsidRPr="003F7D48" w:rsidRDefault="00C11272" w:rsidP="00C40DB1">
            <w:pPr>
              <w:keepNext/>
              <w:spacing w:line="120" w:lineRule="exact"/>
              <w:jc w:val="both"/>
              <w:rPr>
                <w:rFonts w:ascii="Arial" w:hAnsi="Arial"/>
                <w:sz w:val="22"/>
                <w:szCs w:val="20"/>
              </w:rPr>
            </w:pPr>
          </w:p>
        </w:tc>
      </w:tr>
      <w:tr w:rsidR="00C11272" w:rsidRPr="003F7D48" w:rsidTr="00C40DB1">
        <w:tc>
          <w:tcPr>
            <w:tcW w:w="8771" w:type="dxa"/>
            <w:tcBorders>
              <w:top w:val="nil"/>
              <w:left w:val="nil"/>
              <w:bottom w:val="nil"/>
              <w:right w:val="nil"/>
            </w:tcBorders>
          </w:tcPr>
          <w:p w:rsidR="00C11272" w:rsidRPr="003F7D48" w:rsidRDefault="00C11272" w:rsidP="00C40DB1">
            <w:pPr>
              <w:spacing w:before="60" w:after="60" w:line="80" w:lineRule="exact"/>
              <w:jc w:val="both"/>
              <w:rPr>
                <w:rFonts w:ascii="Arial" w:hAnsi="Arial"/>
                <w:b/>
                <w:color w:val="FF00FF"/>
                <w:sz w:val="14"/>
                <w:szCs w:val="20"/>
              </w:rPr>
            </w:pPr>
          </w:p>
        </w:tc>
      </w:tr>
    </w:tbl>
    <w:p w:rsidR="00F91620" w:rsidRPr="003F7D48" w:rsidRDefault="00F91620" w:rsidP="00F91620">
      <w:pPr>
        <w:keepNext/>
        <w:spacing w:before="480" w:line="320" w:lineRule="exact"/>
        <w:outlineLvl w:val="4"/>
        <w:rPr>
          <w:b/>
          <w:i/>
        </w:rPr>
      </w:pPr>
      <w:r w:rsidRPr="003F7D48">
        <w:rPr>
          <w:b/>
          <w:i/>
        </w:rPr>
        <w:lastRenderedPageBreak/>
        <w:t>NAPLAN Reading</w:t>
      </w:r>
    </w:p>
    <w:p w:rsidR="00F91620" w:rsidRPr="003F7D48" w:rsidRDefault="00F91620" w:rsidP="00F91620">
      <w:pPr>
        <w:spacing w:before="240" w:line="320" w:lineRule="atLeast"/>
        <w:jc w:val="both"/>
        <w:rPr>
          <w:szCs w:val="20"/>
        </w:rPr>
      </w:pPr>
      <w:r w:rsidRPr="003F7D48">
        <w:rPr>
          <w:szCs w:val="20"/>
        </w:rPr>
        <w:t xml:space="preserve">This section of the learning outcomes indicator provides key outcomes for NAPLAN testing (years 3, 5, 7 and 9) in the reading domain. Indigenous outcomes are highlighted, but outcomes for a range of other equity groups including male, female, LBOTE, geolocation and socio-economic status (parental education and parental occupation) are included in </w:t>
      </w:r>
      <w:r w:rsidR="007D53C0" w:rsidRPr="003F7D48">
        <w:rPr>
          <w:szCs w:val="20"/>
        </w:rPr>
        <w:t>tables 4A.36–</w:t>
      </w:r>
      <w:r w:rsidR="008B6F1F" w:rsidRPr="003F7D48">
        <w:rPr>
          <w:szCs w:val="20"/>
        </w:rPr>
        <w:t>37, tables 4A.39–</w:t>
      </w:r>
      <w:r w:rsidR="007D53C0" w:rsidRPr="003F7D48">
        <w:rPr>
          <w:szCs w:val="20"/>
        </w:rPr>
        <w:t xml:space="preserve">40 and </w:t>
      </w:r>
      <w:r w:rsidR="008B6F1F" w:rsidRPr="003F7D48">
        <w:rPr>
          <w:szCs w:val="20"/>
        </w:rPr>
        <w:br/>
      </w:r>
      <w:r w:rsidR="007D53C0" w:rsidRPr="003F7D48">
        <w:rPr>
          <w:szCs w:val="20"/>
        </w:rPr>
        <w:t xml:space="preserve">tables 4A.42–53 and </w:t>
      </w:r>
      <w:r w:rsidRPr="003F7D48">
        <w:rPr>
          <w:szCs w:val="20"/>
        </w:rPr>
        <w:t>2014 Report, tables 4A.</w:t>
      </w:r>
      <w:r w:rsidR="007D53C0" w:rsidRPr="003F7D48">
        <w:rPr>
          <w:szCs w:val="20"/>
        </w:rPr>
        <w:t>38 and</w:t>
      </w:r>
      <w:r w:rsidR="008B6F1F" w:rsidRPr="003F7D48">
        <w:rPr>
          <w:szCs w:val="20"/>
        </w:rPr>
        <w:t xml:space="preserve"> </w:t>
      </w:r>
      <w:r w:rsidR="00581AAA" w:rsidRPr="003F7D48">
        <w:rPr>
          <w:szCs w:val="20"/>
        </w:rPr>
        <w:t>4A.</w:t>
      </w:r>
      <w:r w:rsidR="007D53C0" w:rsidRPr="003F7D48">
        <w:rPr>
          <w:szCs w:val="20"/>
        </w:rPr>
        <w:t>51</w:t>
      </w:r>
      <w:r w:rsidRPr="003F7D48">
        <w:rPr>
          <w:szCs w:val="20"/>
        </w:rPr>
        <w:t>.</w:t>
      </w:r>
    </w:p>
    <w:p w:rsidR="00AE36E3" w:rsidRPr="003F7D48" w:rsidRDefault="00AE36E3" w:rsidP="00AE36E3">
      <w:pPr>
        <w:spacing w:before="240" w:line="320" w:lineRule="atLeast"/>
        <w:jc w:val="both"/>
        <w:rPr>
          <w:i/>
          <w:szCs w:val="20"/>
        </w:rPr>
      </w:pPr>
      <w:r w:rsidRPr="003F7D48">
        <w:rPr>
          <w:i/>
          <w:szCs w:val="20"/>
        </w:rPr>
        <w:t>All students and Indigenous students</w:t>
      </w:r>
    </w:p>
    <w:p w:rsidR="00AE36E3" w:rsidRPr="003F7D48" w:rsidRDefault="00AE36E3" w:rsidP="00AE36E3">
      <w:pPr>
        <w:spacing w:before="240" w:line="320" w:lineRule="atLeast"/>
        <w:jc w:val="both"/>
        <w:rPr>
          <w:szCs w:val="20"/>
        </w:rPr>
      </w:pPr>
      <w:r w:rsidRPr="003F7D48">
        <w:rPr>
          <w:szCs w:val="20"/>
        </w:rPr>
        <w:t>The proportion of year 3 students who achieved at or above the reading national minimum standard in 2012 was 93.4–93.8 per cent nationally. The proportion for Indigenous students (72.6–75.8 per cent) was significantly lower than for non</w:t>
      </w:r>
      <w:r w:rsidRPr="003F7D48">
        <w:rPr>
          <w:szCs w:val="20"/>
        </w:rPr>
        <w:noBreakHyphen/>
        <w:t>Indigenous students (94.5–94.9 per cent) (figure 4.5). These proportions varied across jurisdictions.</w:t>
      </w:r>
    </w:p>
    <w:p w:rsidR="00AE36E3" w:rsidRPr="003F7D48" w:rsidRDefault="00AE36E3" w:rsidP="00AE36E3">
      <w:pPr>
        <w:pStyle w:val="FigureTitle"/>
        <w:rPr>
          <w:position w:val="6"/>
          <w:sz w:val="18"/>
        </w:rPr>
      </w:pPr>
      <w:r w:rsidRPr="003F7D48">
        <w:rPr>
          <w:b w:val="0"/>
        </w:rPr>
        <w:t>Figure 4.</w:t>
      </w:r>
      <w:r w:rsidRPr="003F7D48">
        <w:rPr>
          <w:b w:val="0"/>
          <w:noProof/>
        </w:rPr>
        <w:t>5</w:t>
      </w:r>
      <w:r w:rsidRPr="003F7D48">
        <w:tab/>
        <w:t>Proportion of year 3 students achieving at or above the reading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E36E3" w:rsidRPr="003F7D48" w:rsidTr="00C40DB1">
        <w:tc>
          <w:tcPr>
            <w:tcW w:w="8777" w:type="dxa"/>
          </w:tcPr>
          <w:p w:rsidR="00AE36E3" w:rsidRPr="003F7D48" w:rsidRDefault="00AE36E3" w:rsidP="00C40DB1">
            <w:pPr>
              <w:keepNext/>
              <w:spacing w:before="120" w:after="120" w:line="240" w:lineRule="atLeast"/>
              <w:jc w:val="center"/>
              <w:rPr>
                <w:szCs w:val="20"/>
              </w:rPr>
            </w:pPr>
            <w:r w:rsidRPr="003F7D48">
              <w:rPr>
                <w:noProof/>
                <w:szCs w:val="20"/>
              </w:rPr>
              <w:drawing>
                <wp:inline distT="0" distB="0" distL="0" distR="0" wp14:anchorId="09032739" wp14:editId="59046A61">
                  <wp:extent cx="5391150" cy="2695575"/>
                  <wp:effectExtent l="0" t="0" r="0" b="9525"/>
                  <wp:docPr id="2" name="Picture 2" descr="Figure 4.5 Proportion of year 3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E36E3" w:rsidRPr="003F7D48" w:rsidRDefault="00AE36E3" w:rsidP="00AE36E3">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4A.36.</w:t>
      </w:r>
    </w:p>
    <w:p w:rsidR="00AE36E3" w:rsidRPr="003F7D48" w:rsidRDefault="00AE36E3" w:rsidP="00AE36E3">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4A.36; 2014 Report, figure 4.23, p. 4.49.</w:t>
      </w:r>
    </w:p>
    <w:p w:rsidR="00AE36E3" w:rsidRPr="003F7D48" w:rsidRDefault="00AE36E3" w:rsidP="00AE36E3">
      <w:pPr>
        <w:spacing w:before="240" w:line="320" w:lineRule="atLeast"/>
        <w:jc w:val="both"/>
        <w:rPr>
          <w:szCs w:val="20"/>
        </w:rPr>
      </w:pPr>
      <w:r w:rsidRPr="003F7D48">
        <w:rPr>
          <w:szCs w:val="20"/>
        </w:rPr>
        <w:t>The mean scale score for year 3 reading in 2012 for all students was 418.5–420.7 nationally. The mean scale score for Indigenous students (329.2–337.4) was significantly lower than for non-Indigenous students (423.2–425.2) (figure 4.6). Mean scale scores varied across jurisdictions.</w:t>
      </w:r>
    </w:p>
    <w:p w:rsidR="00AE36E3" w:rsidRPr="003F7D48" w:rsidRDefault="00AE36E3" w:rsidP="00AE36E3">
      <w:pPr>
        <w:pStyle w:val="FigureTitle"/>
      </w:pPr>
      <w:r w:rsidRPr="003F7D48">
        <w:rPr>
          <w:b w:val="0"/>
        </w:rPr>
        <w:lastRenderedPageBreak/>
        <w:t>Figure 4.</w:t>
      </w:r>
      <w:r w:rsidRPr="003F7D48">
        <w:rPr>
          <w:b w:val="0"/>
          <w:noProof/>
        </w:rPr>
        <w:t>6</w:t>
      </w:r>
      <w:r w:rsidRPr="003F7D48">
        <w:tab/>
        <w:t>Mean scale scores for year 3 students, reading,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E36E3" w:rsidRPr="003F7D48" w:rsidTr="00C40DB1">
        <w:tc>
          <w:tcPr>
            <w:tcW w:w="8777" w:type="dxa"/>
          </w:tcPr>
          <w:p w:rsidR="00AE36E3" w:rsidRPr="003F7D48" w:rsidRDefault="00AE36E3" w:rsidP="00C40DB1">
            <w:pPr>
              <w:keepNext/>
              <w:spacing w:before="120" w:after="120" w:line="240" w:lineRule="atLeast"/>
              <w:jc w:val="center"/>
              <w:rPr>
                <w:szCs w:val="20"/>
              </w:rPr>
            </w:pPr>
            <w:r w:rsidRPr="003F7D48">
              <w:rPr>
                <w:noProof/>
                <w:szCs w:val="20"/>
              </w:rPr>
              <w:drawing>
                <wp:inline distT="0" distB="0" distL="0" distR="0" wp14:anchorId="1971FFAE" wp14:editId="456A7407">
                  <wp:extent cx="5391150" cy="2695575"/>
                  <wp:effectExtent l="0" t="0" r="0" b="9525"/>
                  <wp:docPr id="3" name="Picture 3" descr="Figure 4.24 Mean scale scores for year 3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E36E3" w:rsidRPr="003F7D48" w:rsidRDefault="00AE36E3" w:rsidP="00AE36E3">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4A.39.</w:t>
      </w:r>
    </w:p>
    <w:p w:rsidR="00AE36E3" w:rsidRPr="003F7D48" w:rsidRDefault="00AE36E3" w:rsidP="00AE36E3">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4A.39</w:t>
      </w:r>
      <w:r w:rsidR="00FC043F" w:rsidRPr="003F7D48">
        <w:rPr>
          <w:rFonts w:ascii="Arial" w:hAnsi="Arial"/>
          <w:sz w:val="18"/>
          <w:szCs w:val="20"/>
        </w:rPr>
        <w:t>; 2014</w:t>
      </w:r>
      <w:r w:rsidRPr="003F7D48">
        <w:rPr>
          <w:rFonts w:ascii="Arial" w:hAnsi="Arial"/>
          <w:sz w:val="18"/>
          <w:szCs w:val="20"/>
        </w:rPr>
        <w:t xml:space="preserve"> Report, figure 4.24</w:t>
      </w:r>
      <w:r w:rsidR="00FC043F" w:rsidRPr="003F7D48">
        <w:rPr>
          <w:rFonts w:ascii="Arial" w:hAnsi="Arial"/>
          <w:sz w:val="18"/>
          <w:szCs w:val="20"/>
        </w:rPr>
        <w:t>, p. 4.50</w:t>
      </w:r>
      <w:r w:rsidRPr="003F7D48">
        <w:rPr>
          <w:rFonts w:ascii="Arial" w:hAnsi="Arial"/>
          <w:sz w:val="18"/>
          <w:szCs w:val="20"/>
        </w:rPr>
        <w:t>.</w:t>
      </w:r>
    </w:p>
    <w:p w:rsidR="00FC043F" w:rsidRPr="003F7D48" w:rsidRDefault="00FC043F" w:rsidP="00FC043F">
      <w:pPr>
        <w:spacing w:before="240" w:line="320" w:lineRule="atLeast"/>
        <w:jc w:val="both"/>
        <w:rPr>
          <w:szCs w:val="20"/>
        </w:rPr>
      </w:pPr>
      <w:r w:rsidRPr="003F7D48">
        <w:rPr>
          <w:szCs w:val="20"/>
        </w:rPr>
        <w:t>The proportion of year 5 students who achieved at or above the reading national minimum standard in 2012 was 91.3–91.9 per cent nationally. The proportion for Indigenous students (62.8–66.6 per cent) was significantly lower than for non</w:t>
      </w:r>
      <w:r w:rsidRPr="003F7D48">
        <w:rPr>
          <w:szCs w:val="20"/>
        </w:rPr>
        <w:noBreakHyphen/>
        <w:t>Indigenous students (92.9–93.3 per cent) (figure 4.7). These proportions varied across jurisdictions.</w:t>
      </w:r>
    </w:p>
    <w:p w:rsidR="00FC043F" w:rsidRPr="003F7D48" w:rsidRDefault="00FC043F" w:rsidP="00FC043F">
      <w:pPr>
        <w:pStyle w:val="FigureTitle"/>
        <w:rPr>
          <w:position w:val="6"/>
          <w:sz w:val="18"/>
        </w:rPr>
      </w:pPr>
      <w:r w:rsidRPr="003F7D48">
        <w:rPr>
          <w:b w:val="0"/>
        </w:rPr>
        <w:lastRenderedPageBreak/>
        <w:t xml:space="preserve">Figure </w:t>
      </w:r>
      <w:bookmarkStart w:id="82" w:name="OLE_LINK45"/>
      <w:r w:rsidRPr="003F7D48">
        <w:rPr>
          <w:b w:val="0"/>
        </w:rPr>
        <w:t>4.</w:t>
      </w:r>
      <w:bookmarkEnd w:id="82"/>
      <w:r w:rsidRPr="003F7D48">
        <w:rPr>
          <w:b w:val="0"/>
          <w:noProof/>
        </w:rPr>
        <w:t>7</w:t>
      </w:r>
      <w:r w:rsidRPr="003F7D48">
        <w:tab/>
        <w:t>Proportion of year 5 students achieving at or above the reading national minimum standard, 2012</w:t>
      </w:r>
      <w:r w:rsidRPr="003F7D48">
        <w:rPr>
          <w:position w:val="6"/>
          <w:sz w:val="18"/>
        </w:rPr>
        <w:t>a, b</w:t>
      </w:r>
      <w:r w:rsidRPr="003F7D4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C043F" w:rsidRPr="003F7D48" w:rsidTr="00C40DB1">
        <w:tc>
          <w:tcPr>
            <w:tcW w:w="8777" w:type="dxa"/>
          </w:tcPr>
          <w:p w:rsidR="00FC043F" w:rsidRPr="003F7D48" w:rsidRDefault="00FC043F" w:rsidP="00C40DB1">
            <w:pPr>
              <w:keepNext/>
              <w:spacing w:before="120" w:after="120" w:line="240" w:lineRule="atLeast"/>
              <w:jc w:val="center"/>
              <w:rPr>
                <w:szCs w:val="20"/>
              </w:rPr>
            </w:pPr>
            <w:r w:rsidRPr="003F7D48">
              <w:rPr>
                <w:noProof/>
                <w:szCs w:val="20"/>
              </w:rPr>
              <w:drawing>
                <wp:inline distT="0" distB="0" distL="0" distR="0" wp14:anchorId="1FF204C4" wp14:editId="22AD8CFA">
                  <wp:extent cx="5391150" cy="2695575"/>
                  <wp:effectExtent l="0" t="0" r="0" b="9525"/>
                  <wp:docPr id="26" name="Picture 26" descr="Figure 4.7 Proportion of year 5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FC043F" w:rsidRPr="003F7D48" w:rsidRDefault="00FC043F" w:rsidP="00FC043F">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4A.36.</w:t>
      </w:r>
    </w:p>
    <w:p w:rsidR="00FC043F" w:rsidRPr="003F7D48" w:rsidRDefault="00FC043F" w:rsidP="00FC043F">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4A.36; 2014 Report, figure 4.25, p. 4.</w:t>
      </w:r>
      <w:r w:rsidR="003678BE" w:rsidRPr="003F7D48">
        <w:rPr>
          <w:rFonts w:ascii="Arial" w:hAnsi="Arial"/>
          <w:sz w:val="18"/>
          <w:szCs w:val="20"/>
        </w:rPr>
        <w:t>51</w:t>
      </w:r>
      <w:r w:rsidRPr="003F7D48">
        <w:rPr>
          <w:rFonts w:ascii="Arial" w:hAnsi="Arial"/>
          <w:sz w:val="18"/>
          <w:szCs w:val="20"/>
        </w:rPr>
        <w:t>.</w:t>
      </w:r>
    </w:p>
    <w:p w:rsidR="003678BE" w:rsidRPr="003F7D48" w:rsidRDefault="003678BE" w:rsidP="003678BE">
      <w:pPr>
        <w:spacing w:before="240" w:line="320" w:lineRule="atLeast"/>
        <w:jc w:val="both"/>
        <w:rPr>
          <w:szCs w:val="20"/>
        </w:rPr>
      </w:pPr>
      <w:r w:rsidRPr="003F7D48">
        <w:rPr>
          <w:szCs w:val="20"/>
        </w:rPr>
        <w:t>The mean scale score for year 5 reading in 2012 for all students was 492.5–494.7 nationally. The mean scale score for Indigenous students (403.5–414.5) was significantly lower than for non-Indigenous students (497.0–499.0) (figure 4.8). Mean scale scores varied across jurisdictions.</w:t>
      </w:r>
    </w:p>
    <w:p w:rsidR="005710A6" w:rsidRPr="003F7D48" w:rsidRDefault="005710A6" w:rsidP="005710A6">
      <w:pPr>
        <w:pStyle w:val="FigureTitle"/>
      </w:pPr>
      <w:r w:rsidRPr="003F7D48">
        <w:rPr>
          <w:b w:val="0"/>
        </w:rPr>
        <w:lastRenderedPageBreak/>
        <w:t>Figure 4.</w:t>
      </w:r>
      <w:r w:rsidRPr="003F7D48">
        <w:rPr>
          <w:b w:val="0"/>
          <w:noProof/>
        </w:rPr>
        <w:t>8</w:t>
      </w:r>
      <w:r w:rsidRPr="003F7D48">
        <w:tab/>
        <w:t>Mean scale scores for year 5 students, reading, 2012</w:t>
      </w:r>
      <w:r w:rsidRPr="003F7D48">
        <w:rPr>
          <w:position w:val="6"/>
          <w:sz w:val="18"/>
        </w:rPr>
        <w:t>a, b</w:t>
      </w:r>
      <w:r w:rsidRPr="003F7D4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710A6" w:rsidRPr="003F7D48" w:rsidTr="00C40DB1">
        <w:tc>
          <w:tcPr>
            <w:tcW w:w="8777" w:type="dxa"/>
          </w:tcPr>
          <w:p w:rsidR="005710A6" w:rsidRPr="003F7D48" w:rsidRDefault="005710A6" w:rsidP="00C40DB1">
            <w:pPr>
              <w:keepNext/>
              <w:spacing w:before="120" w:after="120" w:line="240" w:lineRule="atLeast"/>
              <w:jc w:val="center"/>
              <w:rPr>
                <w:szCs w:val="20"/>
              </w:rPr>
            </w:pPr>
            <w:r w:rsidRPr="003F7D48">
              <w:rPr>
                <w:noProof/>
                <w:szCs w:val="20"/>
              </w:rPr>
              <w:drawing>
                <wp:inline distT="0" distB="0" distL="0" distR="0" wp14:anchorId="77060804" wp14:editId="3D6E804F">
                  <wp:extent cx="5391150" cy="2695575"/>
                  <wp:effectExtent l="0" t="0" r="0" b="9525"/>
                  <wp:docPr id="29" name="Picture 29" descr="Figure 4.8 Mean scale scores for year 5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5710A6" w:rsidRPr="003F7D48" w:rsidRDefault="005710A6" w:rsidP="005710A6">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4A.39.</w:t>
      </w:r>
    </w:p>
    <w:p w:rsidR="005710A6" w:rsidRPr="003F7D48" w:rsidRDefault="005710A6" w:rsidP="005710A6">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4A.39; 2014 Report, figure 4.26, p. 4.5</w:t>
      </w:r>
      <w:r w:rsidR="00C439F8" w:rsidRPr="003F7D48">
        <w:rPr>
          <w:rFonts w:ascii="Arial" w:hAnsi="Arial"/>
          <w:sz w:val="18"/>
          <w:szCs w:val="20"/>
        </w:rPr>
        <w:t>2</w:t>
      </w:r>
      <w:r w:rsidRPr="003F7D48">
        <w:rPr>
          <w:rFonts w:ascii="Arial" w:hAnsi="Arial"/>
          <w:sz w:val="18"/>
          <w:szCs w:val="20"/>
        </w:rPr>
        <w:t>.</w:t>
      </w:r>
    </w:p>
    <w:p w:rsidR="00C439F8" w:rsidRPr="003F7D48" w:rsidRDefault="00C439F8" w:rsidP="00C439F8">
      <w:pPr>
        <w:spacing w:before="240" w:line="320" w:lineRule="atLeast"/>
        <w:jc w:val="both"/>
        <w:rPr>
          <w:szCs w:val="20"/>
        </w:rPr>
      </w:pPr>
      <w:r w:rsidRPr="003F7D48">
        <w:rPr>
          <w:szCs w:val="20"/>
        </w:rPr>
        <w:t>The proportion of year 7 students who achieved at or above the reading national minimum standard in 2011 was 93.9–94.3 per cent nationally. The proportion for Indigenous students (73.8–77.0 per cent) was significantly lower than for non</w:t>
      </w:r>
      <w:r w:rsidRPr="003F7D48">
        <w:rPr>
          <w:szCs w:val="20"/>
        </w:rPr>
        <w:noBreakHyphen/>
        <w:t>Indigenous students (94.9–95.3 per cent) (figure 4.9). These proportions varied across jurisdictions.</w:t>
      </w:r>
    </w:p>
    <w:p w:rsidR="00C439F8" w:rsidRPr="003F7D48" w:rsidRDefault="00C439F8" w:rsidP="00C439F8">
      <w:pPr>
        <w:pStyle w:val="FigureTitle"/>
        <w:rPr>
          <w:position w:val="6"/>
          <w:sz w:val="18"/>
        </w:rPr>
      </w:pPr>
      <w:r w:rsidRPr="003F7D48">
        <w:rPr>
          <w:b w:val="0"/>
        </w:rPr>
        <w:lastRenderedPageBreak/>
        <w:t>Figure 4.</w:t>
      </w:r>
      <w:r w:rsidRPr="003F7D48">
        <w:rPr>
          <w:b w:val="0"/>
          <w:noProof/>
        </w:rPr>
        <w:t>9</w:t>
      </w:r>
      <w:r w:rsidRPr="003F7D48">
        <w:tab/>
        <w:t>Proportion of year 7 students achieving at or above the reading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39F8" w:rsidRPr="003F7D48" w:rsidTr="00C40DB1">
        <w:tc>
          <w:tcPr>
            <w:tcW w:w="8777" w:type="dxa"/>
          </w:tcPr>
          <w:p w:rsidR="00C439F8" w:rsidRPr="003F7D48" w:rsidRDefault="00C439F8" w:rsidP="00C40DB1">
            <w:pPr>
              <w:keepNext/>
              <w:spacing w:before="120" w:after="120" w:line="240" w:lineRule="atLeast"/>
              <w:jc w:val="center"/>
              <w:rPr>
                <w:szCs w:val="20"/>
              </w:rPr>
            </w:pPr>
            <w:r w:rsidRPr="003F7D48">
              <w:rPr>
                <w:noProof/>
                <w:szCs w:val="20"/>
              </w:rPr>
              <w:drawing>
                <wp:inline distT="0" distB="0" distL="0" distR="0" wp14:anchorId="533D1E1B" wp14:editId="6AB8CF9E">
                  <wp:extent cx="5391150" cy="2695575"/>
                  <wp:effectExtent l="0" t="0" r="0" b="9525"/>
                  <wp:docPr id="30" name="Picture 30" descr="Figure 4.9 Proportion of year 7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39F8" w:rsidRPr="003F7D48" w:rsidRDefault="00C439F8" w:rsidP="00C439F8">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4A.36.</w:t>
      </w:r>
    </w:p>
    <w:p w:rsidR="00C439F8" w:rsidRPr="003F7D48" w:rsidRDefault="00C439F8" w:rsidP="00C439F8">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4A.36; 2014 Report, figure 4.27, p. 4.53.</w:t>
      </w:r>
    </w:p>
    <w:p w:rsidR="00C439F8" w:rsidRPr="003F7D48" w:rsidRDefault="00C439F8" w:rsidP="00C439F8">
      <w:pPr>
        <w:spacing w:before="240" w:line="320" w:lineRule="atLeast"/>
        <w:jc w:val="both"/>
        <w:rPr>
          <w:szCs w:val="20"/>
        </w:rPr>
      </w:pPr>
      <w:r w:rsidRPr="003F7D48">
        <w:rPr>
          <w:szCs w:val="20"/>
        </w:rPr>
        <w:t>The mean scale score for year 7 reading in 2012 for all students was 540.2–542.8 nationally. The mean scale score for Indigenous students (471.4–478.2) was significantly lower than for non-Indigenous students (543.7–546.3) (figure 4.10). Mean scale scores varied across jurisdictions.</w:t>
      </w:r>
    </w:p>
    <w:p w:rsidR="00C439F8" w:rsidRPr="003F7D48" w:rsidRDefault="00C439F8" w:rsidP="00C439F8">
      <w:pPr>
        <w:pStyle w:val="FigureTitle"/>
      </w:pPr>
      <w:r w:rsidRPr="003F7D48">
        <w:rPr>
          <w:b w:val="0"/>
        </w:rPr>
        <w:lastRenderedPageBreak/>
        <w:t>Figure 4.</w:t>
      </w:r>
      <w:r w:rsidRPr="003F7D48">
        <w:rPr>
          <w:b w:val="0"/>
          <w:noProof/>
        </w:rPr>
        <w:t>10</w:t>
      </w:r>
      <w:r w:rsidRPr="003F7D48">
        <w:tab/>
        <w:t>Mean scale scores for year 7 students, reading, 2012</w:t>
      </w:r>
      <w:r w:rsidRPr="003F7D48">
        <w:rPr>
          <w:position w:val="6"/>
          <w:sz w:val="18"/>
        </w:rPr>
        <w:t>a, b</w:t>
      </w:r>
      <w:r w:rsidRPr="003F7D4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39F8" w:rsidRPr="003F7D48" w:rsidTr="00C40DB1">
        <w:tc>
          <w:tcPr>
            <w:tcW w:w="8777" w:type="dxa"/>
          </w:tcPr>
          <w:p w:rsidR="00C439F8" w:rsidRPr="003F7D48" w:rsidRDefault="00C439F8" w:rsidP="00C40DB1">
            <w:pPr>
              <w:keepNext/>
              <w:spacing w:before="120" w:after="120" w:line="240" w:lineRule="atLeast"/>
              <w:jc w:val="center"/>
              <w:rPr>
                <w:szCs w:val="20"/>
              </w:rPr>
            </w:pPr>
            <w:r w:rsidRPr="003F7D48">
              <w:rPr>
                <w:noProof/>
                <w:szCs w:val="20"/>
              </w:rPr>
              <w:drawing>
                <wp:inline distT="0" distB="0" distL="0" distR="0" wp14:anchorId="4F01CA1F" wp14:editId="12B3EC6B">
                  <wp:extent cx="5391150" cy="2695575"/>
                  <wp:effectExtent l="0" t="0" r="0" b="9525"/>
                  <wp:docPr id="31" name="Picture 31" descr="Figure 4.10 Mean scale scores for year 7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39F8" w:rsidRPr="003F7D48" w:rsidRDefault="00C439F8" w:rsidP="00C439F8">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4A.39.</w:t>
      </w:r>
    </w:p>
    <w:p w:rsidR="00C439F8" w:rsidRPr="003F7D48" w:rsidRDefault="00C439F8" w:rsidP="00C439F8">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4A.39; 2014 Report, figure 4.28, p. 4.54.</w:t>
      </w:r>
    </w:p>
    <w:p w:rsidR="00C439F8" w:rsidRPr="003F7D48" w:rsidRDefault="00C439F8" w:rsidP="00C439F8">
      <w:pPr>
        <w:spacing w:before="240" w:line="320" w:lineRule="atLeast"/>
        <w:jc w:val="both"/>
        <w:rPr>
          <w:szCs w:val="20"/>
        </w:rPr>
      </w:pPr>
      <w:r w:rsidRPr="003F7D48">
        <w:rPr>
          <w:szCs w:val="20"/>
        </w:rPr>
        <w:t>The proportion of year 9 students who achieved at or above the reading national minimum standard in 2012 was 91.0–91.8 per cent nationally. The proportion for Indigenous students (65.3–69.1 per cent) was significantly lower than for non</w:t>
      </w:r>
      <w:r w:rsidRPr="003F7D48">
        <w:rPr>
          <w:szCs w:val="20"/>
        </w:rPr>
        <w:noBreakHyphen/>
        <w:t>Indigenous students (92.4–93.0 per cent) (figure 4.11). These proportions varied across jurisdictions.</w:t>
      </w:r>
    </w:p>
    <w:p w:rsidR="00C439F8" w:rsidRPr="003F7D48" w:rsidRDefault="00C439F8" w:rsidP="00C439F8">
      <w:pPr>
        <w:pStyle w:val="FigureTitle"/>
        <w:rPr>
          <w:position w:val="6"/>
          <w:sz w:val="18"/>
        </w:rPr>
      </w:pPr>
      <w:r w:rsidRPr="003F7D48">
        <w:rPr>
          <w:b w:val="0"/>
        </w:rPr>
        <w:lastRenderedPageBreak/>
        <w:t>Figure 4.</w:t>
      </w:r>
      <w:r w:rsidRPr="003F7D48">
        <w:rPr>
          <w:b w:val="0"/>
          <w:noProof/>
        </w:rPr>
        <w:t>11</w:t>
      </w:r>
      <w:r w:rsidRPr="003F7D48">
        <w:tab/>
        <w:t>Proportion of year 9 students achieving at or above the reading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39F8" w:rsidRPr="003F7D48" w:rsidTr="00C40DB1">
        <w:tc>
          <w:tcPr>
            <w:tcW w:w="8777" w:type="dxa"/>
          </w:tcPr>
          <w:p w:rsidR="00C439F8" w:rsidRPr="003F7D48" w:rsidRDefault="00C439F8" w:rsidP="00C40DB1">
            <w:pPr>
              <w:keepNext/>
              <w:spacing w:before="120" w:after="120" w:line="240" w:lineRule="atLeast"/>
              <w:jc w:val="center"/>
              <w:rPr>
                <w:szCs w:val="20"/>
              </w:rPr>
            </w:pPr>
            <w:r w:rsidRPr="003F7D48">
              <w:rPr>
                <w:noProof/>
                <w:szCs w:val="20"/>
              </w:rPr>
              <w:drawing>
                <wp:inline distT="0" distB="0" distL="0" distR="0" wp14:anchorId="1B818097" wp14:editId="522EF1C7">
                  <wp:extent cx="5391150" cy="2695575"/>
                  <wp:effectExtent l="0" t="0" r="0" b="9525"/>
                  <wp:docPr id="32" name="Picture 32" descr="Figure 4.11 Proportion of year 9 students achieving at or above the read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39F8" w:rsidRPr="003F7D48" w:rsidRDefault="00C439F8" w:rsidP="00C439F8">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4A.36.</w:t>
      </w:r>
    </w:p>
    <w:p w:rsidR="00C439F8" w:rsidRPr="003F7D48" w:rsidRDefault="00C439F8" w:rsidP="00C439F8">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4A.36; 2014 Report, figure 4.29, p. 4.55.</w:t>
      </w:r>
    </w:p>
    <w:p w:rsidR="00C439F8" w:rsidRPr="003F7D48" w:rsidRDefault="00C439F8" w:rsidP="00C439F8">
      <w:pPr>
        <w:spacing w:before="240" w:line="320" w:lineRule="atLeast"/>
        <w:jc w:val="both"/>
        <w:rPr>
          <w:szCs w:val="20"/>
        </w:rPr>
      </w:pPr>
      <w:r w:rsidRPr="003F7D48">
        <w:rPr>
          <w:szCs w:val="20"/>
        </w:rPr>
        <w:t>The mean scale score for year 9 reading in 2012 for all students was 573.3–576.3 nationally. The mean scale score for Indigenous students (506.6–513.0) was significantly lower than for non-Indigenous students (576.5–579.5) (figure 4.12). Mean scale scores varied across jurisdictions.</w:t>
      </w:r>
    </w:p>
    <w:p w:rsidR="00C439F8" w:rsidRPr="003F7D48" w:rsidRDefault="00C439F8" w:rsidP="00C439F8">
      <w:pPr>
        <w:pStyle w:val="FigureTitle"/>
      </w:pPr>
      <w:r w:rsidRPr="003F7D48">
        <w:rPr>
          <w:b w:val="0"/>
        </w:rPr>
        <w:lastRenderedPageBreak/>
        <w:t>Figure 4.</w:t>
      </w:r>
      <w:r w:rsidRPr="003F7D48">
        <w:rPr>
          <w:b w:val="0"/>
          <w:noProof/>
        </w:rPr>
        <w:t>12</w:t>
      </w:r>
      <w:r w:rsidRPr="003F7D48">
        <w:tab/>
        <w:t>Mean scale scores for year 9 students, reading,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39F8" w:rsidRPr="003F7D48" w:rsidTr="00C40DB1">
        <w:tc>
          <w:tcPr>
            <w:tcW w:w="8777" w:type="dxa"/>
          </w:tcPr>
          <w:p w:rsidR="00C439F8" w:rsidRPr="003F7D48" w:rsidRDefault="00C439F8" w:rsidP="00C40DB1">
            <w:pPr>
              <w:keepNext/>
              <w:spacing w:before="120" w:after="120" w:line="240" w:lineRule="atLeast"/>
              <w:jc w:val="center"/>
              <w:rPr>
                <w:szCs w:val="20"/>
              </w:rPr>
            </w:pPr>
            <w:r w:rsidRPr="003F7D48">
              <w:rPr>
                <w:noProof/>
                <w:szCs w:val="20"/>
              </w:rPr>
              <w:drawing>
                <wp:inline distT="0" distB="0" distL="0" distR="0" wp14:anchorId="6DFE3FB9" wp14:editId="4DDF93A4">
                  <wp:extent cx="5391150" cy="2695575"/>
                  <wp:effectExtent l="0" t="0" r="0" b="9525"/>
                  <wp:docPr id="33" name="Picture 33" descr="Figure 4.12 Mean scale scores for year 9 students, read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39F8" w:rsidRPr="003F7D48" w:rsidRDefault="00C439F8" w:rsidP="00C439F8">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4A.39.</w:t>
      </w:r>
    </w:p>
    <w:p w:rsidR="00C439F8" w:rsidRPr="003F7D48" w:rsidRDefault="00C439F8" w:rsidP="00C439F8">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4A.39; 2014 Report, figure 4.30, p. 4.56.</w:t>
      </w:r>
    </w:p>
    <w:p w:rsidR="00C439F8" w:rsidRPr="003F7D48" w:rsidRDefault="00C439F8" w:rsidP="00C439F8">
      <w:pPr>
        <w:spacing w:before="240" w:line="320" w:lineRule="atLeast"/>
        <w:jc w:val="both"/>
        <w:rPr>
          <w:i/>
          <w:szCs w:val="20"/>
        </w:rPr>
      </w:pPr>
      <w:r w:rsidRPr="003F7D48">
        <w:rPr>
          <w:i/>
          <w:szCs w:val="20"/>
        </w:rPr>
        <w:t>Geolocation</w:t>
      </w:r>
    </w:p>
    <w:p w:rsidR="00C439F8" w:rsidRPr="003F7D48" w:rsidRDefault="00C439F8" w:rsidP="00C439F8">
      <w:pPr>
        <w:spacing w:before="240" w:line="320" w:lineRule="atLeast"/>
        <w:jc w:val="both"/>
        <w:rPr>
          <w:szCs w:val="20"/>
        </w:rPr>
      </w:pPr>
      <w:r w:rsidRPr="003F7D48">
        <w:rPr>
          <w:szCs w:val="20"/>
        </w:rPr>
        <w:t xml:space="preserve">Nationally, in 2012, reading outcomes tended to decline with remoteness. In year 3, for example, 94.6–95.0 per cent of students in metropolitan areas achieved at or above the reading national minimum standard, significantly higher than the proportions of provincial students (91.9–92.7 per cent), remote students </w:t>
      </w:r>
      <w:r w:rsidRPr="003F7D48">
        <w:rPr>
          <w:szCs w:val="20"/>
        </w:rPr>
        <w:br/>
        <w:t>(81.7–86.9 per cent) and very remote students (52.1–63.1 per cent) (figure 4.13).</w:t>
      </w:r>
    </w:p>
    <w:p w:rsidR="00C439F8" w:rsidRPr="003F7D48" w:rsidRDefault="00C439F8" w:rsidP="00C439F8">
      <w:pPr>
        <w:spacing w:before="240" w:line="320" w:lineRule="atLeast"/>
        <w:jc w:val="both"/>
        <w:rPr>
          <w:szCs w:val="26"/>
        </w:rPr>
      </w:pPr>
      <w:r w:rsidRPr="003F7D48">
        <w:rPr>
          <w:szCs w:val="20"/>
        </w:rPr>
        <w:t>For all geolocation categories across years 3, 5, 7 and 9, reading outcomes nationally for Indigenous students were lower than those for non-Indigenous students. Nationally, outcomes for Indigenous students generally declined as remoteness increased, and</w:t>
      </w:r>
      <w:r w:rsidRPr="003F7D48">
        <w:rPr>
          <w:szCs w:val="26"/>
        </w:rPr>
        <w:t xml:space="preserve"> the gap in learning outcomes between Indigenous students and non-Indigenous students was generally greater in remote and very remote areas than in metropolitan and provincial areas.</w:t>
      </w:r>
    </w:p>
    <w:p w:rsidR="00AC3CB3" w:rsidRPr="003F7D48" w:rsidRDefault="00AC3CB3" w:rsidP="00AC3CB3">
      <w:pPr>
        <w:spacing w:before="240" w:line="320" w:lineRule="atLeast"/>
        <w:jc w:val="both"/>
        <w:rPr>
          <w:szCs w:val="20"/>
        </w:rPr>
      </w:pPr>
      <w:r w:rsidRPr="003F7D48">
        <w:rPr>
          <w:szCs w:val="20"/>
        </w:rPr>
        <w:t>State and Territory results by Indigenous status and geolocation for years 3, 5, 7 and 9 reading literacy are in table 4A.37.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4A.40.</w:t>
      </w:r>
    </w:p>
    <w:p w:rsidR="00AC3CB3" w:rsidRPr="003F7D48" w:rsidRDefault="00AC3CB3" w:rsidP="00AC3CB3">
      <w:pPr>
        <w:pStyle w:val="FigureTitle"/>
      </w:pPr>
      <w:r w:rsidRPr="003F7D48">
        <w:rPr>
          <w:b w:val="0"/>
        </w:rPr>
        <w:lastRenderedPageBreak/>
        <w:t>Figure 4.</w:t>
      </w:r>
      <w:r w:rsidRPr="003F7D48">
        <w:rPr>
          <w:b w:val="0"/>
          <w:noProof/>
        </w:rPr>
        <w:t>13</w:t>
      </w:r>
      <w:r w:rsidRPr="003F7D48">
        <w:tab/>
        <w:t>National proportion of year 3 students achieving at or above the reading national minimum standard, by Indigenous status and geolocation,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C3CB3" w:rsidRPr="003F7D48" w:rsidTr="00C40DB1">
        <w:tc>
          <w:tcPr>
            <w:tcW w:w="8777" w:type="dxa"/>
          </w:tcPr>
          <w:p w:rsidR="00AC3CB3" w:rsidRPr="003F7D48" w:rsidRDefault="00AC3CB3" w:rsidP="00C40DB1">
            <w:pPr>
              <w:keepNext/>
              <w:spacing w:before="120" w:after="120" w:line="240" w:lineRule="atLeast"/>
              <w:jc w:val="center"/>
              <w:rPr>
                <w:szCs w:val="20"/>
              </w:rPr>
            </w:pPr>
            <w:r w:rsidRPr="003F7D48">
              <w:rPr>
                <w:noProof/>
                <w:szCs w:val="20"/>
              </w:rPr>
              <w:drawing>
                <wp:inline distT="0" distB="0" distL="0" distR="0" wp14:anchorId="152FE8F3" wp14:editId="6A087B1B">
                  <wp:extent cx="5391150" cy="2695575"/>
                  <wp:effectExtent l="0" t="0" r="0" b="9525"/>
                  <wp:docPr id="34" name="Picture 34" descr="Figure 4.13 National proportion of year 3 students achieving at or above the reading national minimum standard, by Indigenous status and geolocation,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C3CB3" w:rsidRPr="003F7D48" w:rsidRDefault="00AC3CB3" w:rsidP="00AC3CB3">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xml:space="preserve"> Data for year 3 students are shown and may not be representative of students in years 5, 7 and 9 which are detailed in table 4A.37. </w:t>
      </w:r>
    </w:p>
    <w:p w:rsidR="00AC3CB3" w:rsidRPr="003F7D48" w:rsidRDefault="00AC3CB3" w:rsidP="00AC3CB3">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4A.37; 2014 Report, figure 4.31, p. 4.57.</w:t>
      </w:r>
    </w:p>
    <w:p w:rsidR="00266112" w:rsidRPr="003F7D48" w:rsidRDefault="00266112" w:rsidP="00266112">
      <w:pPr>
        <w:keepNext/>
        <w:spacing w:before="480" w:line="320" w:lineRule="exact"/>
        <w:outlineLvl w:val="4"/>
        <w:rPr>
          <w:i/>
        </w:rPr>
      </w:pPr>
      <w:r w:rsidRPr="003F7D48">
        <w:rPr>
          <w:i/>
        </w:rPr>
        <w:t>Time series analysi</w:t>
      </w:r>
      <w:r w:rsidR="00551060" w:rsidRPr="003F7D48">
        <w:rPr>
          <w:i/>
        </w:rPr>
        <w:t>s of NAPLAN reading outcomes — s</w:t>
      </w:r>
      <w:r w:rsidRPr="003F7D48">
        <w:rPr>
          <w:i/>
        </w:rPr>
        <w:t>tatistical significance of differences between years</w:t>
      </w:r>
    </w:p>
    <w:p w:rsidR="00FA0DAE" w:rsidRPr="003F7D48" w:rsidRDefault="00FA0DAE" w:rsidP="00266112">
      <w:pPr>
        <w:keepNext/>
        <w:spacing w:before="480" w:line="320" w:lineRule="exact"/>
        <w:outlineLvl w:val="4"/>
        <w:rPr>
          <w:i/>
        </w:rPr>
      </w:pPr>
      <w:r w:rsidRPr="003F7D48">
        <w:rPr>
          <w:szCs w:val="20"/>
        </w:rPr>
        <w:t>Table 4.2 provides a summary of differences in achievement at year 5 for mean scale score and proportions at and above national minimum standard, by Indigenous status, on a national basis across various years.</w:t>
      </w:r>
    </w:p>
    <w:p w:rsidR="00FA0DAE" w:rsidRPr="003F7D48" w:rsidRDefault="00FA0DAE" w:rsidP="00FA0DAE">
      <w:pPr>
        <w:spacing w:before="240" w:line="320" w:lineRule="atLeast"/>
        <w:jc w:val="both"/>
        <w:rPr>
          <w:szCs w:val="20"/>
        </w:rPr>
      </w:pPr>
      <w:r w:rsidRPr="003F7D48">
        <w:rPr>
          <w:szCs w:val="20"/>
        </w:rPr>
        <w:t>There was no statistically significant difference in the proportions at and above national minimum standard, or in mean scale scores, for Indigenous students from 2008 to 2012 and 2011 to 2012. There was a statistically significant increase in the mean scale score for non-Indigenous students from 2008 to 2012, but no statistically significant difference from 2011 to 2012. There was no statistically significant difference in the proportions of year 5 non-Indigenous students achieving at or above the national minimum standard, from 2008 to 2012 or from 2011 to 2012 (table 4.2</w:t>
      </w:r>
      <w:r w:rsidR="004B634B" w:rsidRPr="003F7D48">
        <w:rPr>
          <w:szCs w:val="20"/>
        </w:rPr>
        <w:t>).</w:t>
      </w:r>
    </w:p>
    <w:p w:rsidR="00F60356" w:rsidRPr="003F7D48" w:rsidRDefault="00F60356" w:rsidP="00F60356">
      <w:pPr>
        <w:pStyle w:val="TableTitle"/>
      </w:pPr>
      <w:r w:rsidRPr="003F7D48">
        <w:rPr>
          <w:b w:val="0"/>
        </w:rPr>
        <w:lastRenderedPageBreak/>
        <w:t>Table 4.2</w:t>
      </w:r>
      <w:r w:rsidRPr="003F7D48">
        <w:tab/>
        <w:t>Mean scale scores and proportion of students who achieved at or above the national minimum standard for year 5 reading, and statistical significance of differences, Australia</w:t>
      </w:r>
      <w:r w:rsidRPr="003F7D48">
        <w:rPr>
          <w:rStyle w:val="NoteLabel"/>
          <w:b/>
        </w:rPr>
        <w:t>a, b</w:t>
      </w:r>
    </w:p>
    <w:tbl>
      <w:tblPr>
        <w:tblW w:w="5000" w:type="pct"/>
        <w:tblCellMar>
          <w:left w:w="0" w:type="dxa"/>
          <w:right w:w="0" w:type="dxa"/>
        </w:tblCellMar>
        <w:tblLook w:val="0000" w:firstRow="0" w:lastRow="0" w:firstColumn="0" w:lastColumn="0" w:noHBand="0" w:noVBand="0"/>
      </w:tblPr>
      <w:tblGrid>
        <w:gridCol w:w="2268"/>
        <w:gridCol w:w="1134"/>
        <w:gridCol w:w="1134"/>
        <w:gridCol w:w="1134"/>
        <w:gridCol w:w="1658"/>
        <w:gridCol w:w="1461"/>
      </w:tblGrid>
      <w:tr w:rsidR="00F60356" w:rsidRPr="003F7D48" w:rsidTr="00C40DB1">
        <w:tc>
          <w:tcPr>
            <w:tcW w:w="1290" w:type="pct"/>
            <w:tcBorders>
              <w:top w:val="single" w:sz="6" w:space="0" w:color="auto"/>
              <w:bottom w:val="single" w:sz="6" w:space="0" w:color="auto"/>
            </w:tcBorders>
            <w:shd w:val="clear" w:color="auto" w:fill="auto"/>
          </w:tcPr>
          <w:p w:rsidR="00F60356" w:rsidRPr="003F7D48" w:rsidRDefault="00F60356" w:rsidP="00C40DB1">
            <w:pPr>
              <w:pStyle w:val="TableColumnHeading"/>
              <w:jc w:val="left"/>
            </w:pPr>
          </w:p>
        </w:tc>
        <w:tc>
          <w:tcPr>
            <w:tcW w:w="645" w:type="pct"/>
            <w:tcBorders>
              <w:top w:val="single" w:sz="6" w:space="0" w:color="auto"/>
              <w:bottom w:val="single" w:sz="6" w:space="0" w:color="auto"/>
            </w:tcBorders>
            <w:shd w:val="clear" w:color="auto" w:fill="auto"/>
          </w:tcPr>
          <w:p w:rsidR="00F60356" w:rsidRPr="003F7D48" w:rsidRDefault="00F60356" w:rsidP="00C40DB1">
            <w:pPr>
              <w:pStyle w:val="TableColumnHeading"/>
            </w:pPr>
          </w:p>
        </w:tc>
        <w:tc>
          <w:tcPr>
            <w:tcW w:w="645" w:type="pct"/>
            <w:tcBorders>
              <w:top w:val="single" w:sz="6" w:space="0" w:color="auto"/>
              <w:bottom w:val="single" w:sz="6" w:space="0" w:color="auto"/>
            </w:tcBorders>
          </w:tcPr>
          <w:p w:rsidR="00F60356" w:rsidRPr="003F7D48" w:rsidRDefault="00F60356" w:rsidP="00C40DB1">
            <w:pPr>
              <w:pStyle w:val="TableColumnHeading"/>
              <w:ind w:right="28"/>
            </w:pPr>
          </w:p>
        </w:tc>
        <w:tc>
          <w:tcPr>
            <w:tcW w:w="645" w:type="pct"/>
            <w:tcBorders>
              <w:top w:val="single" w:sz="6" w:space="0" w:color="auto"/>
              <w:bottom w:val="single" w:sz="6" w:space="0" w:color="auto"/>
            </w:tcBorders>
          </w:tcPr>
          <w:p w:rsidR="00F60356" w:rsidRPr="003F7D48" w:rsidRDefault="00F60356" w:rsidP="00C40DB1">
            <w:pPr>
              <w:pStyle w:val="TableColumnHeading"/>
              <w:ind w:right="28"/>
            </w:pPr>
          </w:p>
        </w:tc>
        <w:tc>
          <w:tcPr>
            <w:tcW w:w="1774" w:type="pct"/>
            <w:gridSpan w:val="2"/>
            <w:tcBorders>
              <w:top w:val="single" w:sz="6" w:space="0" w:color="auto"/>
              <w:bottom w:val="single" w:sz="6" w:space="0" w:color="auto"/>
            </w:tcBorders>
          </w:tcPr>
          <w:p w:rsidR="00F60356" w:rsidRPr="003F7D48" w:rsidRDefault="00F60356" w:rsidP="00C40DB1">
            <w:pPr>
              <w:pStyle w:val="TableColumnHeading"/>
              <w:ind w:right="28"/>
            </w:pPr>
            <w:r w:rsidRPr="003F7D48">
              <w:t>Statistical significance of difference in average achievement</w:t>
            </w:r>
          </w:p>
        </w:tc>
      </w:tr>
      <w:tr w:rsidR="00F60356" w:rsidRPr="003F7D48" w:rsidTr="00C40DB1">
        <w:tc>
          <w:tcPr>
            <w:tcW w:w="1290" w:type="pct"/>
            <w:tcBorders>
              <w:top w:val="single" w:sz="6" w:space="0" w:color="auto"/>
            </w:tcBorders>
          </w:tcPr>
          <w:p w:rsidR="00F60356" w:rsidRPr="003F7D48" w:rsidRDefault="00F60356" w:rsidP="00C40DB1">
            <w:pPr>
              <w:pStyle w:val="TableUnitsRow"/>
              <w:jc w:val="left"/>
            </w:pPr>
          </w:p>
        </w:tc>
        <w:tc>
          <w:tcPr>
            <w:tcW w:w="645" w:type="pct"/>
            <w:tcBorders>
              <w:top w:val="single" w:sz="6" w:space="0" w:color="auto"/>
            </w:tcBorders>
            <w:vAlign w:val="center"/>
          </w:tcPr>
          <w:p w:rsidR="00F60356" w:rsidRPr="003F7D48" w:rsidRDefault="00F60356" w:rsidP="00C40DB1">
            <w:pPr>
              <w:keepNext/>
              <w:keepLines/>
              <w:spacing w:before="80" w:after="80" w:line="220" w:lineRule="atLeast"/>
              <w:ind w:left="6" w:right="113"/>
              <w:jc w:val="center"/>
              <w:rPr>
                <w:rFonts w:ascii="Arial" w:hAnsi="Arial"/>
                <w:i/>
                <w:iCs/>
                <w:sz w:val="20"/>
                <w:szCs w:val="20"/>
              </w:rPr>
            </w:pPr>
            <w:r w:rsidRPr="003F7D48">
              <w:rPr>
                <w:rFonts w:ascii="Arial" w:hAnsi="Arial"/>
                <w:i/>
                <w:iCs/>
                <w:sz w:val="20"/>
                <w:szCs w:val="20"/>
              </w:rPr>
              <w:t>2008</w:t>
            </w:r>
          </w:p>
        </w:tc>
        <w:tc>
          <w:tcPr>
            <w:tcW w:w="645" w:type="pct"/>
            <w:tcBorders>
              <w:top w:val="single" w:sz="6" w:space="0" w:color="auto"/>
            </w:tcBorders>
            <w:vAlign w:val="center"/>
          </w:tcPr>
          <w:p w:rsidR="00F60356" w:rsidRPr="003F7D48" w:rsidRDefault="00F60356" w:rsidP="00C40DB1">
            <w:pPr>
              <w:jc w:val="center"/>
              <w:rPr>
                <w:rFonts w:ascii="Arial" w:hAnsi="Arial" w:cs="Arial"/>
                <w:i/>
                <w:iCs/>
                <w:sz w:val="20"/>
                <w:szCs w:val="20"/>
              </w:rPr>
            </w:pPr>
            <w:r w:rsidRPr="003F7D48">
              <w:rPr>
                <w:rFonts w:ascii="Arial" w:hAnsi="Arial" w:cs="Arial"/>
                <w:i/>
                <w:iCs/>
                <w:sz w:val="20"/>
                <w:szCs w:val="20"/>
              </w:rPr>
              <w:t>2011</w:t>
            </w:r>
          </w:p>
        </w:tc>
        <w:tc>
          <w:tcPr>
            <w:tcW w:w="645" w:type="pct"/>
            <w:tcBorders>
              <w:top w:val="single" w:sz="6" w:space="0" w:color="auto"/>
            </w:tcBorders>
            <w:vAlign w:val="center"/>
          </w:tcPr>
          <w:p w:rsidR="00F60356" w:rsidRPr="003F7D48" w:rsidRDefault="00F60356" w:rsidP="00C40DB1">
            <w:pPr>
              <w:jc w:val="center"/>
              <w:rPr>
                <w:rFonts w:ascii="Arial" w:hAnsi="Arial" w:cs="Arial"/>
                <w:i/>
                <w:iCs/>
                <w:sz w:val="20"/>
                <w:szCs w:val="20"/>
              </w:rPr>
            </w:pPr>
            <w:r w:rsidRPr="003F7D48">
              <w:rPr>
                <w:rFonts w:ascii="Arial" w:hAnsi="Arial" w:cs="Arial"/>
                <w:i/>
                <w:iCs/>
                <w:sz w:val="20"/>
                <w:szCs w:val="20"/>
              </w:rPr>
              <w:t>2012</w:t>
            </w:r>
          </w:p>
        </w:tc>
        <w:tc>
          <w:tcPr>
            <w:tcW w:w="943" w:type="pct"/>
            <w:tcBorders>
              <w:top w:val="single" w:sz="6" w:space="0" w:color="auto"/>
            </w:tcBorders>
          </w:tcPr>
          <w:p w:rsidR="00F60356" w:rsidRPr="003F7D48" w:rsidRDefault="00F60356" w:rsidP="00C40DB1">
            <w:pPr>
              <w:keepNext/>
              <w:keepLines/>
              <w:spacing w:before="80" w:after="80" w:line="220" w:lineRule="atLeast"/>
              <w:ind w:left="6" w:right="113"/>
              <w:jc w:val="right"/>
              <w:rPr>
                <w:rFonts w:ascii="Arial" w:hAnsi="Arial"/>
                <w:i/>
                <w:iCs/>
                <w:sz w:val="20"/>
                <w:szCs w:val="20"/>
              </w:rPr>
            </w:pPr>
            <w:r w:rsidRPr="003F7D48">
              <w:rPr>
                <w:rFonts w:ascii="Arial" w:hAnsi="Arial"/>
                <w:i/>
                <w:iCs/>
                <w:sz w:val="20"/>
                <w:szCs w:val="20"/>
              </w:rPr>
              <w:t>2008 to 2012</w:t>
            </w:r>
          </w:p>
        </w:tc>
        <w:tc>
          <w:tcPr>
            <w:tcW w:w="831" w:type="pct"/>
            <w:tcBorders>
              <w:top w:val="single" w:sz="6" w:space="0" w:color="auto"/>
            </w:tcBorders>
            <w:vAlign w:val="center"/>
          </w:tcPr>
          <w:p w:rsidR="00F60356" w:rsidRPr="003F7D48" w:rsidRDefault="00F60356" w:rsidP="00C40DB1">
            <w:pPr>
              <w:jc w:val="right"/>
              <w:rPr>
                <w:rFonts w:ascii="Arial" w:hAnsi="Arial" w:cs="Arial"/>
                <w:i/>
                <w:iCs/>
                <w:sz w:val="20"/>
                <w:szCs w:val="20"/>
              </w:rPr>
            </w:pPr>
            <w:r w:rsidRPr="003F7D48">
              <w:rPr>
                <w:rFonts w:ascii="Arial" w:hAnsi="Arial" w:cs="Arial"/>
                <w:i/>
                <w:iCs/>
                <w:sz w:val="20"/>
                <w:szCs w:val="20"/>
              </w:rPr>
              <w:t>2011 to 2012</w:t>
            </w:r>
          </w:p>
        </w:tc>
      </w:tr>
      <w:tr w:rsidR="00F60356" w:rsidRPr="003F7D48" w:rsidTr="00C40DB1">
        <w:tc>
          <w:tcPr>
            <w:tcW w:w="1935" w:type="pct"/>
            <w:gridSpan w:val="2"/>
          </w:tcPr>
          <w:p w:rsidR="00F60356" w:rsidRPr="003F7D48" w:rsidRDefault="00F60356" w:rsidP="00C40DB1">
            <w:pPr>
              <w:pStyle w:val="TableBodyText"/>
              <w:jc w:val="left"/>
            </w:pPr>
            <w:r w:rsidRPr="003F7D48">
              <w:t>Indigenous students</w:t>
            </w:r>
          </w:p>
        </w:tc>
        <w:tc>
          <w:tcPr>
            <w:tcW w:w="645" w:type="pct"/>
          </w:tcPr>
          <w:p w:rsidR="00F60356" w:rsidRPr="003F7D48" w:rsidRDefault="00F60356" w:rsidP="00C40DB1">
            <w:pPr>
              <w:pStyle w:val="TableBodyText"/>
              <w:ind w:right="28"/>
            </w:pPr>
          </w:p>
        </w:tc>
        <w:tc>
          <w:tcPr>
            <w:tcW w:w="645" w:type="pct"/>
          </w:tcPr>
          <w:p w:rsidR="00F60356" w:rsidRPr="003F7D48" w:rsidRDefault="00F60356" w:rsidP="00C40DB1">
            <w:pPr>
              <w:pStyle w:val="TableBodyText"/>
              <w:ind w:right="28"/>
            </w:pPr>
          </w:p>
        </w:tc>
        <w:tc>
          <w:tcPr>
            <w:tcW w:w="943" w:type="pct"/>
          </w:tcPr>
          <w:p w:rsidR="00F60356" w:rsidRPr="003F7D48" w:rsidRDefault="00F60356" w:rsidP="00C40DB1">
            <w:pPr>
              <w:pStyle w:val="TableBodyText"/>
              <w:ind w:right="28"/>
            </w:pPr>
          </w:p>
        </w:tc>
        <w:tc>
          <w:tcPr>
            <w:tcW w:w="831" w:type="pct"/>
          </w:tcPr>
          <w:p w:rsidR="00F60356" w:rsidRPr="003F7D48" w:rsidRDefault="00F60356" w:rsidP="00C40DB1">
            <w:pPr>
              <w:pStyle w:val="TableBodyText"/>
              <w:ind w:right="28"/>
            </w:pPr>
          </w:p>
        </w:tc>
      </w:tr>
      <w:tr w:rsidR="00F60356" w:rsidRPr="003F7D48" w:rsidTr="00C40DB1">
        <w:tc>
          <w:tcPr>
            <w:tcW w:w="1290" w:type="pct"/>
            <w:vAlign w:val="center"/>
          </w:tcPr>
          <w:p w:rsidR="00F60356" w:rsidRPr="003F7D48" w:rsidRDefault="00F60356" w:rsidP="00C40DB1">
            <w:pPr>
              <w:keepNext/>
              <w:keepLines/>
              <w:spacing w:after="40" w:line="220" w:lineRule="atLeast"/>
              <w:ind w:left="6" w:right="113"/>
              <w:jc w:val="center"/>
              <w:rPr>
                <w:rFonts w:ascii="Arial" w:hAnsi="Arial"/>
                <w:sz w:val="20"/>
                <w:szCs w:val="20"/>
              </w:rPr>
            </w:pPr>
            <w:r w:rsidRPr="003F7D48">
              <w:rPr>
                <w:rFonts w:ascii="Arial" w:hAnsi="Arial"/>
                <w:sz w:val="20"/>
                <w:szCs w:val="20"/>
              </w:rPr>
              <w:t>Mean scale score</w:t>
            </w:r>
          </w:p>
        </w:tc>
        <w:tc>
          <w:tcPr>
            <w:tcW w:w="645" w:type="pct"/>
            <w:vAlign w:val="center"/>
          </w:tcPr>
          <w:p w:rsidR="00F60356" w:rsidRPr="003F7D48" w:rsidRDefault="00F60356" w:rsidP="00C40DB1">
            <w:pPr>
              <w:pStyle w:val="TableBodyText"/>
            </w:pPr>
            <w:r w:rsidRPr="003F7D48">
              <w:t>403.4 ± 4.1</w:t>
            </w:r>
          </w:p>
        </w:tc>
        <w:tc>
          <w:tcPr>
            <w:tcW w:w="645" w:type="pct"/>
            <w:vAlign w:val="center"/>
          </w:tcPr>
          <w:p w:rsidR="00F60356" w:rsidRPr="003F7D48" w:rsidRDefault="00F60356" w:rsidP="00C40DB1">
            <w:pPr>
              <w:pStyle w:val="TableBodyText"/>
            </w:pPr>
            <w:r w:rsidRPr="003F7D48">
              <w:t>409.8 ± 4.1</w:t>
            </w:r>
          </w:p>
        </w:tc>
        <w:tc>
          <w:tcPr>
            <w:tcW w:w="645" w:type="pct"/>
            <w:vAlign w:val="center"/>
          </w:tcPr>
          <w:p w:rsidR="00F60356" w:rsidRPr="003F7D48" w:rsidRDefault="00F60356" w:rsidP="00C40DB1">
            <w:pPr>
              <w:pStyle w:val="TableBodyText"/>
            </w:pPr>
            <w:r w:rsidRPr="003F7D48">
              <w:t>409.0 ± 5.5</w:t>
            </w:r>
          </w:p>
        </w:tc>
        <w:tc>
          <w:tcPr>
            <w:tcW w:w="943" w:type="pct"/>
            <w:vAlign w:val="bottom"/>
          </w:tcPr>
          <w:p w:rsidR="00F60356" w:rsidRPr="003F7D48" w:rsidRDefault="00F60356" w:rsidP="00C40DB1">
            <w:pPr>
              <w:pStyle w:val="TableBodyText"/>
              <w:jc w:val="center"/>
            </w:pPr>
            <w:r w:rsidRPr="003F7D48">
              <w:t>●</w:t>
            </w:r>
          </w:p>
        </w:tc>
        <w:tc>
          <w:tcPr>
            <w:tcW w:w="831" w:type="pct"/>
            <w:vAlign w:val="bottom"/>
          </w:tcPr>
          <w:p w:rsidR="00F60356" w:rsidRPr="003F7D48" w:rsidRDefault="00F60356" w:rsidP="00C40DB1">
            <w:pPr>
              <w:pStyle w:val="TableBodyText"/>
              <w:jc w:val="center"/>
            </w:pPr>
            <w:r w:rsidRPr="003F7D48">
              <w:t>●</w:t>
            </w:r>
          </w:p>
        </w:tc>
      </w:tr>
      <w:tr w:rsidR="00F60356" w:rsidRPr="003F7D48" w:rsidTr="00C40DB1">
        <w:tc>
          <w:tcPr>
            <w:tcW w:w="1290" w:type="pct"/>
            <w:vAlign w:val="center"/>
          </w:tcPr>
          <w:p w:rsidR="00F60356" w:rsidRPr="003F7D48" w:rsidRDefault="00F60356" w:rsidP="00C40DB1">
            <w:pPr>
              <w:keepNext/>
              <w:keepLines/>
              <w:spacing w:after="40" w:line="220" w:lineRule="atLeast"/>
              <w:ind w:left="6" w:right="113"/>
              <w:jc w:val="center"/>
              <w:rPr>
                <w:rFonts w:ascii="Arial" w:hAnsi="Arial"/>
                <w:sz w:val="20"/>
                <w:szCs w:val="20"/>
              </w:rPr>
            </w:pPr>
            <w:r w:rsidRPr="003F7D48">
              <w:rPr>
                <w:rFonts w:ascii="Arial" w:hAnsi="Arial"/>
                <w:sz w:val="20"/>
                <w:szCs w:val="20"/>
              </w:rPr>
              <w:t>At or above NMS</w:t>
            </w:r>
          </w:p>
        </w:tc>
        <w:tc>
          <w:tcPr>
            <w:tcW w:w="645" w:type="pct"/>
            <w:vAlign w:val="center"/>
          </w:tcPr>
          <w:p w:rsidR="00F60356" w:rsidRPr="003F7D48" w:rsidRDefault="00F60356" w:rsidP="00C40DB1">
            <w:pPr>
              <w:pStyle w:val="TableBodyText"/>
            </w:pPr>
            <w:r w:rsidRPr="003F7D48">
              <w:t>63.4 ± 1.8</w:t>
            </w:r>
          </w:p>
        </w:tc>
        <w:tc>
          <w:tcPr>
            <w:tcW w:w="645" w:type="pct"/>
            <w:vAlign w:val="center"/>
          </w:tcPr>
          <w:p w:rsidR="00F60356" w:rsidRPr="003F7D48" w:rsidRDefault="00F60356" w:rsidP="00C40DB1">
            <w:pPr>
              <w:pStyle w:val="TableBodyText"/>
            </w:pPr>
            <w:r w:rsidRPr="003F7D48">
              <w:t>66.4 ± 1.7</w:t>
            </w:r>
          </w:p>
        </w:tc>
        <w:tc>
          <w:tcPr>
            <w:tcW w:w="645" w:type="pct"/>
            <w:vAlign w:val="center"/>
          </w:tcPr>
          <w:p w:rsidR="00F60356" w:rsidRPr="003F7D48" w:rsidRDefault="00F60356" w:rsidP="00C40DB1">
            <w:pPr>
              <w:pStyle w:val="TableBodyText"/>
            </w:pPr>
            <w:r w:rsidRPr="003F7D48">
              <w:t>64.7 ± 1.9</w:t>
            </w:r>
          </w:p>
        </w:tc>
        <w:tc>
          <w:tcPr>
            <w:tcW w:w="943" w:type="pct"/>
            <w:vAlign w:val="bottom"/>
          </w:tcPr>
          <w:p w:rsidR="00F60356" w:rsidRPr="003F7D48" w:rsidRDefault="00F60356" w:rsidP="00C40DB1">
            <w:pPr>
              <w:pStyle w:val="TableBodyText"/>
              <w:jc w:val="center"/>
            </w:pPr>
            <w:r w:rsidRPr="003F7D48">
              <w:t>●</w:t>
            </w:r>
          </w:p>
        </w:tc>
        <w:tc>
          <w:tcPr>
            <w:tcW w:w="831" w:type="pct"/>
            <w:vAlign w:val="bottom"/>
          </w:tcPr>
          <w:p w:rsidR="00F60356" w:rsidRPr="003F7D48" w:rsidRDefault="00F60356" w:rsidP="00C40DB1">
            <w:pPr>
              <w:pStyle w:val="TableBodyText"/>
              <w:jc w:val="center"/>
            </w:pPr>
            <w:r w:rsidRPr="003F7D48">
              <w:t>●</w:t>
            </w:r>
          </w:p>
        </w:tc>
      </w:tr>
      <w:tr w:rsidR="00F60356" w:rsidRPr="003F7D48" w:rsidTr="00C40DB1">
        <w:tc>
          <w:tcPr>
            <w:tcW w:w="1935" w:type="pct"/>
            <w:gridSpan w:val="2"/>
          </w:tcPr>
          <w:p w:rsidR="00F60356" w:rsidRPr="003F7D48" w:rsidRDefault="00F60356" w:rsidP="00C40DB1">
            <w:pPr>
              <w:pStyle w:val="TableBodyText"/>
              <w:jc w:val="left"/>
            </w:pPr>
            <w:r w:rsidRPr="003F7D48">
              <w:t>Non-Indigenous students</w:t>
            </w:r>
          </w:p>
        </w:tc>
        <w:tc>
          <w:tcPr>
            <w:tcW w:w="645" w:type="pct"/>
          </w:tcPr>
          <w:p w:rsidR="00F60356" w:rsidRPr="003F7D48" w:rsidRDefault="00F60356" w:rsidP="00C40DB1">
            <w:pPr>
              <w:pStyle w:val="TableBodyText"/>
            </w:pPr>
          </w:p>
        </w:tc>
        <w:tc>
          <w:tcPr>
            <w:tcW w:w="645" w:type="pct"/>
          </w:tcPr>
          <w:p w:rsidR="00F60356" w:rsidRPr="003F7D48" w:rsidRDefault="00F60356" w:rsidP="00C40DB1">
            <w:pPr>
              <w:pStyle w:val="TableBodyText"/>
            </w:pPr>
          </w:p>
        </w:tc>
        <w:tc>
          <w:tcPr>
            <w:tcW w:w="943" w:type="pct"/>
          </w:tcPr>
          <w:p w:rsidR="00F60356" w:rsidRPr="003F7D48" w:rsidRDefault="00F60356" w:rsidP="00C40DB1">
            <w:pPr>
              <w:pStyle w:val="TableBodyText"/>
              <w:jc w:val="center"/>
            </w:pPr>
          </w:p>
        </w:tc>
        <w:tc>
          <w:tcPr>
            <w:tcW w:w="831" w:type="pct"/>
          </w:tcPr>
          <w:p w:rsidR="00F60356" w:rsidRPr="003F7D48" w:rsidRDefault="00F60356" w:rsidP="00C40DB1">
            <w:pPr>
              <w:pStyle w:val="TableBodyText"/>
              <w:jc w:val="center"/>
            </w:pPr>
          </w:p>
        </w:tc>
      </w:tr>
      <w:tr w:rsidR="00F60356" w:rsidRPr="003F7D48" w:rsidTr="00C40DB1">
        <w:tc>
          <w:tcPr>
            <w:tcW w:w="1290" w:type="pct"/>
            <w:vAlign w:val="center"/>
          </w:tcPr>
          <w:p w:rsidR="00F60356" w:rsidRPr="003F7D48" w:rsidRDefault="00F60356" w:rsidP="00C40DB1">
            <w:pPr>
              <w:keepNext/>
              <w:keepLines/>
              <w:spacing w:after="40" w:line="220" w:lineRule="atLeast"/>
              <w:ind w:left="6" w:right="113"/>
              <w:jc w:val="center"/>
              <w:rPr>
                <w:rFonts w:ascii="Arial" w:hAnsi="Arial"/>
                <w:sz w:val="20"/>
                <w:szCs w:val="20"/>
              </w:rPr>
            </w:pPr>
            <w:r w:rsidRPr="003F7D48">
              <w:rPr>
                <w:rFonts w:ascii="Arial" w:hAnsi="Arial"/>
                <w:sz w:val="20"/>
                <w:szCs w:val="20"/>
              </w:rPr>
              <w:t>Mean scale score</w:t>
            </w:r>
          </w:p>
        </w:tc>
        <w:tc>
          <w:tcPr>
            <w:tcW w:w="645" w:type="pct"/>
            <w:vAlign w:val="center"/>
          </w:tcPr>
          <w:p w:rsidR="00F60356" w:rsidRPr="003F7D48" w:rsidRDefault="00F60356" w:rsidP="00C40DB1">
            <w:pPr>
              <w:pStyle w:val="TableBodyText"/>
            </w:pPr>
            <w:r w:rsidRPr="003F7D48">
              <w:t>488.7 ± 1.0</w:t>
            </w:r>
          </w:p>
        </w:tc>
        <w:tc>
          <w:tcPr>
            <w:tcW w:w="645" w:type="pct"/>
            <w:vAlign w:val="center"/>
          </w:tcPr>
          <w:p w:rsidR="00F60356" w:rsidRPr="003F7D48" w:rsidRDefault="00F60356" w:rsidP="00C40DB1">
            <w:pPr>
              <w:pStyle w:val="TableBodyText"/>
            </w:pPr>
            <w:r w:rsidRPr="003F7D48">
              <w:t>492.3 ± 1.0</w:t>
            </w:r>
          </w:p>
        </w:tc>
        <w:tc>
          <w:tcPr>
            <w:tcW w:w="645" w:type="pct"/>
            <w:vAlign w:val="center"/>
          </w:tcPr>
          <w:p w:rsidR="00F60356" w:rsidRPr="003F7D48" w:rsidRDefault="00F60356" w:rsidP="00C40DB1">
            <w:pPr>
              <w:pStyle w:val="TableBodyText"/>
            </w:pPr>
            <w:r w:rsidRPr="003F7D48">
              <w:t>498.0 ± 1.0</w:t>
            </w:r>
          </w:p>
        </w:tc>
        <w:tc>
          <w:tcPr>
            <w:tcW w:w="943" w:type="pct"/>
            <w:vAlign w:val="bottom"/>
          </w:tcPr>
          <w:p w:rsidR="00F60356" w:rsidRPr="003F7D48" w:rsidRDefault="00F60356" w:rsidP="00C40DB1">
            <w:pPr>
              <w:pStyle w:val="TableBodyText"/>
              <w:jc w:val="center"/>
            </w:pPr>
            <w:r w:rsidRPr="003F7D48">
              <w:t>↑</w:t>
            </w:r>
          </w:p>
        </w:tc>
        <w:tc>
          <w:tcPr>
            <w:tcW w:w="831" w:type="pct"/>
            <w:vAlign w:val="bottom"/>
          </w:tcPr>
          <w:p w:rsidR="00F60356" w:rsidRPr="003F7D48" w:rsidRDefault="00F60356" w:rsidP="00C40DB1">
            <w:pPr>
              <w:pStyle w:val="TableBodyText"/>
              <w:jc w:val="center"/>
            </w:pPr>
            <w:r w:rsidRPr="003F7D48">
              <w:t>●</w:t>
            </w:r>
          </w:p>
        </w:tc>
      </w:tr>
      <w:tr w:rsidR="00F60356" w:rsidRPr="003F7D48" w:rsidTr="00C40DB1">
        <w:tc>
          <w:tcPr>
            <w:tcW w:w="1290" w:type="pct"/>
            <w:vAlign w:val="center"/>
          </w:tcPr>
          <w:p w:rsidR="00F60356" w:rsidRPr="003F7D48" w:rsidRDefault="00F60356" w:rsidP="00C40DB1">
            <w:pPr>
              <w:keepNext/>
              <w:keepLines/>
              <w:spacing w:after="40" w:line="220" w:lineRule="atLeast"/>
              <w:ind w:left="6" w:right="113"/>
              <w:jc w:val="center"/>
              <w:rPr>
                <w:rFonts w:ascii="Arial" w:hAnsi="Arial"/>
                <w:sz w:val="20"/>
                <w:szCs w:val="20"/>
              </w:rPr>
            </w:pPr>
            <w:r w:rsidRPr="003F7D48">
              <w:rPr>
                <w:rFonts w:ascii="Arial" w:hAnsi="Arial"/>
                <w:sz w:val="20"/>
                <w:szCs w:val="20"/>
              </w:rPr>
              <w:t>At or above NMS</w:t>
            </w:r>
          </w:p>
        </w:tc>
        <w:tc>
          <w:tcPr>
            <w:tcW w:w="645" w:type="pct"/>
            <w:vAlign w:val="center"/>
          </w:tcPr>
          <w:p w:rsidR="00F60356" w:rsidRPr="003F7D48" w:rsidRDefault="00F60356" w:rsidP="00C40DB1">
            <w:pPr>
              <w:pStyle w:val="TableBodyText"/>
            </w:pPr>
            <w:r w:rsidRPr="003F7D48">
              <w:t>92.6 ± 0.2</w:t>
            </w:r>
          </w:p>
        </w:tc>
        <w:tc>
          <w:tcPr>
            <w:tcW w:w="645" w:type="pct"/>
            <w:vAlign w:val="center"/>
          </w:tcPr>
          <w:p w:rsidR="00F60356" w:rsidRPr="003F7D48" w:rsidRDefault="00F60356" w:rsidP="00C40DB1">
            <w:pPr>
              <w:pStyle w:val="TableBodyText"/>
            </w:pPr>
            <w:r w:rsidRPr="003F7D48">
              <w:t>92.9 ± 0.2</w:t>
            </w:r>
          </w:p>
        </w:tc>
        <w:tc>
          <w:tcPr>
            <w:tcW w:w="645" w:type="pct"/>
            <w:vAlign w:val="center"/>
          </w:tcPr>
          <w:p w:rsidR="00F60356" w:rsidRPr="003F7D48" w:rsidRDefault="00F60356" w:rsidP="00C40DB1">
            <w:pPr>
              <w:pStyle w:val="TableBodyText"/>
            </w:pPr>
            <w:r w:rsidRPr="003F7D48">
              <w:t>93.1 ± 0.2</w:t>
            </w:r>
          </w:p>
        </w:tc>
        <w:tc>
          <w:tcPr>
            <w:tcW w:w="943" w:type="pct"/>
            <w:vAlign w:val="bottom"/>
          </w:tcPr>
          <w:p w:rsidR="00F60356" w:rsidRPr="003F7D48" w:rsidRDefault="00F60356" w:rsidP="00C40DB1">
            <w:pPr>
              <w:pStyle w:val="TableBodyText"/>
              <w:jc w:val="center"/>
            </w:pPr>
            <w:r w:rsidRPr="003F7D48">
              <w:t>●</w:t>
            </w:r>
          </w:p>
        </w:tc>
        <w:tc>
          <w:tcPr>
            <w:tcW w:w="831" w:type="pct"/>
            <w:vAlign w:val="bottom"/>
          </w:tcPr>
          <w:p w:rsidR="00F60356" w:rsidRPr="003F7D48" w:rsidRDefault="00F60356" w:rsidP="00C40DB1">
            <w:pPr>
              <w:pStyle w:val="TableBodyText"/>
              <w:jc w:val="center"/>
            </w:pPr>
            <w:r w:rsidRPr="003F7D48">
              <w:t>●</w:t>
            </w:r>
          </w:p>
        </w:tc>
      </w:tr>
      <w:tr w:rsidR="00F60356" w:rsidRPr="003F7D48" w:rsidTr="00C40DB1">
        <w:tc>
          <w:tcPr>
            <w:tcW w:w="1935" w:type="pct"/>
            <w:gridSpan w:val="2"/>
          </w:tcPr>
          <w:p w:rsidR="00F60356" w:rsidRPr="003F7D48" w:rsidRDefault="00F60356" w:rsidP="00C40DB1">
            <w:pPr>
              <w:pStyle w:val="TableBodyText"/>
              <w:jc w:val="left"/>
            </w:pPr>
            <w:r w:rsidRPr="003F7D48">
              <w:t>All students</w:t>
            </w:r>
          </w:p>
        </w:tc>
        <w:tc>
          <w:tcPr>
            <w:tcW w:w="645" w:type="pct"/>
          </w:tcPr>
          <w:p w:rsidR="00F60356" w:rsidRPr="003F7D48" w:rsidRDefault="00F60356" w:rsidP="00C40DB1">
            <w:pPr>
              <w:pStyle w:val="TableBodyText"/>
            </w:pPr>
          </w:p>
        </w:tc>
        <w:tc>
          <w:tcPr>
            <w:tcW w:w="645" w:type="pct"/>
          </w:tcPr>
          <w:p w:rsidR="00F60356" w:rsidRPr="003F7D48" w:rsidRDefault="00F60356" w:rsidP="00C40DB1">
            <w:pPr>
              <w:pStyle w:val="TableBodyText"/>
            </w:pPr>
          </w:p>
        </w:tc>
        <w:tc>
          <w:tcPr>
            <w:tcW w:w="943" w:type="pct"/>
          </w:tcPr>
          <w:p w:rsidR="00F60356" w:rsidRPr="003F7D48" w:rsidRDefault="00F60356" w:rsidP="00C40DB1">
            <w:pPr>
              <w:pStyle w:val="TableBodyText"/>
              <w:jc w:val="center"/>
            </w:pPr>
          </w:p>
        </w:tc>
        <w:tc>
          <w:tcPr>
            <w:tcW w:w="831" w:type="pct"/>
          </w:tcPr>
          <w:p w:rsidR="00F60356" w:rsidRPr="003F7D48" w:rsidRDefault="00F60356" w:rsidP="00C40DB1">
            <w:pPr>
              <w:pStyle w:val="TableBodyText"/>
              <w:jc w:val="center"/>
            </w:pPr>
          </w:p>
        </w:tc>
      </w:tr>
      <w:tr w:rsidR="00F60356" w:rsidRPr="003F7D48" w:rsidTr="00C40DB1">
        <w:tc>
          <w:tcPr>
            <w:tcW w:w="1290" w:type="pct"/>
            <w:vAlign w:val="center"/>
          </w:tcPr>
          <w:p w:rsidR="00F60356" w:rsidRPr="003F7D48" w:rsidRDefault="00F60356" w:rsidP="00C40DB1">
            <w:pPr>
              <w:keepNext/>
              <w:keepLines/>
              <w:spacing w:after="40" w:line="220" w:lineRule="atLeast"/>
              <w:ind w:left="6" w:right="113"/>
              <w:jc w:val="center"/>
              <w:rPr>
                <w:rFonts w:ascii="Arial" w:hAnsi="Arial"/>
                <w:sz w:val="20"/>
                <w:szCs w:val="20"/>
              </w:rPr>
            </w:pPr>
            <w:r w:rsidRPr="003F7D48">
              <w:rPr>
                <w:rFonts w:ascii="Arial" w:hAnsi="Arial"/>
                <w:sz w:val="20"/>
                <w:szCs w:val="20"/>
              </w:rPr>
              <w:t>Mean scale score</w:t>
            </w:r>
          </w:p>
        </w:tc>
        <w:tc>
          <w:tcPr>
            <w:tcW w:w="645" w:type="pct"/>
            <w:vAlign w:val="center"/>
          </w:tcPr>
          <w:p w:rsidR="00F60356" w:rsidRPr="003F7D48" w:rsidRDefault="00F60356" w:rsidP="00C40DB1">
            <w:pPr>
              <w:pStyle w:val="TableBodyText"/>
            </w:pPr>
            <w:r w:rsidRPr="003F7D48">
              <w:t>484.4 ± 1.1</w:t>
            </w:r>
          </w:p>
        </w:tc>
        <w:tc>
          <w:tcPr>
            <w:tcW w:w="645" w:type="pct"/>
            <w:vAlign w:val="center"/>
          </w:tcPr>
          <w:p w:rsidR="00F60356" w:rsidRPr="003F7D48" w:rsidRDefault="00F60356" w:rsidP="00C40DB1">
            <w:pPr>
              <w:pStyle w:val="TableBodyText"/>
            </w:pPr>
            <w:r w:rsidRPr="003F7D48">
              <w:t>488.1 ± 1.1</w:t>
            </w:r>
          </w:p>
        </w:tc>
        <w:tc>
          <w:tcPr>
            <w:tcW w:w="645" w:type="pct"/>
            <w:vAlign w:val="center"/>
          </w:tcPr>
          <w:p w:rsidR="00F60356" w:rsidRPr="003F7D48" w:rsidRDefault="00F60356" w:rsidP="00C40DB1">
            <w:pPr>
              <w:pStyle w:val="TableBodyText"/>
            </w:pPr>
            <w:r w:rsidRPr="003F7D48">
              <w:t>493.6 ± 1.1</w:t>
            </w:r>
          </w:p>
        </w:tc>
        <w:tc>
          <w:tcPr>
            <w:tcW w:w="943" w:type="pct"/>
            <w:vAlign w:val="bottom"/>
          </w:tcPr>
          <w:p w:rsidR="00F60356" w:rsidRPr="003F7D48" w:rsidRDefault="00F60356" w:rsidP="00C40DB1">
            <w:pPr>
              <w:pStyle w:val="TableBodyText"/>
              <w:jc w:val="center"/>
            </w:pPr>
            <w:r w:rsidRPr="003F7D48">
              <w:t>↑</w:t>
            </w:r>
          </w:p>
        </w:tc>
        <w:tc>
          <w:tcPr>
            <w:tcW w:w="831" w:type="pct"/>
            <w:vAlign w:val="bottom"/>
          </w:tcPr>
          <w:p w:rsidR="00F60356" w:rsidRPr="003F7D48" w:rsidRDefault="00F60356" w:rsidP="00C40DB1">
            <w:pPr>
              <w:pStyle w:val="TableBodyText"/>
              <w:jc w:val="center"/>
            </w:pPr>
            <w:r w:rsidRPr="003F7D48">
              <w:t>●</w:t>
            </w:r>
          </w:p>
        </w:tc>
      </w:tr>
      <w:tr w:rsidR="00F60356" w:rsidRPr="003F7D48" w:rsidTr="00C40DB1">
        <w:tc>
          <w:tcPr>
            <w:tcW w:w="1290" w:type="pct"/>
            <w:tcBorders>
              <w:bottom w:val="single" w:sz="6" w:space="0" w:color="auto"/>
            </w:tcBorders>
            <w:shd w:val="clear" w:color="auto" w:fill="auto"/>
            <w:vAlign w:val="center"/>
          </w:tcPr>
          <w:p w:rsidR="00F60356" w:rsidRPr="003F7D48" w:rsidRDefault="00F60356" w:rsidP="00C40DB1">
            <w:pPr>
              <w:keepNext/>
              <w:keepLines/>
              <w:spacing w:after="40" w:line="220" w:lineRule="atLeast"/>
              <w:ind w:left="6" w:right="113"/>
              <w:jc w:val="center"/>
              <w:rPr>
                <w:rFonts w:ascii="Arial" w:hAnsi="Arial"/>
                <w:sz w:val="20"/>
                <w:szCs w:val="20"/>
              </w:rPr>
            </w:pPr>
            <w:r w:rsidRPr="003F7D48">
              <w:rPr>
                <w:rFonts w:ascii="Arial" w:hAnsi="Arial"/>
                <w:sz w:val="20"/>
                <w:szCs w:val="20"/>
              </w:rPr>
              <w:t>At or above NMS</w:t>
            </w:r>
          </w:p>
        </w:tc>
        <w:tc>
          <w:tcPr>
            <w:tcW w:w="645" w:type="pct"/>
            <w:tcBorders>
              <w:bottom w:val="single" w:sz="6" w:space="0" w:color="auto"/>
            </w:tcBorders>
            <w:shd w:val="clear" w:color="auto" w:fill="auto"/>
            <w:vAlign w:val="center"/>
          </w:tcPr>
          <w:p w:rsidR="00F60356" w:rsidRPr="003F7D48" w:rsidRDefault="00F60356" w:rsidP="00C40DB1">
            <w:pPr>
              <w:pStyle w:val="TableBodyText"/>
            </w:pPr>
            <w:r w:rsidRPr="003F7D48">
              <w:t>91.0 ± 0.3</w:t>
            </w:r>
          </w:p>
        </w:tc>
        <w:tc>
          <w:tcPr>
            <w:tcW w:w="645" w:type="pct"/>
            <w:tcBorders>
              <w:bottom w:val="single" w:sz="6" w:space="0" w:color="auto"/>
            </w:tcBorders>
            <w:vAlign w:val="center"/>
          </w:tcPr>
          <w:p w:rsidR="00F60356" w:rsidRPr="003F7D48" w:rsidRDefault="00F60356" w:rsidP="00C40DB1">
            <w:pPr>
              <w:pStyle w:val="TableBodyText"/>
            </w:pPr>
            <w:r w:rsidRPr="003F7D48">
              <w:t>91.5 ± 0.3</w:t>
            </w:r>
          </w:p>
        </w:tc>
        <w:tc>
          <w:tcPr>
            <w:tcW w:w="645" w:type="pct"/>
            <w:tcBorders>
              <w:bottom w:val="single" w:sz="6" w:space="0" w:color="auto"/>
            </w:tcBorders>
            <w:vAlign w:val="center"/>
          </w:tcPr>
          <w:p w:rsidR="00F60356" w:rsidRPr="003F7D48" w:rsidRDefault="00F60356" w:rsidP="00C40DB1">
            <w:pPr>
              <w:pStyle w:val="TableBodyText"/>
            </w:pPr>
            <w:r w:rsidRPr="003F7D48">
              <w:t>91.6 ± 0.3</w:t>
            </w:r>
          </w:p>
        </w:tc>
        <w:tc>
          <w:tcPr>
            <w:tcW w:w="943" w:type="pct"/>
            <w:tcBorders>
              <w:bottom w:val="single" w:sz="6" w:space="0" w:color="auto"/>
            </w:tcBorders>
            <w:vAlign w:val="bottom"/>
          </w:tcPr>
          <w:p w:rsidR="00F60356" w:rsidRPr="003F7D48" w:rsidRDefault="00F60356" w:rsidP="00C40DB1">
            <w:pPr>
              <w:pStyle w:val="TableBodyText"/>
              <w:jc w:val="center"/>
            </w:pPr>
            <w:r w:rsidRPr="003F7D48">
              <w:t>●</w:t>
            </w:r>
          </w:p>
        </w:tc>
        <w:tc>
          <w:tcPr>
            <w:tcW w:w="831" w:type="pct"/>
            <w:tcBorders>
              <w:bottom w:val="single" w:sz="6" w:space="0" w:color="auto"/>
            </w:tcBorders>
            <w:shd w:val="clear" w:color="auto" w:fill="auto"/>
            <w:vAlign w:val="bottom"/>
          </w:tcPr>
          <w:p w:rsidR="00F60356" w:rsidRPr="003F7D48" w:rsidRDefault="00F60356" w:rsidP="00C40DB1">
            <w:pPr>
              <w:pStyle w:val="TableBodyText"/>
              <w:jc w:val="center"/>
            </w:pPr>
            <w:r w:rsidRPr="003F7D48">
              <w:t>●</w:t>
            </w:r>
          </w:p>
        </w:tc>
      </w:tr>
    </w:tbl>
    <w:p w:rsidR="00F60356" w:rsidRPr="003F7D48" w:rsidRDefault="00F60356" w:rsidP="00F60356">
      <w:pPr>
        <w:keepLines/>
        <w:spacing w:before="80" w:line="220" w:lineRule="exact"/>
        <w:jc w:val="both"/>
        <w:rPr>
          <w:rFonts w:ascii="Arial" w:hAnsi="Arial"/>
          <w:sz w:val="18"/>
          <w:szCs w:val="20"/>
        </w:rPr>
      </w:pPr>
      <w:r w:rsidRPr="003F7D48">
        <w:rPr>
          <w:rFonts w:ascii="Arial" w:hAnsi="Arial"/>
          <w:sz w:val="18"/>
          <w:szCs w:val="20"/>
        </w:rPr>
        <w:t xml:space="preserve">NMS = National Minimum Standard. </w:t>
      </w:r>
      <w:r w:rsidRPr="003F7D48">
        <w:rPr>
          <w:rFonts w:ascii="Arial" w:hAnsi="Arial"/>
          <w:b/>
          <w:sz w:val="18"/>
          <w:szCs w:val="20"/>
        </w:rPr>
        <w:t>↑</w:t>
      </w:r>
      <w:r w:rsidRPr="003F7D48">
        <w:rPr>
          <w:rFonts w:ascii="Arial" w:hAnsi="Arial"/>
          <w:sz w:val="18"/>
          <w:szCs w:val="20"/>
        </w:rPr>
        <w:t xml:space="preserve">= Average achievement significantly higher, statistically. </w:t>
      </w:r>
      <w:r w:rsidRPr="003F7D48">
        <w:rPr>
          <w:rFonts w:ascii="Arial" w:hAnsi="Arial" w:cs="Arial"/>
          <w:sz w:val="18"/>
          <w:szCs w:val="20"/>
        </w:rPr>
        <w:t>●</w:t>
      </w:r>
      <w:r w:rsidRPr="003F7D48">
        <w:rPr>
          <w:rFonts w:ascii="Arial" w:hAnsi="Arial"/>
          <w:sz w:val="18"/>
          <w:szCs w:val="20"/>
        </w:rPr>
        <w:t xml:space="preserve"> = No significant difference, statistically.</w:t>
      </w:r>
    </w:p>
    <w:p w:rsidR="00F60356" w:rsidRPr="003F7D48" w:rsidRDefault="00F60356" w:rsidP="00F60356">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The mean scale scores and proportions at or above national minimum standard reported in this table include 95 per cent confidence intervals (for example, a mean scale score of 400.0 ± 2.7</w:t>
      </w:r>
      <w:r w:rsidRPr="003F7D48">
        <w:rPr>
          <w:rFonts w:ascii="Arial" w:hAnsi="Arial"/>
          <w:sz w:val="18"/>
          <w:szCs w:val="20"/>
          <w:shd w:val="clear" w:color="auto" w:fill="FFFFFF" w:themeFill="background1"/>
        </w:rPr>
        <w:t>). The confidence intervals in this table are for the specific year applicable and do not provide an indication of statistically significant differences between years. See section 2.5 of the statistical context chapter for more</w:t>
      </w:r>
      <w:r w:rsidRPr="003F7D48">
        <w:rPr>
          <w:rFonts w:ascii="Arial" w:hAnsi="Arial"/>
          <w:sz w:val="18"/>
          <w:szCs w:val="20"/>
        </w:rPr>
        <w:t xml:space="preserve"> information on confidence intervals. </w:t>
      </w:r>
      <w:r w:rsidRPr="003F7D48">
        <w:rPr>
          <w:rFonts w:ascii="Arial" w:hAnsi="Arial"/>
          <w:b/>
          <w:position w:val="6"/>
          <w:sz w:val="18"/>
          <w:szCs w:val="20"/>
        </w:rPr>
        <w:t>b</w:t>
      </w:r>
      <w:r w:rsidRPr="003F7D48">
        <w:rPr>
          <w:rFonts w:ascii="Arial" w:hAnsi="Arial"/>
          <w:sz w:val="18"/>
          <w:szCs w:val="20"/>
        </w:rPr>
        <w:t> For further information and caveats see table 4A.52.</w:t>
      </w:r>
    </w:p>
    <w:p w:rsidR="00F60356" w:rsidRPr="003F7D48" w:rsidRDefault="00F60356" w:rsidP="00F60356">
      <w:pPr>
        <w:keepLines/>
        <w:spacing w:before="8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ACARA, Sydney; table 4A.52; 2014 Report, table 4.7, p. 4.59.</w:t>
      </w:r>
    </w:p>
    <w:p w:rsidR="00551060" w:rsidRPr="003F7D48" w:rsidRDefault="00551060" w:rsidP="00551060">
      <w:pPr>
        <w:keepNext/>
        <w:spacing w:before="480" w:line="320" w:lineRule="exact"/>
        <w:outlineLvl w:val="4"/>
        <w:rPr>
          <w:i/>
          <w:szCs w:val="20"/>
        </w:rPr>
      </w:pPr>
      <w:r w:rsidRPr="003F7D48">
        <w:rPr>
          <w:i/>
          <w:szCs w:val="20"/>
        </w:rPr>
        <w:t>Cohort gain</w:t>
      </w:r>
    </w:p>
    <w:p w:rsidR="00551060" w:rsidRPr="003F7D48" w:rsidRDefault="00551060" w:rsidP="00551060">
      <w:pPr>
        <w:shd w:val="clear" w:color="auto" w:fill="FFFFFF" w:themeFill="background1"/>
        <w:spacing w:before="240" w:line="320" w:lineRule="atLeast"/>
        <w:jc w:val="both"/>
        <w:rPr>
          <w:szCs w:val="20"/>
        </w:rPr>
      </w:pPr>
      <w:r w:rsidRPr="003F7D48">
        <w:rPr>
          <w:szCs w:val="20"/>
        </w:rPr>
        <w:t>Analysis of NAPLAN mean scale score data for the years 2008 to 2010 and 2010 to 2012 enables comparisons of outcomes for the same cohort of students over time (box 4.3). This chapter reports on gains in reading and numeracy from year 3 in 2008 to year 5 in 2010 and year 7 in 2012. Student gain for other cohorts (year 5 in 2008 to year 7 in 2010 and year 9 in 2012; and year 3 in 2010 to year 5 in 2012) are included in attachment tables. Data for cohort gain from 2009 to</w:t>
      </w:r>
      <w:r w:rsidR="00245C09" w:rsidRPr="003F7D48">
        <w:rPr>
          <w:szCs w:val="20"/>
        </w:rPr>
        <w:t xml:space="preserve"> 2011 were included in the 2013 </w:t>
      </w:r>
      <w:r w:rsidRPr="003F7D48">
        <w:rPr>
          <w:szCs w:val="20"/>
        </w:rPr>
        <w:t>Report.</w:t>
      </w:r>
    </w:p>
    <w:p w:rsidR="00551060" w:rsidRPr="003F7D48" w:rsidRDefault="00551060" w:rsidP="0055106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51060" w:rsidRPr="003F7D48" w:rsidTr="00C40DB1">
        <w:tc>
          <w:tcPr>
            <w:tcW w:w="8771" w:type="dxa"/>
            <w:tcBorders>
              <w:top w:val="single" w:sz="6" w:space="0" w:color="auto"/>
              <w:bottom w:val="nil"/>
            </w:tcBorders>
          </w:tcPr>
          <w:p w:rsidR="00551060" w:rsidRPr="003F7D48" w:rsidRDefault="00551060" w:rsidP="00551060">
            <w:pPr>
              <w:keepNext/>
              <w:keepLines/>
              <w:spacing w:before="120" w:line="280" w:lineRule="exact"/>
              <w:ind w:left="1304" w:hanging="1304"/>
              <w:rPr>
                <w:rFonts w:ascii="Arial" w:hAnsi="Arial"/>
                <w:b/>
                <w:sz w:val="24"/>
              </w:rPr>
            </w:pPr>
            <w:r w:rsidRPr="003F7D48">
              <w:rPr>
                <w:rFonts w:ascii="Arial" w:hAnsi="Arial"/>
                <w:sz w:val="24"/>
              </w:rPr>
              <w:t>Box 4.3</w:t>
            </w:r>
            <w:r w:rsidRPr="003F7D48">
              <w:rPr>
                <w:rFonts w:ascii="Arial" w:hAnsi="Arial"/>
                <w:b/>
                <w:sz w:val="24"/>
              </w:rPr>
              <w:tab/>
              <w:t>Achievement and gain</w:t>
            </w:r>
          </w:p>
        </w:tc>
      </w:tr>
      <w:tr w:rsidR="00551060" w:rsidRPr="003F7D48" w:rsidTr="00C40DB1">
        <w:trPr>
          <w:cantSplit/>
        </w:trPr>
        <w:tc>
          <w:tcPr>
            <w:tcW w:w="8771" w:type="dxa"/>
            <w:tcBorders>
              <w:top w:val="nil"/>
              <w:left w:val="single" w:sz="6" w:space="0" w:color="auto"/>
              <w:bottom w:val="nil"/>
              <w:right w:val="single" w:sz="6" w:space="0" w:color="auto"/>
            </w:tcBorders>
          </w:tcPr>
          <w:p w:rsidR="00551060" w:rsidRPr="003F7D48" w:rsidRDefault="00551060" w:rsidP="00551060">
            <w:pPr>
              <w:keepNext/>
              <w:shd w:val="clear" w:color="auto" w:fill="FFFFFF" w:themeFill="background1"/>
              <w:spacing w:before="120" w:line="280" w:lineRule="atLeast"/>
              <w:jc w:val="both"/>
              <w:rPr>
                <w:rFonts w:ascii="Arial" w:hAnsi="Arial"/>
                <w:sz w:val="22"/>
                <w:szCs w:val="20"/>
              </w:rPr>
            </w:pPr>
            <w:r w:rsidRPr="003F7D48">
              <w:rPr>
                <w:rFonts w:ascii="Arial" w:hAnsi="Arial"/>
                <w:sz w:val="22"/>
                <w:szCs w:val="20"/>
                <w:shd w:val="clear" w:color="auto" w:fill="FFFFFF" w:themeFill="background1"/>
              </w:rPr>
              <w:t>For national reporting purposes</w:t>
            </w:r>
            <w:r w:rsidRPr="003F7D48">
              <w:rPr>
                <w:rFonts w:ascii="Arial" w:hAnsi="Arial"/>
                <w:sz w:val="22"/>
                <w:szCs w:val="20"/>
              </w:rPr>
              <w:t>, gain is the difference in mean scale scores in a domain for the same cohort of students between two testing years, for example between 2010 and 2012. The cohorts between the two years are not matched — that is, there will be differences between the exact composition of the student body in any given State or Territory.</w:t>
            </w:r>
          </w:p>
          <w:p w:rsidR="00551060" w:rsidRPr="003F7D48" w:rsidRDefault="00551060" w:rsidP="00551060">
            <w:pPr>
              <w:keepNext/>
              <w:shd w:val="clear" w:color="auto" w:fill="FFFFFF" w:themeFill="background1"/>
              <w:spacing w:before="120" w:line="280" w:lineRule="atLeast"/>
              <w:jc w:val="both"/>
              <w:rPr>
                <w:rFonts w:ascii="Arial" w:hAnsi="Arial"/>
                <w:sz w:val="22"/>
                <w:szCs w:val="20"/>
              </w:rPr>
            </w:pPr>
            <w:r w:rsidRPr="003F7D48">
              <w:rPr>
                <w:rFonts w:ascii="Arial" w:hAnsi="Arial"/>
                <w:sz w:val="22"/>
                <w:szCs w:val="20"/>
              </w:rPr>
              <w:t>A feature of gain in NAPLAN performance is that the size of the gain tends to be associated with the level of prior performance: the lower the prior performance, the more likely the possibility of greater gain. Further, for literacy and numeracy, student gain is greater in the early years. Few of the differences across states and territories in the gains made between 2008 and 2010 and between 2010 and 2012 are statistically significant. This report includes confidence intervals, which provide an indication of the level of uncertainty of the gain over the two year period.</w:t>
            </w:r>
          </w:p>
        </w:tc>
      </w:tr>
      <w:tr w:rsidR="00551060" w:rsidRPr="003F7D48" w:rsidTr="00C40DB1">
        <w:trPr>
          <w:cantSplit/>
        </w:trPr>
        <w:tc>
          <w:tcPr>
            <w:tcW w:w="8771" w:type="dxa"/>
            <w:tcBorders>
              <w:top w:val="nil"/>
              <w:left w:val="single" w:sz="6" w:space="0" w:color="auto"/>
              <w:bottom w:val="nil"/>
              <w:right w:val="single" w:sz="6" w:space="0" w:color="auto"/>
            </w:tcBorders>
          </w:tcPr>
          <w:p w:rsidR="00551060" w:rsidRPr="003F7D48" w:rsidRDefault="00551060" w:rsidP="00551060">
            <w:pPr>
              <w:keepLines/>
              <w:spacing w:before="180" w:line="220" w:lineRule="exact"/>
              <w:jc w:val="both"/>
              <w:rPr>
                <w:rFonts w:ascii="Arial" w:hAnsi="Arial"/>
                <w:sz w:val="18"/>
                <w:szCs w:val="20"/>
              </w:rPr>
            </w:pPr>
            <w:r w:rsidRPr="003F7D48">
              <w:rPr>
                <w:rFonts w:ascii="Arial" w:hAnsi="Arial"/>
                <w:i/>
                <w:sz w:val="18"/>
                <w:szCs w:val="20"/>
              </w:rPr>
              <w:t>Source</w:t>
            </w:r>
            <w:r w:rsidR="008519FD" w:rsidRPr="003F7D48">
              <w:rPr>
                <w:rFonts w:ascii="Arial" w:hAnsi="Arial"/>
                <w:sz w:val="18"/>
                <w:szCs w:val="20"/>
              </w:rPr>
              <w:t>: ACARA (2012</w:t>
            </w:r>
            <w:r w:rsidRPr="003F7D48">
              <w:rPr>
                <w:rFonts w:ascii="Arial" w:hAnsi="Arial"/>
                <w:sz w:val="18"/>
                <w:szCs w:val="20"/>
              </w:rPr>
              <w:t>).</w:t>
            </w:r>
          </w:p>
        </w:tc>
      </w:tr>
      <w:tr w:rsidR="00551060" w:rsidRPr="003F7D48" w:rsidTr="00C40DB1">
        <w:trPr>
          <w:cantSplit/>
        </w:trPr>
        <w:tc>
          <w:tcPr>
            <w:tcW w:w="8771" w:type="dxa"/>
            <w:tcBorders>
              <w:top w:val="nil"/>
              <w:left w:val="single" w:sz="6" w:space="0" w:color="auto"/>
              <w:bottom w:val="single" w:sz="6" w:space="0" w:color="auto"/>
              <w:right w:val="single" w:sz="6" w:space="0" w:color="auto"/>
            </w:tcBorders>
          </w:tcPr>
          <w:p w:rsidR="00551060" w:rsidRPr="003F7D48" w:rsidRDefault="00551060" w:rsidP="00551060">
            <w:pPr>
              <w:keepNext/>
              <w:spacing w:line="120" w:lineRule="exact"/>
              <w:jc w:val="both"/>
              <w:rPr>
                <w:rFonts w:ascii="Arial" w:hAnsi="Arial"/>
                <w:sz w:val="22"/>
                <w:szCs w:val="20"/>
              </w:rPr>
            </w:pPr>
          </w:p>
        </w:tc>
      </w:tr>
      <w:tr w:rsidR="00551060" w:rsidRPr="003F7D48" w:rsidTr="00C40DB1">
        <w:tc>
          <w:tcPr>
            <w:tcW w:w="8771" w:type="dxa"/>
            <w:tcBorders>
              <w:top w:val="nil"/>
              <w:left w:val="nil"/>
              <w:bottom w:val="nil"/>
              <w:right w:val="nil"/>
            </w:tcBorders>
          </w:tcPr>
          <w:p w:rsidR="00551060" w:rsidRPr="003F7D48" w:rsidRDefault="00551060" w:rsidP="00551060">
            <w:pPr>
              <w:spacing w:before="60" w:after="60" w:line="80" w:lineRule="exact"/>
              <w:jc w:val="both"/>
              <w:rPr>
                <w:rFonts w:ascii="Arial" w:hAnsi="Arial"/>
                <w:b/>
                <w:color w:val="FF00FF"/>
                <w:sz w:val="14"/>
                <w:szCs w:val="20"/>
              </w:rPr>
            </w:pPr>
          </w:p>
        </w:tc>
      </w:tr>
    </w:tbl>
    <w:p w:rsidR="008C7E8E" w:rsidRPr="003F7D48" w:rsidRDefault="008C7E8E" w:rsidP="008C7E8E">
      <w:pPr>
        <w:spacing w:before="240" w:line="320" w:lineRule="atLeast"/>
        <w:jc w:val="both"/>
        <w:rPr>
          <w:szCs w:val="20"/>
        </w:rPr>
      </w:pPr>
      <w:r w:rsidRPr="003F7D48">
        <w:rPr>
          <w:szCs w:val="20"/>
        </w:rPr>
        <w:t xml:space="preserve">From year 3 in 2008 to year 5 in 2010, the gain in reading mean scale score (on the common national scale for Years 3, 5, 7 and 9, ranging from 0 to 1000) was between 79.0 and 94.8 points nationally. For the same cohort, from year 5 in 2010 to year 7 in 2012, the mean scale score gain was between 47.0 and 61.2 points nationally. </w:t>
      </w:r>
    </w:p>
    <w:p w:rsidR="00551060" w:rsidRPr="003F7D48" w:rsidRDefault="00551060" w:rsidP="00551060">
      <w:pPr>
        <w:spacing w:before="240" w:line="320" w:lineRule="atLeast"/>
        <w:jc w:val="both"/>
        <w:rPr>
          <w:szCs w:val="20"/>
        </w:rPr>
      </w:pPr>
      <w:r w:rsidRPr="003F7D48">
        <w:rPr>
          <w:szCs w:val="20"/>
        </w:rPr>
        <w:t>For Indigenous students, year 3 in 2008 to year 5 in 2010 the mean scale score gain was between 85.9 and 105.9 points and from year 5 in 2010 to year 7 in 2012, the mean scale score gain was between 56.6 and 73.8 points nationally. For non</w:t>
      </w:r>
      <w:r w:rsidRPr="003F7D48">
        <w:rPr>
          <w:szCs w:val="20"/>
        </w:rPr>
        <w:noBreakHyphen/>
        <w:t>Indigenous students, year 3 in 2008 to year 5 in 2010 the mean scale score gain was between 78.5 and 94.3 points and from year 5 in 2010 to year 7 in 2012, the mean scale score was between 46</w:t>
      </w:r>
      <w:r w:rsidR="00682C28" w:rsidRPr="003F7D48">
        <w:rPr>
          <w:szCs w:val="20"/>
        </w:rPr>
        <w:t>.5 and 60.7 points nationally.</w:t>
      </w:r>
    </w:p>
    <w:p w:rsidR="00551060" w:rsidRPr="003F7D48" w:rsidRDefault="00551060" w:rsidP="00551060">
      <w:pPr>
        <w:spacing w:before="240" w:line="320" w:lineRule="atLeast"/>
        <w:jc w:val="both"/>
        <w:rPr>
          <w:szCs w:val="20"/>
        </w:rPr>
      </w:pPr>
      <w:r w:rsidRPr="003F7D48">
        <w:rPr>
          <w:szCs w:val="20"/>
        </w:rPr>
        <w:t>These mean scale score gains varied across jurisdictions (table 4.3). Data for other cohorts from 2008–2010 and 2010-2012 are in table 4A.53.</w:t>
      </w:r>
    </w:p>
    <w:p w:rsidR="00551060" w:rsidRPr="003F7D48" w:rsidRDefault="00551060" w:rsidP="00551060">
      <w:pPr>
        <w:pStyle w:val="TableTitle"/>
      </w:pPr>
      <w:r w:rsidRPr="003F7D48">
        <w:rPr>
          <w:b w:val="0"/>
        </w:rPr>
        <w:lastRenderedPageBreak/>
        <w:t>Table 4.</w:t>
      </w:r>
      <w:r w:rsidRPr="003F7D48">
        <w:rPr>
          <w:b w:val="0"/>
          <w:noProof/>
        </w:rPr>
        <w:t>3</w:t>
      </w:r>
      <w:r w:rsidRPr="003F7D48">
        <w:tab/>
        <w:t>Gain in mean scale score for reading: year 3 (2008) to year 5 (2010) to year 7 (2012)</w:t>
      </w:r>
      <w:r w:rsidRPr="003F7D48">
        <w:rPr>
          <w:position w:val="6"/>
          <w:sz w:val="18"/>
        </w:rPr>
        <w:t xml:space="preserve">a, b </w:t>
      </w:r>
    </w:p>
    <w:tbl>
      <w:tblPr>
        <w:tblW w:w="8790" w:type="dxa"/>
        <w:tblLayout w:type="fixed"/>
        <w:tblCellMar>
          <w:left w:w="0" w:type="dxa"/>
          <w:right w:w="0" w:type="dxa"/>
        </w:tblCellMar>
        <w:tblLook w:val="0000" w:firstRow="0" w:lastRow="0" w:firstColumn="0" w:lastColumn="0" w:noHBand="0" w:noVBand="0"/>
      </w:tblPr>
      <w:tblGrid>
        <w:gridCol w:w="1560"/>
        <w:gridCol w:w="803"/>
        <w:gridCol w:w="803"/>
        <w:gridCol w:w="804"/>
        <w:gridCol w:w="803"/>
        <w:gridCol w:w="803"/>
        <w:gridCol w:w="804"/>
        <w:gridCol w:w="803"/>
        <w:gridCol w:w="803"/>
        <w:gridCol w:w="804"/>
      </w:tblGrid>
      <w:tr w:rsidR="00551060" w:rsidRPr="003F7D48" w:rsidTr="00C40DB1">
        <w:tc>
          <w:tcPr>
            <w:tcW w:w="1560"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rPr>
                <w:rFonts w:ascii="Arial" w:hAnsi="Arial"/>
                <w:i/>
                <w:sz w:val="20"/>
                <w:szCs w:val="20"/>
              </w:rPr>
            </w:pPr>
          </w:p>
        </w:tc>
        <w:tc>
          <w:tcPr>
            <w:tcW w:w="803"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NSW</w:t>
            </w:r>
          </w:p>
        </w:tc>
        <w:tc>
          <w:tcPr>
            <w:tcW w:w="803"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Vic</w:t>
            </w:r>
          </w:p>
        </w:tc>
        <w:tc>
          <w:tcPr>
            <w:tcW w:w="804"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Qld</w:t>
            </w:r>
          </w:p>
        </w:tc>
        <w:tc>
          <w:tcPr>
            <w:tcW w:w="803"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WA</w:t>
            </w:r>
          </w:p>
        </w:tc>
        <w:tc>
          <w:tcPr>
            <w:tcW w:w="803"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SA</w:t>
            </w:r>
          </w:p>
        </w:tc>
        <w:tc>
          <w:tcPr>
            <w:tcW w:w="804"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Tas</w:t>
            </w:r>
          </w:p>
        </w:tc>
        <w:tc>
          <w:tcPr>
            <w:tcW w:w="803"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ACT</w:t>
            </w:r>
          </w:p>
        </w:tc>
        <w:tc>
          <w:tcPr>
            <w:tcW w:w="803"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NT</w:t>
            </w:r>
          </w:p>
        </w:tc>
        <w:tc>
          <w:tcPr>
            <w:tcW w:w="804" w:type="dxa"/>
            <w:tcBorders>
              <w:top w:val="single" w:sz="6" w:space="0" w:color="auto"/>
              <w:bottom w:val="single" w:sz="6" w:space="0" w:color="auto"/>
            </w:tcBorders>
            <w:shd w:val="clear" w:color="auto" w:fill="auto"/>
          </w:tcPr>
          <w:p w:rsidR="00551060" w:rsidRPr="003F7D48" w:rsidRDefault="00551060" w:rsidP="00C40DB1">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Aust</w:t>
            </w:r>
          </w:p>
        </w:tc>
      </w:tr>
      <w:tr w:rsidR="00551060" w:rsidRPr="003F7D48" w:rsidTr="00C40DB1">
        <w:tc>
          <w:tcPr>
            <w:tcW w:w="8790" w:type="dxa"/>
            <w:gridSpan w:val="10"/>
          </w:tcPr>
          <w:p w:rsidR="00551060" w:rsidRPr="003F7D48" w:rsidRDefault="00551060" w:rsidP="00C40DB1">
            <w:pPr>
              <w:keepNext/>
              <w:keepLines/>
              <w:spacing w:after="40" w:line="220" w:lineRule="atLeast"/>
              <w:ind w:left="6" w:right="113"/>
              <w:rPr>
                <w:rFonts w:ascii="Arial" w:hAnsi="Arial" w:cs="Arial"/>
                <w:b/>
                <w:sz w:val="20"/>
                <w:szCs w:val="20"/>
              </w:rPr>
            </w:pPr>
            <w:r w:rsidRPr="003F7D48">
              <w:rPr>
                <w:rFonts w:ascii="Arial" w:hAnsi="Arial"/>
                <w:b/>
                <w:sz w:val="20"/>
                <w:szCs w:val="20"/>
              </w:rPr>
              <w:t>Indigenous students</w:t>
            </w:r>
          </w:p>
        </w:tc>
      </w:tr>
      <w:tr w:rsidR="00551060" w:rsidRPr="003F7D48" w:rsidTr="00C40DB1">
        <w:tc>
          <w:tcPr>
            <w:tcW w:w="1560" w:type="dxa"/>
          </w:tcPr>
          <w:p w:rsidR="00551060" w:rsidRPr="003F7D48" w:rsidRDefault="00551060" w:rsidP="00C40DB1">
            <w:pPr>
              <w:keepNext/>
              <w:keepLines/>
              <w:spacing w:after="40" w:line="220" w:lineRule="atLeast"/>
              <w:ind w:left="6" w:right="113"/>
              <w:rPr>
                <w:rFonts w:ascii="Arial" w:hAnsi="Arial"/>
                <w:sz w:val="20"/>
                <w:szCs w:val="20"/>
              </w:rPr>
            </w:pPr>
            <w:r w:rsidRPr="003F7D48">
              <w:rPr>
                <w:rFonts w:ascii="Arial" w:hAnsi="Arial"/>
                <w:sz w:val="20"/>
                <w:szCs w:val="20"/>
              </w:rPr>
              <w:t>2008 Year 3</w:t>
            </w:r>
          </w:p>
        </w:tc>
        <w:tc>
          <w:tcPr>
            <w:tcW w:w="803" w:type="dxa"/>
            <w:vAlign w:val="center"/>
          </w:tcPr>
          <w:p w:rsidR="00551060" w:rsidRPr="003F7D48" w:rsidRDefault="00551060" w:rsidP="00C40DB1">
            <w:pPr>
              <w:pStyle w:val="TableBodyText"/>
            </w:pPr>
            <w:r w:rsidRPr="003F7D48">
              <w:t xml:space="preserve">347.5 </w:t>
            </w:r>
            <w:r w:rsidRPr="003F7D48">
              <w:br/>
              <w:t>± 3.6</w:t>
            </w:r>
          </w:p>
        </w:tc>
        <w:tc>
          <w:tcPr>
            <w:tcW w:w="803" w:type="dxa"/>
            <w:vAlign w:val="center"/>
          </w:tcPr>
          <w:p w:rsidR="00551060" w:rsidRPr="003F7D48" w:rsidRDefault="00551060" w:rsidP="00C40DB1">
            <w:pPr>
              <w:pStyle w:val="TableBodyText"/>
            </w:pPr>
            <w:r w:rsidRPr="003F7D48">
              <w:t xml:space="preserve">368.9 </w:t>
            </w:r>
            <w:r w:rsidRPr="003F7D48">
              <w:br/>
              <w:t>± 6.3</w:t>
            </w:r>
          </w:p>
        </w:tc>
        <w:tc>
          <w:tcPr>
            <w:tcW w:w="804" w:type="dxa"/>
            <w:vAlign w:val="center"/>
          </w:tcPr>
          <w:p w:rsidR="00551060" w:rsidRPr="003F7D48" w:rsidRDefault="00551060" w:rsidP="00C40DB1">
            <w:pPr>
              <w:pStyle w:val="TableBodyText"/>
            </w:pPr>
            <w:r w:rsidRPr="003F7D48">
              <w:t xml:space="preserve">309.5 </w:t>
            </w:r>
            <w:r w:rsidRPr="003F7D48">
              <w:br/>
              <w:t>± 7.6</w:t>
            </w:r>
          </w:p>
        </w:tc>
        <w:tc>
          <w:tcPr>
            <w:tcW w:w="803" w:type="dxa"/>
            <w:vAlign w:val="center"/>
          </w:tcPr>
          <w:p w:rsidR="00551060" w:rsidRPr="003F7D48" w:rsidRDefault="00551060" w:rsidP="00C40DB1">
            <w:pPr>
              <w:pStyle w:val="TableBodyText"/>
            </w:pPr>
            <w:r w:rsidRPr="003F7D48">
              <w:t xml:space="preserve">292.7 </w:t>
            </w:r>
            <w:r w:rsidRPr="003F7D48">
              <w:br/>
              <w:t>± 7.1</w:t>
            </w:r>
          </w:p>
        </w:tc>
        <w:tc>
          <w:tcPr>
            <w:tcW w:w="803" w:type="dxa"/>
            <w:vAlign w:val="center"/>
          </w:tcPr>
          <w:p w:rsidR="00551060" w:rsidRPr="003F7D48" w:rsidRDefault="00551060" w:rsidP="00C40DB1">
            <w:pPr>
              <w:pStyle w:val="TableBodyText"/>
            </w:pPr>
            <w:r w:rsidRPr="003F7D48">
              <w:t xml:space="preserve">329.7 </w:t>
            </w:r>
            <w:r w:rsidRPr="003F7D48">
              <w:br/>
              <w:t>± 8.7</w:t>
            </w:r>
          </w:p>
        </w:tc>
        <w:tc>
          <w:tcPr>
            <w:tcW w:w="804" w:type="dxa"/>
            <w:vAlign w:val="center"/>
          </w:tcPr>
          <w:p w:rsidR="00551060" w:rsidRPr="003F7D48" w:rsidRDefault="00551060" w:rsidP="00C40DB1">
            <w:pPr>
              <w:pStyle w:val="TableBodyText"/>
            </w:pPr>
            <w:r w:rsidRPr="003F7D48">
              <w:t xml:space="preserve">376.6 </w:t>
            </w:r>
            <w:r w:rsidRPr="003F7D48">
              <w:br/>
              <w:t>± 9.4</w:t>
            </w:r>
          </w:p>
        </w:tc>
        <w:tc>
          <w:tcPr>
            <w:tcW w:w="803" w:type="dxa"/>
            <w:vAlign w:val="center"/>
          </w:tcPr>
          <w:p w:rsidR="00551060" w:rsidRPr="003F7D48" w:rsidRDefault="00551060" w:rsidP="00C40DB1">
            <w:pPr>
              <w:pStyle w:val="TableBodyText"/>
            </w:pPr>
            <w:r w:rsidRPr="003F7D48">
              <w:t xml:space="preserve">359.5 </w:t>
            </w:r>
            <w:r w:rsidRPr="003F7D48">
              <w:br/>
              <w:t>± 17.6</w:t>
            </w:r>
          </w:p>
        </w:tc>
        <w:tc>
          <w:tcPr>
            <w:tcW w:w="803" w:type="dxa"/>
            <w:vAlign w:val="center"/>
          </w:tcPr>
          <w:p w:rsidR="00551060" w:rsidRPr="003F7D48" w:rsidRDefault="00551060" w:rsidP="00C40DB1">
            <w:pPr>
              <w:pStyle w:val="TableBodyText"/>
            </w:pPr>
            <w:r w:rsidRPr="003F7D48">
              <w:t xml:space="preserve">208.1 </w:t>
            </w:r>
            <w:r w:rsidRPr="003F7D48">
              <w:br/>
              <w:t>± 19.5</w:t>
            </w:r>
          </w:p>
        </w:tc>
        <w:tc>
          <w:tcPr>
            <w:tcW w:w="804" w:type="dxa"/>
            <w:vAlign w:val="center"/>
          </w:tcPr>
          <w:p w:rsidR="00551060" w:rsidRPr="003F7D48" w:rsidRDefault="00551060" w:rsidP="00C40DB1">
            <w:pPr>
              <w:pStyle w:val="TableBodyText"/>
            </w:pPr>
            <w:r w:rsidRPr="003F7D48">
              <w:t xml:space="preserve">313.7 </w:t>
            </w:r>
            <w:r w:rsidRPr="003F7D48">
              <w:br/>
              <w:t>± 4.9</w:t>
            </w:r>
          </w:p>
        </w:tc>
      </w:tr>
      <w:tr w:rsidR="00551060" w:rsidRPr="003F7D48" w:rsidTr="00C40DB1">
        <w:tc>
          <w:tcPr>
            <w:tcW w:w="1560" w:type="dxa"/>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2010 Year 5</w:t>
            </w:r>
          </w:p>
        </w:tc>
        <w:tc>
          <w:tcPr>
            <w:tcW w:w="803" w:type="dxa"/>
            <w:vAlign w:val="center"/>
          </w:tcPr>
          <w:p w:rsidR="00551060" w:rsidRPr="003F7D48" w:rsidRDefault="00551060" w:rsidP="00C40DB1">
            <w:pPr>
              <w:pStyle w:val="TableBodyText"/>
            </w:pPr>
            <w:r w:rsidRPr="003F7D48">
              <w:t xml:space="preserve">433.3 </w:t>
            </w:r>
            <w:r w:rsidRPr="003F7D48">
              <w:br/>
              <w:t>± 3.4</w:t>
            </w:r>
          </w:p>
        </w:tc>
        <w:tc>
          <w:tcPr>
            <w:tcW w:w="803" w:type="dxa"/>
            <w:vAlign w:val="center"/>
          </w:tcPr>
          <w:p w:rsidR="00551060" w:rsidRPr="003F7D48" w:rsidRDefault="00551060" w:rsidP="00C40DB1">
            <w:pPr>
              <w:pStyle w:val="TableBodyText"/>
            </w:pPr>
            <w:r w:rsidRPr="003F7D48">
              <w:t xml:space="preserve">454.4 </w:t>
            </w:r>
            <w:r w:rsidRPr="003F7D48">
              <w:br/>
              <w:t>± 6.5</w:t>
            </w:r>
          </w:p>
        </w:tc>
        <w:tc>
          <w:tcPr>
            <w:tcW w:w="804" w:type="dxa"/>
            <w:vAlign w:val="center"/>
          </w:tcPr>
          <w:p w:rsidR="00551060" w:rsidRPr="003F7D48" w:rsidRDefault="00551060" w:rsidP="00C40DB1">
            <w:pPr>
              <w:pStyle w:val="TableBodyText"/>
            </w:pPr>
            <w:r w:rsidRPr="003F7D48">
              <w:t xml:space="preserve">411.3 </w:t>
            </w:r>
            <w:r w:rsidRPr="003F7D48">
              <w:br/>
              <w:t>± 4.7</w:t>
            </w:r>
          </w:p>
        </w:tc>
        <w:tc>
          <w:tcPr>
            <w:tcW w:w="803" w:type="dxa"/>
            <w:vAlign w:val="center"/>
          </w:tcPr>
          <w:p w:rsidR="00551060" w:rsidRPr="003F7D48" w:rsidRDefault="00551060" w:rsidP="00C40DB1">
            <w:pPr>
              <w:pStyle w:val="TableBodyText"/>
            </w:pPr>
            <w:r w:rsidRPr="003F7D48">
              <w:t xml:space="preserve">387.3 </w:t>
            </w:r>
            <w:r w:rsidRPr="003F7D48">
              <w:br/>
              <w:t>± 6.1</w:t>
            </w:r>
          </w:p>
        </w:tc>
        <w:tc>
          <w:tcPr>
            <w:tcW w:w="803" w:type="dxa"/>
            <w:vAlign w:val="center"/>
          </w:tcPr>
          <w:p w:rsidR="00551060" w:rsidRPr="003F7D48" w:rsidRDefault="00551060" w:rsidP="00C40DB1">
            <w:pPr>
              <w:pStyle w:val="TableBodyText"/>
            </w:pPr>
            <w:r w:rsidRPr="003F7D48">
              <w:t xml:space="preserve">408.8 </w:t>
            </w:r>
            <w:r w:rsidRPr="003F7D48">
              <w:br/>
              <w:t>± 7.5</w:t>
            </w:r>
          </w:p>
        </w:tc>
        <w:tc>
          <w:tcPr>
            <w:tcW w:w="804" w:type="dxa"/>
            <w:vAlign w:val="center"/>
          </w:tcPr>
          <w:p w:rsidR="00551060" w:rsidRPr="003F7D48" w:rsidRDefault="00551060" w:rsidP="00C40DB1">
            <w:pPr>
              <w:pStyle w:val="TableBodyText"/>
            </w:pPr>
            <w:r w:rsidRPr="003F7D48">
              <w:t xml:space="preserve">451.9 </w:t>
            </w:r>
            <w:r w:rsidRPr="003F7D48">
              <w:br/>
              <w:t>± 8.8</w:t>
            </w:r>
          </w:p>
        </w:tc>
        <w:tc>
          <w:tcPr>
            <w:tcW w:w="803" w:type="dxa"/>
            <w:vAlign w:val="center"/>
          </w:tcPr>
          <w:p w:rsidR="00551060" w:rsidRPr="003F7D48" w:rsidRDefault="00551060" w:rsidP="00C40DB1">
            <w:pPr>
              <w:pStyle w:val="TableBodyText"/>
            </w:pPr>
            <w:r w:rsidRPr="003F7D48">
              <w:t xml:space="preserve">430.6 </w:t>
            </w:r>
            <w:r w:rsidRPr="003F7D48">
              <w:br/>
              <w:t>± 14.7</w:t>
            </w:r>
          </w:p>
        </w:tc>
        <w:tc>
          <w:tcPr>
            <w:tcW w:w="803" w:type="dxa"/>
            <w:vAlign w:val="center"/>
          </w:tcPr>
          <w:p w:rsidR="00551060" w:rsidRPr="003F7D48" w:rsidRDefault="00551060" w:rsidP="00C40DB1">
            <w:pPr>
              <w:pStyle w:val="TableBodyText"/>
            </w:pPr>
            <w:r w:rsidRPr="003F7D48">
              <w:t xml:space="preserve">326.7 </w:t>
            </w:r>
            <w:r w:rsidRPr="003F7D48">
              <w:br/>
              <w:t>± 18.8</w:t>
            </w:r>
          </w:p>
        </w:tc>
        <w:tc>
          <w:tcPr>
            <w:tcW w:w="804" w:type="dxa"/>
            <w:vAlign w:val="center"/>
          </w:tcPr>
          <w:p w:rsidR="00551060" w:rsidRPr="003F7D48" w:rsidRDefault="00551060" w:rsidP="00C40DB1">
            <w:pPr>
              <w:pStyle w:val="TableBodyText"/>
            </w:pPr>
            <w:r w:rsidRPr="003F7D48">
              <w:t xml:space="preserve">409.6 </w:t>
            </w:r>
            <w:r w:rsidRPr="003F7D48">
              <w:br/>
              <w:t>± 3.8</w:t>
            </w:r>
          </w:p>
        </w:tc>
      </w:tr>
      <w:tr w:rsidR="00551060" w:rsidRPr="003F7D48" w:rsidTr="00C40DB1">
        <w:tc>
          <w:tcPr>
            <w:tcW w:w="1560" w:type="dxa"/>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2012 Year 7</w:t>
            </w:r>
          </w:p>
        </w:tc>
        <w:tc>
          <w:tcPr>
            <w:tcW w:w="803" w:type="dxa"/>
            <w:vAlign w:val="center"/>
          </w:tcPr>
          <w:p w:rsidR="00551060" w:rsidRPr="003F7D48" w:rsidRDefault="00551060" w:rsidP="00C40DB1">
            <w:pPr>
              <w:pStyle w:val="TableBodyText"/>
            </w:pPr>
            <w:r w:rsidRPr="003F7D48">
              <w:t xml:space="preserve">489.9 </w:t>
            </w:r>
            <w:r w:rsidRPr="003F7D48">
              <w:br/>
              <w:t>± 3.2</w:t>
            </w:r>
          </w:p>
        </w:tc>
        <w:tc>
          <w:tcPr>
            <w:tcW w:w="803" w:type="dxa"/>
            <w:vAlign w:val="center"/>
          </w:tcPr>
          <w:p w:rsidR="00551060" w:rsidRPr="003F7D48" w:rsidRDefault="00551060" w:rsidP="00C40DB1">
            <w:pPr>
              <w:pStyle w:val="TableBodyText"/>
            </w:pPr>
            <w:r w:rsidRPr="003F7D48">
              <w:t xml:space="preserve">504.3 </w:t>
            </w:r>
            <w:r w:rsidRPr="003F7D48">
              <w:br/>
              <w:t>± 5.5</w:t>
            </w:r>
          </w:p>
        </w:tc>
        <w:tc>
          <w:tcPr>
            <w:tcW w:w="804" w:type="dxa"/>
            <w:vAlign w:val="center"/>
          </w:tcPr>
          <w:p w:rsidR="00551060" w:rsidRPr="003F7D48" w:rsidRDefault="00551060" w:rsidP="00C40DB1">
            <w:pPr>
              <w:pStyle w:val="TableBodyText"/>
            </w:pPr>
            <w:r w:rsidRPr="003F7D48">
              <w:t xml:space="preserve">478.0 </w:t>
            </w:r>
            <w:r w:rsidRPr="003F7D48">
              <w:br/>
              <w:t>± 4.0</w:t>
            </w:r>
          </w:p>
        </w:tc>
        <w:tc>
          <w:tcPr>
            <w:tcW w:w="803" w:type="dxa"/>
            <w:vAlign w:val="center"/>
          </w:tcPr>
          <w:p w:rsidR="00551060" w:rsidRPr="003F7D48" w:rsidRDefault="00551060" w:rsidP="00C40DB1">
            <w:pPr>
              <w:pStyle w:val="TableBodyText"/>
            </w:pPr>
            <w:r w:rsidRPr="003F7D48">
              <w:t xml:space="preserve">462.0 </w:t>
            </w:r>
            <w:r w:rsidRPr="003F7D48">
              <w:br/>
              <w:t>± 5.2</w:t>
            </w:r>
          </w:p>
        </w:tc>
        <w:tc>
          <w:tcPr>
            <w:tcW w:w="803" w:type="dxa"/>
            <w:vAlign w:val="center"/>
          </w:tcPr>
          <w:p w:rsidR="00551060" w:rsidRPr="003F7D48" w:rsidRDefault="00551060" w:rsidP="00C40DB1">
            <w:pPr>
              <w:pStyle w:val="TableBodyText"/>
            </w:pPr>
            <w:r w:rsidRPr="003F7D48">
              <w:t xml:space="preserve">478.4 </w:t>
            </w:r>
            <w:r w:rsidRPr="003F7D48">
              <w:br/>
              <w:t>± 7.6</w:t>
            </w:r>
          </w:p>
        </w:tc>
        <w:tc>
          <w:tcPr>
            <w:tcW w:w="804" w:type="dxa"/>
            <w:vAlign w:val="center"/>
          </w:tcPr>
          <w:p w:rsidR="00551060" w:rsidRPr="003F7D48" w:rsidRDefault="00551060" w:rsidP="00C40DB1">
            <w:pPr>
              <w:pStyle w:val="TableBodyText"/>
            </w:pPr>
            <w:r w:rsidRPr="003F7D48">
              <w:t xml:space="preserve">505.0 </w:t>
            </w:r>
            <w:r w:rsidRPr="003F7D48">
              <w:br/>
              <w:t>± 7.9</w:t>
            </w:r>
          </w:p>
        </w:tc>
        <w:tc>
          <w:tcPr>
            <w:tcW w:w="803" w:type="dxa"/>
            <w:vAlign w:val="center"/>
          </w:tcPr>
          <w:p w:rsidR="00551060" w:rsidRPr="003F7D48" w:rsidRDefault="00551060" w:rsidP="00C40DB1">
            <w:pPr>
              <w:pStyle w:val="TableBodyText"/>
            </w:pPr>
            <w:r w:rsidRPr="003F7D48">
              <w:t xml:space="preserve">507.4 </w:t>
            </w:r>
            <w:r w:rsidRPr="003F7D48">
              <w:br/>
              <w:t>± 14.2</w:t>
            </w:r>
          </w:p>
        </w:tc>
        <w:tc>
          <w:tcPr>
            <w:tcW w:w="803" w:type="dxa"/>
            <w:vAlign w:val="center"/>
          </w:tcPr>
          <w:p w:rsidR="00551060" w:rsidRPr="003F7D48" w:rsidRDefault="00551060" w:rsidP="00C40DB1">
            <w:pPr>
              <w:pStyle w:val="TableBodyText"/>
            </w:pPr>
            <w:r w:rsidRPr="003F7D48">
              <w:t xml:space="preserve">397.3 </w:t>
            </w:r>
            <w:r w:rsidRPr="003F7D48">
              <w:br/>
              <w:t>± 22.7</w:t>
            </w:r>
          </w:p>
        </w:tc>
        <w:tc>
          <w:tcPr>
            <w:tcW w:w="804" w:type="dxa"/>
            <w:vAlign w:val="center"/>
          </w:tcPr>
          <w:p w:rsidR="00551060" w:rsidRPr="003F7D48" w:rsidRDefault="00551060" w:rsidP="00C40DB1">
            <w:pPr>
              <w:pStyle w:val="TableBodyText"/>
            </w:pPr>
            <w:r w:rsidRPr="003F7D48">
              <w:t xml:space="preserve">474.8 </w:t>
            </w:r>
            <w:r w:rsidRPr="003F7D48">
              <w:br/>
              <w:t>± 3.4</w:t>
            </w:r>
          </w:p>
        </w:tc>
      </w:tr>
      <w:tr w:rsidR="00551060" w:rsidRPr="003F7D48" w:rsidTr="00C40DB1">
        <w:tc>
          <w:tcPr>
            <w:tcW w:w="1560" w:type="dxa"/>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Gain 2008-2010</w:t>
            </w:r>
          </w:p>
        </w:tc>
        <w:tc>
          <w:tcPr>
            <w:tcW w:w="803" w:type="dxa"/>
            <w:vAlign w:val="center"/>
          </w:tcPr>
          <w:p w:rsidR="00551060" w:rsidRPr="003F7D48" w:rsidRDefault="00551060" w:rsidP="00C40DB1">
            <w:pPr>
              <w:pStyle w:val="TableBodyText"/>
            </w:pPr>
            <w:r w:rsidRPr="003F7D48">
              <w:t xml:space="preserve">85.8 </w:t>
            </w:r>
            <w:r w:rsidRPr="003F7D48">
              <w:br/>
              <w:t>± 9.2</w:t>
            </w:r>
          </w:p>
        </w:tc>
        <w:tc>
          <w:tcPr>
            <w:tcW w:w="803" w:type="dxa"/>
            <w:vAlign w:val="center"/>
          </w:tcPr>
          <w:p w:rsidR="00551060" w:rsidRPr="003F7D48" w:rsidRDefault="00551060" w:rsidP="00C40DB1">
            <w:pPr>
              <w:pStyle w:val="TableBodyText"/>
            </w:pPr>
            <w:r w:rsidRPr="003F7D48">
              <w:t xml:space="preserve">85.5 </w:t>
            </w:r>
            <w:r w:rsidRPr="003F7D48">
              <w:br/>
              <w:t>± 11.9</w:t>
            </w:r>
          </w:p>
        </w:tc>
        <w:tc>
          <w:tcPr>
            <w:tcW w:w="804" w:type="dxa"/>
            <w:vAlign w:val="center"/>
          </w:tcPr>
          <w:p w:rsidR="00551060" w:rsidRPr="003F7D48" w:rsidRDefault="00551060" w:rsidP="00C40DB1">
            <w:pPr>
              <w:pStyle w:val="TableBodyText"/>
            </w:pPr>
            <w:r w:rsidRPr="003F7D48">
              <w:t xml:space="preserve">101.8 </w:t>
            </w:r>
            <w:r w:rsidRPr="003F7D48">
              <w:br/>
              <w:t>± 11.8</w:t>
            </w:r>
          </w:p>
        </w:tc>
        <w:tc>
          <w:tcPr>
            <w:tcW w:w="803" w:type="dxa"/>
            <w:vAlign w:val="center"/>
          </w:tcPr>
          <w:p w:rsidR="00551060" w:rsidRPr="003F7D48" w:rsidRDefault="00551060" w:rsidP="00C40DB1">
            <w:pPr>
              <w:pStyle w:val="TableBodyText"/>
            </w:pPr>
            <w:r w:rsidRPr="003F7D48">
              <w:t xml:space="preserve">94.6 </w:t>
            </w:r>
            <w:r w:rsidRPr="003F7D48">
              <w:br/>
              <w:t>± 12.2</w:t>
            </w:r>
          </w:p>
        </w:tc>
        <w:tc>
          <w:tcPr>
            <w:tcW w:w="803" w:type="dxa"/>
            <w:vAlign w:val="center"/>
          </w:tcPr>
          <w:p w:rsidR="00551060" w:rsidRPr="003F7D48" w:rsidRDefault="00551060" w:rsidP="00C40DB1">
            <w:pPr>
              <w:pStyle w:val="TableBodyText"/>
            </w:pPr>
            <w:r w:rsidRPr="003F7D48">
              <w:t xml:space="preserve">79.1 </w:t>
            </w:r>
            <w:r w:rsidRPr="003F7D48">
              <w:br/>
              <w:t>± 13.9</w:t>
            </w:r>
          </w:p>
        </w:tc>
        <w:tc>
          <w:tcPr>
            <w:tcW w:w="804" w:type="dxa"/>
            <w:vAlign w:val="center"/>
          </w:tcPr>
          <w:p w:rsidR="00551060" w:rsidRPr="003F7D48" w:rsidRDefault="00551060" w:rsidP="00C40DB1">
            <w:pPr>
              <w:pStyle w:val="TableBodyText"/>
            </w:pPr>
            <w:r w:rsidRPr="003F7D48">
              <w:t xml:space="preserve">75.3 </w:t>
            </w:r>
            <w:r w:rsidRPr="003F7D48">
              <w:br/>
              <w:t>± 15.0</w:t>
            </w:r>
          </w:p>
        </w:tc>
        <w:tc>
          <w:tcPr>
            <w:tcW w:w="803" w:type="dxa"/>
            <w:vAlign w:val="center"/>
          </w:tcPr>
          <w:p w:rsidR="00551060" w:rsidRPr="003F7D48" w:rsidRDefault="00551060" w:rsidP="00C40DB1">
            <w:pPr>
              <w:pStyle w:val="TableBodyText"/>
            </w:pPr>
            <w:r w:rsidRPr="003F7D48">
              <w:t xml:space="preserve">71.1 </w:t>
            </w:r>
            <w:r w:rsidRPr="003F7D48">
              <w:br/>
              <w:t>± 24.1</w:t>
            </w:r>
          </w:p>
        </w:tc>
        <w:tc>
          <w:tcPr>
            <w:tcW w:w="803" w:type="dxa"/>
            <w:vAlign w:val="center"/>
          </w:tcPr>
          <w:p w:rsidR="00551060" w:rsidRPr="003F7D48" w:rsidRDefault="00551060" w:rsidP="00C40DB1">
            <w:pPr>
              <w:pStyle w:val="TableBodyText"/>
            </w:pPr>
            <w:r w:rsidRPr="003F7D48">
              <w:t xml:space="preserve">118.6 </w:t>
            </w:r>
            <w:r w:rsidRPr="003F7D48">
              <w:br/>
              <w:t>± 28.2</w:t>
            </w:r>
          </w:p>
        </w:tc>
        <w:tc>
          <w:tcPr>
            <w:tcW w:w="804" w:type="dxa"/>
            <w:vAlign w:val="center"/>
          </w:tcPr>
          <w:p w:rsidR="00551060" w:rsidRPr="003F7D48" w:rsidRDefault="00551060" w:rsidP="00C40DB1">
            <w:pPr>
              <w:pStyle w:val="TableBodyText"/>
            </w:pPr>
            <w:r w:rsidRPr="003F7D48">
              <w:t xml:space="preserve">95.9 </w:t>
            </w:r>
            <w:r w:rsidRPr="003F7D48">
              <w:br/>
              <w:t>± 10.0</w:t>
            </w:r>
          </w:p>
        </w:tc>
      </w:tr>
      <w:tr w:rsidR="00551060" w:rsidRPr="003F7D48" w:rsidTr="00C40DB1">
        <w:tc>
          <w:tcPr>
            <w:tcW w:w="1560" w:type="dxa"/>
          </w:tcPr>
          <w:p w:rsidR="00551060" w:rsidRPr="003F7D48" w:rsidRDefault="00551060" w:rsidP="00C40DB1">
            <w:pPr>
              <w:keepNext/>
              <w:keepLines/>
              <w:spacing w:line="220" w:lineRule="atLeast"/>
              <w:ind w:right="113"/>
              <w:rPr>
                <w:rFonts w:ascii="Arial" w:hAnsi="Arial"/>
                <w:sz w:val="20"/>
                <w:szCs w:val="20"/>
              </w:rPr>
            </w:pPr>
            <w:r w:rsidRPr="003F7D48">
              <w:rPr>
                <w:rFonts w:ascii="Arial" w:hAnsi="Arial"/>
                <w:sz w:val="20"/>
                <w:szCs w:val="20"/>
              </w:rPr>
              <w:t>Gain 2010-2012</w:t>
            </w:r>
          </w:p>
        </w:tc>
        <w:tc>
          <w:tcPr>
            <w:tcW w:w="803" w:type="dxa"/>
            <w:vAlign w:val="center"/>
          </w:tcPr>
          <w:p w:rsidR="00551060" w:rsidRPr="003F7D48" w:rsidRDefault="00551060" w:rsidP="00C40DB1">
            <w:pPr>
              <w:pStyle w:val="TableBodyText"/>
              <w:spacing w:after="0"/>
            </w:pPr>
            <w:r w:rsidRPr="003F7D48">
              <w:t xml:space="preserve">56.6 </w:t>
            </w:r>
            <w:r w:rsidRPr="003F7D48">
              <w:br/>
              <w:t>± 8.4</w:t>
            </w:r>
          </w:p>
        </w:tc>
        <w:tc>
          <w:tcPr>
            <w:tcW w:w="803" w:type="dxa"/>
            <w:vAlign w:val="center"/>
          </w:tcPr>
          <w:p w:rsidR="00551060" w:rsidRPr="003F7D48" w:rsidRDefault="00551060" w:rsidP="00C40DB1">
            <w:pPr>
              <w:pStyle w:val="TableBodyText"/>
              <w:spacing w:after="0"/>
            </w:pPr>
            <w:r w:rsidRPr="003F7D48">
              <w:t xml:space="preserve">49.9 </w:t>
            </w:r>
            <w:r w:rsidRPr="003F7D48">
              <w:br/>
              <w:t>± 11.0</w:t>
            </w:r>
          </w:p>
        </w:tc>
        <w:tc>
          <w:tcPr>
            <w:tcW w:w="804" w:type="dxa"/>
            <w:vAlign w:val="center"/>
          </w:tcPr>
          <w:p w:rsidR="00551060" w:rsidRPr="003F7D48" w:rsidRDefault="00551060" w:rsidP="00C40DB1">
            <w:pPr>
              <w:pStyle w:val="TableBodyText"/>
              <w:spacing w:after="0"/>
            </w:pPr>
            <w:r w:rsidRPr="003F7D48">
              <w:t xml:space="preserve">66.7 </w:t>
            </w:r>
            <w:r w:rsidRPr="003F7D48">
              <w:br/>
              <w:t>± 9.3</w:t>
            </w:r>
          </w:p>
        </w:tc>
        <w:tc>
          <w:tcPr>
            <w:tcW w:w="803" w:type="dxa"/>
            <w:vAlign w:val="center"/>
          </w:tcPr>
          <w:p w:rsidR="00551060" w:rsidRPr="003F7D48" w:rsidRDefault="00551060" w:rsidP="00C40DB1">
            <w:pPr>
              <w:pStyle w:val="TableBodyText"/>
              <w:spacing w:after="0"/>
            </w:pPr>
            <w:r w:rsidRPr="003F7D48">
              <w:t xml:space="preserve">74.7 </w:t>
            </w:r>
            <w:r w:rsidRPr="003F7D48">
              <w:br/>
              <w:t>± 10.6</w:t>
            </w:r>
          </w:p>
        </w:tc>
        <w:tc>
          <w:tcPr>
            <w:tcW w:w="803" w:type="dxa"/>
            <w:vAlign w:val="center"/>
          </w:tcPr>
          <w:p w:rsidR="00551060" w:rsidRPr="003F7D48" w:rsidRDefault="00551060" w:rsidP="00C40DB1">
            <w:pPr>
              <w:pStyle w:val="TableBodyText"/>
              <w:spacing w:after="0"/>
            </w:pPr>
            <w:r w:rsidRPr="003F7D48">
              <w:t xml:space="preserve">69.6 </w:t>
            </w:r>
            <w:r w:rsidRPr="003F7D48">
              <w:br/>
              <w:t>± 12.8</w:t>
            </w:r>
          </w:p>
        </w:tc>
        <w:tc>
          <w:tcPr>
            <w:tcW w:w="804" w:type="dxa"/>
            <w:vAlign w:val="center"/>
          </w:tcPr>
          <w:p w:rsidR="00551060" w:rsidRPr="003F7D48" w:rsidRDefault="00551060" w:rsidP="00C40DB1">
            <w:pPr>
              <w:pStyle w:val="TableBodyText"/>
              <w:spacing w:after="0"/>
            </w:pPr>
            <w:r w:rsidRPr="003F7D48">
              <w:t xml:space="preserve">53.1 </w:t>
            </w:r>
            <w:r w:rsidRPr="003F7D48">
              <w:br/>
              <w:t>± 13.7</w:t>
            </w:r>
          </w:p>
        </w:tc>
        <w:tc>
          <w:tcPr>
            <w:tcW w:w="803" w:type="dxa"/>
            <w:vAlign w:val="center"/>
          </w:tcPr>
          <w:p w:rsidR="00551060" w:rsidRPr="003F7D48" w:rsidRDefault="00551060" w:rsidP="00C40DB1">
            <w:pPr>
              <w:pStyle w:val="TableBodyText"/>
              <w:spacing w:after="0"/>
            </w:pPr>
            <w:r w:rsidRPr="003F7D48">
              <w:t xml:space="preserve">76.8 </w:t>
            </w:r>
            <w:r w:rsidRPr="003F7D48">
              <w:br/>
              <w:t>± 21.6</w:t>
            </w:r>
          </w:p>
        </w:tc>
        <w:tc>
          <w:tcPr>
            <w:tcW w:w="803" w:type="dxa"/>
            <w:vAlign w:val="center"/>
          </w:tcPr>
          <w:p w:rsidR="00551060" w:rsidRPr="003F7D48" w:rsidRDefault="00551060" w:rsidP="00C40DB1">
            <w:pPr>
              <w:pStyle w:val="TableBodyText"/>
              <w:spacing w:after="0"/>
            </w:pPr>
            <w:r w:rsidRPr="003F7D48">
              <w:t xml:space="preserve">70.6 </w:t>
            </w:r>
            <w:r w:rsidRPr="003F7D48">
              <w:br/>
              <w:t>± 30.3</w:t>
            </w:r>
          </w:p>
        </w:tc>
        <w:tc>
          <w:tcPr>
            <w:tcW w:w="804" w:type="dxa"/>
            <w:vAlign w:val="center"/>
          </w:tcPr>
          <w:p w:rsidR="00551060" w:rsidRPr="003F7D48" w:rsidRDefault="00551060" w:rsidP="00C40DB1">
            <w:pPr>
              <w:pStyle w:val="TableBodyText"/>
              <w:spacing w:after="0"/>
            </w:pPr>
            <w:r w:rsidRPr="003F7D48">
              <w:t xml:space="preserve">65.2 </w:t>
            </w:r>
            <w:r w:rsidRPr="003F7D48">
              <w:br/>
              <w:t>± 8.6</w:t>
            </w:r>
          </w:p>
        </w:tc>
      </w:tr>
      <w:tr w:rsidR="00551060" w:rsidRPr="003F7D48" w:rsidTr="00C40DB1">
        <w:tc>
          <w:tcPr>
            <w:tcW w:w="8790" w:type="dxa"/>
            <w:gridSpan w:val="10"/>
          </w:tcPr>
          <w:p w:rsidR="00551060" w:rsidRPr="003F7D48" w:rsidRDefault="00551060" w:rsidP="00C40DB1">
            <w:pPr>
              <w:pStyle w:val="TableBodyText"/>
              <w:spacing w:before="80"/>
              <w:jc w:val="left"/>
              <w:rPr>
                <w:b/>
              </w:rPr>
            </w:pPr>
            <w:r w:rsidRPr="003F7D48">
              <w:rPr>
                <w:b/>
              </w:rPr>
              <w:t>Non-Indigenous students</w:t>
            </w:r>
          </w:p>
        </w:tc>
      </w:tr>
      <w:tr w:rsidR="00551060" w:rsidRPr="003F7D48" w:rsidTr="00C40DB1">
        <w:tc>
          <w:tcPr>
            <w:tcW w:w="1560" w:type="dxa"/>
          </w:tcPr>
          <w:p w:rsidR="00551060" w:rsidRPr="003F7D48" w:rsidRDefault="00551060" w:rsidP="00C40DB1">
            <w:pPr>
              <w:keepNext/>
              <w:keepLines/>
              <w:spacing w:after="40" w:line="220" w:lineRule="atLeast"/>
              <w:ind w:left="6" w:right="113"/>
              <w:rPr>
                <w:rFonts w:ascii="Arial" w:hAnsi="Arial"/>
                <w:sz w:val="20"/>
                <w:szCs w:val="20"/>
              </w:rPr>
            </w:pPr>
            <w:r w:rsidRPr="003F7D48">
              <w:rPr>
                <w:rFonts w:ascii="Arial" w:hAnsi="Arial"/>
                <w:sz w:val="20"/>
                <w:szCs w:val="20"/>
              </w:rPr>
              <w:t>2008 Year 3</w:t>
            </w:r>
          </w:p>
        </w:tc>
        <w:tc>
          <w:tcPr>
            <w:tcW w:w="803" w:type="dxa"/>
            <w:vAlign w:val="center"/>
          </w:tcPr>
          <w:p w:rsidR="00551060" w:rsidRPr="003F7D48" w:rsidRDefault="00551060" w:rsidP="00C40DB1">
            <w:pPr>
              <w:pStyle w:val="TableBodyText"/>
            </w:pPr>
            <w:r w:rsidRPr="003F7D48">
              <w:t xml:space="preserve">414.9 </w:t>
            </w:r>
            <w:r w:rsidRPr="003F7D48">
              <w:br/>
              <w:t>± 1.7</w:t>
            </w:r>
          </w:p>
        </w:tc>
        <w:tc>
          <w:tcPr>
            <w:tcW w:w="803" w:type="dxa"/>
            <w:vAlign w:val="center"/>
          </w:tcPr>
          <w:p w:rsidR="00551060" w:rsidRPr="003F7D48" w:rsidRDefault="00551060" w:rsidP="00C40DB1">
            <w:pPr>
              <w:pStyle w:val="TableBodyText"/>
            </w:pPr>
            <w:r w:rsidRPr="003F7D48">
              <w:t xml:space="preserve">420.6 </w:t>
            </w:r>
            <w:r w:rsidRPr="003F7D48">
              <w:br/>
              <w:t>± 1.6</w:t>
            </w:r>
          </w:p>
        </w:tc>
        <w:tc>
          <w:tcPr>
            <w:tcW w:w="804" w:type="dxa"/>
            <w:vAlign w:val="center"/>
          </w:tcPr>
          <w:p w:rsidR="00551060" w:rsidRPr="003F7D48" w:rsidRDefault="00551060" w:rsidP="00C40DB1">
            <w:pPr>
              <w:pStyle w:val="TableBodyText"/>
            </w:pPr>
            <w:r w:rsidRPr="003F7D48">
              <w:t xml:space="preserve">375.9 </w:t>
            </w:r>
            <w:r w:rsidRPr="003F7D48">
              <w:br/>
              <w:t>± 2.4</w:t>
            </w:r>
          </w:p>
        </w:tc>
        <w:tc>
          <w:tcPr>
            <w:tcW w:w="803" w:type="dxa"/>
            <w:vAlign w:val="center"/>
          </w:tcPr>
          <w:p w:rsidR="00551060" w:rsidRPr="003F7D48" w:rsidRDefault="00551060" w:rsidP="00C40DB1">
            <w:pPr>
              <w:pStyle w:val="TableBodyText"/>
            </w:pPr>
            <w:r w:rsidRPr="003F7D48">
              <w:t xml:space="preserve">394.5 </w:t>
            </w:r>
            <w:r w:rsidRPr="003F7D48">
              <w:br/>
              <w:t>± 2.7</w:t>
            </w:r>
          </w:p>
        </w:tc>
        <w:tc>
          <w:tcPr>
            <w:tcW w:w="803" w:type="dxa"/>
            <w:vAlign w:val="center"/>
          </w:tcPr>
          <w:p w:rsidR="00551060" w:rsidRPr="003F7D48" w:rsidRDefault="00551060" w:rsidP="00C40DB1">
            <w:pPr>
              <w:pStyle w:val="TableBodyText"/>
            </w:pPr>
            <w:r w:rsidRPr="003F7D48">
              <w:t xml:space="preserve">403.9 </w:t>
            </w:r>
            <w:r w:rsidRPr="003F7D48">
              <w:br/>
              <w:t>± 3.1</w:t>
            </w:r>
          </w:p>
        </w:tc>
        <w:tc>
          <w:tcPr>
            <w:tcW w:w="804" w:type="dxa"/>
            <w:vAlign w:val="center"/>
          </w:tcPr>
          <w:p w:rsidR="00551060" w:rsidRPr="003F7D48" w:rsidRDefault="00551060" w:rsidP="00C40DB1">
            <w:pPr>
              <w:pStyle w:val="TableBodyText"/>
            </w:pPr>
            <w:r w:rsidRPr="003F7D48">
              <w:t xml:space="preserve">403.4 </w:t>
            </w:r>
            <w:r w:rsidRPr="003F7D48">
              <w:br/>
              <w:t>± 5.2</w:t>
            </w:r>
          </w:p>
        </w:tc>
        <w:tc>
          <w:tcPr>
            <w:tcW w:w="803" w:type="dxa"/>
            <w:vAlign w:val="center"/>
          </w:tcPr>
          <w:p w:rsidR="00551060" w:rsidRPr="003F7D48" w:rsidRDefault="00551060" w:rsidP="00C40DB1">
            <w:pPr>
              <w:pStyle w:val="TableBodyText"/>
            </w:pPr>
            <w:r w:rsidRPr="003F7D48">
              <w:t xml:space="preserve">422.8 </w:t>
            </w:r>
            <w:r w:rsidRPr="003F7D48">
              <w:br/>
              <w:t>± 5.7</w:t>
            </w:r>
          </w:p>
        </w:tc>
        <w:tc>
          <w:tcPr>
            <w:tcW w:w="803" w:type="dxa"/>
            <w:vAlign w:val="center"/>
          </w:tcPr>
          <w:p w:rsidR="00551060" w:rsidRPr="003F7D48" w:rsidRDefault="00551060" w:rsidP="00C40DB1">
            <w:pPr>
              <w:pStyle w:val="TableBodyText"/>
            </w:pPr>
            <w:r w:rsidRPr="003F7D48">
              <w:t xml:space="preserve">382.5 </w:t>
            </w:r>
            <w:r w:rsidRPr="003F7D48">
              <w:br/>
              <w:t>± 8.1</w:t>
            </w:r>
          </w:p>
        </w:tc>
        <w:tc>
          <w:tcPr>
            <w:tcW w:w="804" w:type="dxa"/>
            <w:vAlign w:val="center"/>
          </w:tcPr>
          <w:p w:rsidR="00551060" w:rsidRPr="003F7D48" w:rsidRDefault="00551060" w:rsidP="00C40DB1">
            <w:pPr>
              <w:pStyle w:val="TableBodyText"/>
            </w:pPr>
            <w:r w:rsidRPr="003F7D48">
              <w:t xml:space="preserve">405.0 </w:t>
            </w:r>
            <w:r w:rsidRPr="003F7D48">
              <w:br/>
              <w:t>± 1.1</w:t>
            </w:r>
          </w:p>
        </w:tc>
      </w:tr>
      <w:tr w:rsidR="00551060" w:rsidRPr="003F7D48" w:rsidTr="00C40DB1">
        <w:tc>
          <w:tcPr>
            <w:tcW w:w="1560" w:type="dxa"/>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2010 Year 5</w:t>
            </w:r>
          </w:p>
        </w:tc>
        <w:tc>
          <w:tcPr>
            <w:tcW w:w="803" w:type="dxa"/>
            <w:vAlign w:val="center"/>
          </w:tcPr>
          <w:p w:rsidR="00551060" w:rsidRPr="003F7D48" w:rsidRDefault="00551060" w:rsidP="00C40DB1">
            <w:pPr>
              <w:pStyle w:val="TableBodyText"/>
            </w:pPr>
            <w:r w:rsidRPr="003F7D48">
              <w:t xml:space="preserve">498.7 </w:t>
            </w:r>
            <w:r w:rsidRPr="003F7D48">
              <w:br/>
              <w:t>± 1.9</w:t>
            </w:r>
          </w:p>
        </w:tc>
        <w:tc>
          <w:tcPr>
            <w:tcW w:w="803" w:type="dxa"/>
            <w:vAlign w:val="center"/>
          </w:tcPr>
          <w:p w:rsidR="00551060" w:rsidRPr="003F7D48" w:rsidRDefault="00551060" w:rsidP="00C40DB1">
            <w:pPr>
              <w:pStyle w:val="TableBodyText"/>
            </w:pPr>
            <w:r w:rsidRPr="003F7D48">
              <w:t xml:space="preserve">502.7 </w:t>
            </w:r>
            <w:r w:rsidRPr="003F7D48">
              <w:br/>
              <w:t>± 1.7</w:t>
            </w:r>
          </w:p>
        </w:tc>
        <w:tc>
          <w:tcPr>
            <w:tcW w:w="804" w:type="dxa"/>
            <w:vAlign w:val="center"/>
          </w:tcPr>
          <w:p w:rsidR="00551060" w:rsidRPr="003F7D48" w:rsidRDefault="00551060" w:rsidP="00C40DB1">
            <w:pPr>
              <w:pStyle w:val="TableBodyText"/>
            </w:pPr>
            <w:r w:rsidRPr="003F7D48">
              <w:t xml:space="preserve">473.4 </w:t>
            </w:r>
            <w:r w:rsidRPr="003F7D48">
              <w:br/>
              <w:t>± 1.9</w:t>
            </w:r>
          </w:p>
        </w:tc>
        <w:tc>
          <w:tcPr>
            <w:tcW w:w="803" w:type="dxa"/>
            <w:vAlign w:val="center"/>
          </w:tcPr>
          <w:p w:rsidR="00551060" w:rsidRPr="003F7D48" w:rsidRDefault="00551060" w:rsidP="00C40DB1">
            <w:pPr>
              <w:pStyle w:val="TableBodyText"/>
            </w:pPr>
            <w:r w:rsidRPr="003F7D48">
              <w:t xml:space="preserve">484.5 </w:t>
            </w:r>
            <w:r w:rsidRPr="003F7D48">
              <w:br/>
              <w:t>± 2.6</w:t>
            </w:r>
          </w:p>
        </w:tc>
        <w:tc>
          <w:tcPr>
            <w:tcW w:w="803" w:type="dxa"/>
            <w:vAlign w:val="center"/>
          </w:tcPr>
          <w:p w:rsidR="00551060" w:rsidRPr="003F7D48" w:rsidRDefault="00551060" w:rsidP="00C40DB1">
            <w:pPr>
              <w:pStyle w:val="TableBodyText"/>
            </w:pPr>
            <w:r w:rsidRPr="003F7D48">
              <w:t xml:space="preserve">479.1 </w:t>
            </w:r>
            <w:r w:rsidRPr="003F7D48">
              <w:br/>
              <w:t>± 2.9</w:t>
            </w:r>
          </w:p>
        </w:tc>
        <w:tc>
          <w:tcPr>
            <w:tcW w:w="804" w:type="dxa"/>
            <w:vAlign w:val="center"/>
          </w:tcPr>
          <w:p w:rsidR="00551060" w:rsidRPr="003F7D48" w:rsidRDefault="00551060" w:rsidP="00C40DB1">
            <w:pPr>
              <w:pStyle w:val="TableBodyText"/>
            </w:pPr>
            <w:r w:rsidRPr="003F7D48">
              <w:t xml:space="preserve">488.0 </w:t>
            </w:r>
            <w:r w:rsidRPr="003F7D48">
              <w:br/>
              <w:t>± 5.3</w:t>
            </w:r>
          </w:p>
        </w:tc>
        <w:tc>
          <w:tcPr>
            <w:tcW w:w="803" w:type="dxa"/>
            <w:vAlign w:val="center"/>
          </w:tcPr>
          <w:p w:rsidR="00551060" w:rsidRPr="003F7D48" w:rsidRDefault="00551060" w:rsidP="00C40DB1">
            <w:pPr>
              <w:pStyle w:val="TableBodyText"/>
            </w:pPr>
            <w:r w:rsidRPr="003F7D48">
              <w:t xml:space="preserve">510.4 </w:t>
            </w:r>
            <w:r w:rsidRPr="003F7D48">
              <w:br/>
              <w:t>± 5.4</w:t>
            </w:r>
          </w:p>
        </w:tc>
        <w:tc>
          <w:tcPr>
            <w:tcW w:w="803" w:type="dxa"/>
            <w:vAlign w:val="center"/>
          </w:tcPr>
          <w:p w:rsidR="00551060" w:rsidRPr="003F7D48" w:rsidRDefault="00551060" w:rsidP="00C40DB1">
            <w:pPr>
              <w:pStyle w:val="TableBodyText"/>
            </w:pPr>
            <w:r w:rsidRPr="003F7D48">
              <w:t xml:space="preserve">475.4 </w:t>
            </w:r>
            <w:r w:rsidRPr="003F7D48">
              <w:br/>
              <w:t>± 6.1</w:t>
            </w:r>
          </w:p>
        </w:tc>
        <w:tc>
          <w:tcPr>
            <w:tcW w:w="804" w:type="dxa"/>
            <w:vAlign w:val="center"/>
          </w:tcPr>
          <w:p w:rsidR="00551060" w:rsidRPr="003F7D48" w:rsidRDefault="00551060" w:rsidP="00C40DB1">
            <w:pPr>
              <w:pStyle w:val="TableBodyText"/>
            </w:pPr>
            <w:r w:rsidRPr="003F7D48">
              <w:t xml:space="preserve">491.4 </w:t>
            </w:r>
            <w:r w:rsidRPr="003F7D48">
              <w:br/>
              <w:t>± 1.0</w:t>
            </w:r>
          </w:p>
        </w:tc>
      </w:tr>
      <w:tr w:rsidR="00551060" w:rsidRPr="003F7D48" w:rsidTr="00C40DB1">
        <w:tc>
          <w:tcPr>
            <w:tcW w:w="1560" w:type="dxa"/>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2012 Year 7</w:t>
            </w:r>
          </w:p>
        </w:tc>
        <w:tc>
          <w:tcPr>
            <w:tcW w:w="803" w:type="dxa"/>
            <w:vAlign w:val="center"/>
          </w:tcPr>
          <w:p w:rsidR="00551060" w:rsidRPr="003F7D48" w:rsidRDefault="00551060" w:rsidP="00C40DB1">
            <w:pPr>
              <w:pStyle w:val="TableBodyText"/>
            </w:pPr>
            <w:r w:rsidRPr="003F7D48">
              <w:t xml:space="preserve">548.7 </w:t>
            </w:r>
            <w:r w:rsidRPr="003F7D48">
              <w:br/>
              <w:t>± 2.9</w:t>
            </w:r>
          </w:p>
        </w:tc>
        <w:tc>
          <w:tcPr>
            <w:tcW w:w="803" w:type="dxa"/>
            <w:vAlign w:val="center"/>
          </w:tcPr>
          <w:p w:rsidR="00551060" w:rsidRPr="003F7D48" w:rsidRDefault="00551060" w:rsidP="00C40DB1">
            <w:pPr>
              <w:pStyle w:val="TableBodyText"/>
            </w:pPr>
            <w:r w:rsidRPr="003F7D48">
              <w:t xml:space="preserve">549.1 </w:t>
            </w:r>
            <w:r w:rsidRPr="003F7D48">
              <w:br/>
              <w:t>± 2.6</w:t>
            </w:r>
          </w:p>
        </w:tc>
        <w:tc>
          <w:tcPr>
            <w:tcW w:w="804" w:type="dxa"/>
            <w:vAlign w:val="center"/>
          </w:tcPr>
          <w:p w:rsidR="00551060" w:rsidRPr="003F7D48" w:rsidRDefault="00551060" w:rsidP="00C40DB1">
            <w:pPr>
              <w:pStyle w:val="TableBodyText"/>
            </w:pPr>
            <w:r w:rsidRPr="003F7D48">
              <w:t xml:space="preserve">536.8 </w:t>
            </w:r>
            <w:r w:rsidRPr="003F7D48">
              <w:br/>
              <w:t>± 1.9</w:t>
            </w:r>
          </w:p>
        </w:tc>
        <w:tc>
          <w:tcPr>
            <w:tcW w:w="803" w:type="dxa"/>
            <w:vAlign w:val="center"/>
          </w:tcPr>
          <w:p w:rsidR="00551060" w:rsidRPr="003F7D48" w:rsidRDefault="00551060" w:rsidP="00C40DB1">
            <w:pPr>
              <w:pStyle w:val="TableBodyText"/>
            </w:pPr>
            <w:r w:rsidRPr="003F7D48">
              <w:t xml:space="preserve">543.3 </w:t>
            </w:r>
            <w:r w:rsidRPr="003F7D48">
              <w:br/>
              <w:t>± 2.9</w:t>
            </w:r>
          </w:p>
        </w:tc>
        <w:tc>
          <w:tcPr>
            <w:tcW w:w="803" w:type="dxa"/>
            <w:vAlign w:val="center"/>
          </w:tcPr>
          <w:p w:rsidR="00551060" w:rsidRPr="003F7D48" w:rsidRDefault="00551060" w:rsidP="00C40DB1">
            <w:pPr>
              <w:pStyle w:val="TableBodyText"/>
            </w:pPr>
            <w:r w:rsidRPr="003F7D48">
              <w:t xml:space="preserve">539.5 </w:t>
            </w:r>
            <w:r w:rsidRPr="003F7D48">
              <w:br/>
              <w:t>± 2.8</w:t>
            </w:r>
          </w:p>
        </w:tc>
        <w:tc>
          <w:tcPr>
            <w:tcW w:w="804" w:type="dxa"/>
            <w:vAlign w:val="center"/>
          </w:tcPr>
          <w:p w:rsidR="00551060" w:rsidRPr="003F7D48" w:rsidRDefault="00551060" w:rsidP="00C40DB1">
            <w:pPr>
              <w:pStyle w:val="TableBodyText"/>
            </w:pPr>
            <w:r w:rsidRPr="003F7D48">
              <w:t xml:space="preserve">542.8 </w:t>
            </w:r>
            <w:r w:rsidRPr="003F7D48">
              <w:br/>
              <w:t>± 6.8</w:t>
            </w:r>
          </w:p>
        </w:tc>
        <w:tc>
          <w:tcPr>
            <w:tcW w:w="803" w:type="dxa"/>
            <w:vAlign w:val="center"/>
          </w:tcPr>
          <w:p w:rsidR="00551060" w:rsidRPr="003F7D48" w:rsidRDefault="00551060" w:rsidP="00C40DB1">
            <w:pPr>
              <w:pStyle w:val="TableBodyText"/>
            </w:pPr>
            <w:r w:rsidRPr="003F7D48">
              <w:t xml:space="preserve">559.8 </w:t>
            </w:r>
            <w:r w:rsidRPr="003F7D48">
              <w:br/>
              <w:t>± 8.3</w:t>
            </w:r>
          </w:p>
        </w:tc>
        <w:tc>
          <w:tcPr>
            <w:tcW w:w="803" w:type="dxa"/>
            <w:vAlign w:val="center"/>
          </w:tcPr>
          <w:p w:rsidR="00551060" w:rsidRPr="003F7D48" w:rsidRDefault="00551060" w:rsidP="00C40DB1">
            <w:pPr>
              <w:pStyle w:val="TableBodyText"/>
            </w:pPr>
            <w:r w:rsidRPr="003F7D48">
              <w:t xml:space="preserve">530.8 </w:t>
            </w:r>
            <w:r w:rsidRPr="003F7D48">
              <w:br/>
              <w:t>± 13.2</w:t>
            </w:r>
          </w:p>
        </w:tc>
        <w:tc>
          <w:tcPr>
            <w:tcW w:w="804" w:type="dxa"/>
            <w:vAlign w:val="center"/>
          </w:tcPr>
          <w:p w:rsidR="00551060" w:rsidRPr="003F7D48" w:rsidRDefault="00551060" w:rsidP="00C40DB1">
            <w:pPr>
              <w:pStyle w:val="TableBodyText"/>
            </w:pPr>
            <w:r w:rsidRPr="003F7D48">
              <w:t xml:space="preserve">545.0 </w:t>
            </w:r>
            <w:r w:rsidRPr="003F7D48">
              <w:br/>
              <w:t>± 1.3</w:t>
            </w:r>
          </w:p>
        </w:tc>
      </w:tr>
      <w:tr w:rsidR="00551060" w:rsidRPr="003F7D48" w:rsidTr="00C40DB1">
        <w:tc>
          <w:tcPr>
            <w:tcW w:w="1560" w:type="dxa"/>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Gain 2008-2010</w:t>
            </w:r>
          </w:p>
        </w:tc>
        <w:tc>
          <w:tcPr>
            <w:tcW w:w="803" w:type="dxa"/>
            <w:vAlign w:val="center"/>
          </w:tcPr>
          <w:p w:rsidR="00551060" w:rsidRPr="003F7D48" w:rsidRDefault="00551060" w:rsidP="00C40DB1">
            <w:pPr>
              <w:pStyle w:val="TableBodyText"/>
            </w:pPr>
            <w:r w:rsidRPr="003F7D48">
              <w:t xml:space="preserve">83.8 </w:t>
            </w:r>
            <w:r w:rsidRPr="003F7D48">
              <w:br/>
              <w:t>± 8.2</w:t>
            </w:r>
          </w:p>
        </w:tc>
        <w:tc>
          <w:tcPr>
            <w:tcW w:w="803" w:type="dxa"/>
            <w:vAlign w:val="center"/>
          </w:tcPr>
          <w:p w:rsidR="00551060" w:rsidRPr="003F7D48" w:rsidRDefault="00551060" w:rsidP="00C40DB1">
            <w:pPr>
              <w:pStyle w:val="TableBodyText"/>
            </w:pPr>
            <w:r w:rsidRPr="003F7D48">
              <w:t xml:space="preserve">82.1 </w:t>
            </w:r>
            <w:r w:rsidRPr="003F7D48">
              <w:br/>
              <w:t>± 8.1</w:t>
            </w:r>
          </w:p>
        </w:tc>
        <w:tc>
          <w:tcPr>
            <w:tcW w:w="804" w:type="dxa"/>
            <w:vAlign w:val="center"/>
          </w:tcPr>
          <w:p w:rsidR="00551060" w:rsidRPr="003F7D48" w:rsidRDefault="00551060" w:rsidP="00C40DB1">
            <w:pPr>
              <w:pStyle w:val="TableBodyText"/>
            </w:pPr>
            <w:r w:rsidRPr="003F7D48">
              <w:t xml:space="preserve">97.5 </w:t>
            </w:r>
            <w:r w:rsidRPr="003F7D48">
              <w:br/>
              <w:t>± 8.4</w:t>
            </w:r>
          </w:p>
        </w:tc>
        <w:tc>
          <w:tcPr>
            <w:tcW w:w="803" w:type="dxa"/>
            <w:vAlign w:val="center"/>
          </w:tcPr>
          <w:p w:rsidR="00551060" w:rsidRPr="003F7D48" w:rsidRDefault="00551060" w:rsidP="00C40DB1">
            <w:pPr>
              <w:pStyle w:val="TableBodyText"/>
            </w:pPr>
            <w:r w:rsidRPr="003F7D48">
              <w:t xml:space="preserve">90.0 </w:t>
            </w:r>
            <w:r w:rsidRPr="003F7D48">
              <w:br/>
              <w:t>± 8.6</w:t>
            </w:r>
          </w:p>
        </w:tc>
        <w:tc>
          <w:tcPr>
            <w:tcW w:w="803" w:type="dxa"/>
            <w:vAlign w:val="center"/>
          </w:tcPr>
          <w:p w:rsidR="00551060" w:rsidRPr="003F7D48" w:rsidRDefault="00551060" w:rsidP="00C40DB1">
            <w:pPr>
              <w:pStyle w:val="TableBodyText"/>
            </w:pPr>
            <w:r w:rsidRPr="003F7D48">
              <w:t xml:space="preserve">75.2 </w:t>
            </w:r>
            <w:r w:rsidRPr="003F7D48">
              <w:br/>
              <w:t>± 8.9</w:t>
            </w:r>
          </w:p>
        </w:tc>
        <w:tc>
          <w:tcPr>
            <w:tcW w:w="804" w:type="dxa"/>
            <w:vAlign w:val="center"/>
          </w:tcPr>
          <w:p w:rsidR="00551060" w:rsidRPr="003F7D48" w:rsidRDefault="00551060" w:rsidP="00C40DB1">
            <w:pPr>
              <w:pStyle w:val="TableBodyText"/>
            </w:pPr>
            <w:r w:rsidRPr="003F7D48">
              <w:t xml:space="preserve">84.6 </w:t>
            </w:r>
            <w:r w:rsidRPr="003F7D48">
              <w:br/>
              <w:t>± 10.7</w:t>
            </w:r>
          </w:p>
        </w:tc>
        <w:tc>
          <w:tcPr>
            <w:tcW w:w="803" w:type="dxa"/>
            <w:vAlign w:val="center"/>
          </w:tcPr>
          <w:p w:rsidR="00551060" w:rsidRPr="003F7D48" w:rsidRDefault="00551060" w:rsidP="00C40DB1">
            <w:pPr>
              <w:pStyle w:val="TableBodyText"/>
            </w:pPr>
            <w:r w:rsidRPr="003F7D48">
              <w:t xml:space="preserve">87.6 </w:t>
            </w:r>
            <w:r w:rsidRPr="003F7D48">
              <w:br/>
              <w:t>± 11.0</w:t>
            </w:r>
          </w:p>
        </w:tc>
        <w:tc>
          <w:tcPr>
            <w:tcW w:w="803" w:type="dxa"/>
            <w:vAlign w:val="center"/>
          </w:tcPr>
          <w:p w:rsidR="00551060" w:rsidRPr="003F7D48" w:rsidRDefault="00551060" w:rsidP="00C40DB1">
            <w:pPr>
              <w:pStyle w:val="TableBodyText"/>
            </w:pPr>
            <w:r w:rsidRPr="003F7D48">
              <w:t xml:space="preserve">92.9 </w:t>
            </w:r>
            <w:r w:rsidRPr="003F7D48">
              <w:br/>
              <w:t>± 12.8</w:t>
            </w:r>
          </w:p>
        </w:tc>
        <w:tc>
          <w:tcPr>
            <w:tcW w:w="804" w:type="dxa"/>
            <w:vAlign w:val="center"/>
          </w:tcPr>
          <w:p w:rsidR="00551060" w:rsidRPr="003F7D48" w:rsidRDefault="00551060" w:rsidP="00C40DB1">
            <w:pPr>
              <w:pStyle w:val="TableBodyText"/>
            </w:pPr>
            <w:r w:rsidRPr="003F7D48">
              <w:t xml:space="preserve">86.4 </w:t>
            </w:r>
            <w:r w:rsidRPr="003F7D48">
              <w:br/>
              <w:t>± 7.9</w:t>
            </w:r>
          </w:p>
        </w:tc>
      </w:tr>
      <w:tr w:rsidR="00551060" w:rsidRPr="003F7D48" w:rsidTr="00C40DB1">
        <w:tc>
          <w:tcPr>
            <w:tcW w:w="1560" w:type="dxa"/>
          </w:tcPr>
          <w:p w:rsidR="00551060" w:rsidRPr="003F7D48" w:rsidRDefault="00551060" w:rsidP="00C40DB1">
            <w:pPr>
              <w:keepNext/>
              <w:keepLines/>
              <w:spacing w:line="220" w:lineRule="atLeast"/>
              <w:ind w:right="113"/>
              <w:rPr>
                <w:rFonts w:ascii="Arial" w:hAnsi="Arial"/>
                <w:sz w:val="20"/>
                <w:szCs w:val="20"/>
              </w:rPr>
            </w:pPr>
            <w:r w:rsidRPr="003F7D48">
              <w:rPr>
                <w:rFonts w:ascii="Arial" w:hAnsi="Arial"/>
                <w:sz w:val="20"/>
                <w:szCs w:val="20"/>
              </w:rPr>
              <w:t>Gain 2010-2012</w:t>
            </w:r>
          </w:p>
        </w:tc>
        <w:tc>
          <w:tcPr>
            <w:tcW w:w="803" w:type="dxa"/>
            <w:vAlign w:val="center"/>
          </w:tcPr>
          <w:p w:rsidR="00551060" w:rsidRPr="003F7D48" w:rsidRDefault="00551060" w:rsidP="00C40DB1">
            <w:pPr>
              <w:pStyle w:val="TableBodyText"/>
              <w:spacing w:after="0"/>
            </w:pPr>
            <w:r w:rsidRPr="003F7D48">
              <w:t xml:space="preserve">50.0 </w:t>
            </w:r>
            <w:r w:rsidRPr="003F7D48">
              <w:br/>
              <w:t>± 7.8</w:t>
            </w:r>
          </w:p>
        </w:tc>
        <w:tc>
          <w:tcPr>
            <w:tcW w:w="803" w:type="dxa"/>
            <w:vAlign w:val="center"/>
          </w:tcPr>
          <w:p w:rsidR="00551060" w:rsidRPr="003F7D48" w:rsidRDefault="00551060" w:rsidP="00C40DB1">
            <w:pPr>
              <w:pStyle w:val="TableBodyText"/>
              <w:spacing w:after="0"/>
            </w:pPr>
            <w:r w:rsidRPr="003F7D48">
              <w:t xml:space="preserve">46.4 </w:t>
            </w:r>
            <w:r w:rsidRPr="003F7D48">
              <w:br/>
              <w:t>± 7.6</w:t>
            </w:r>
          </w:p>
        </w:tc>
        <w:tc>
          <w:tcPr>
            <w:tcW w:w="804" w:type="dxa"/>
            <w:vAlign w:val="center"/>
          </w:tcPr>
          <w:p w:rsidR="00551060" w:rsidRPr="003F7D48" w:rsidRDefault="00551060" w:rsidP="00C40DB1">
            <w:pPr>
              <w:pStyle w:val="TableBodyText"/>
              <w:spacing w:after="0"/>
            </w:pPr>
            <w:r w:rsidRPr="003F7D48">
              <w:t xml:space="preserve">63.4 </w:t>
            </w:r>
            <w:r w:rsidRPr="003F7D48">
              <w:br/>
              <w:t>± 7.4</w:t>
            </w:r>
          </w:p>
        </w:tc>
        <w:tc>
          <w:tcPr>
            <w:tcW w:w="803" w:type="dxa"/>
            <w:vAlign w:val="center"/>
          </w:tcPr>
          <w:p w:rsidR="00551060" w:rsidRPr="003F7D48" w:rsidRDefault="00551060" w:rsidP="00C40DB1">
            <w:pPr>
              <w:pStyle w:val="TableBodyText"/>
              <w:spacing w:after="0"/>
            </w:pPr>
            <w:r w:rsidRPr="003F7D48">
              <w:t xml:space="preserve">58.8 </w:t>
            </w:r>
            <w:r w:rsidRPr="003F7D48">
              <w:br/>
              <w:t>± 7.9</w:t>
            </w:r>
          </w:p>
        </w:tc>
        <w:tc>
          <w:tcPr>
            <w:tcW w:w="803" w:type="dxa"/>
            <w:vAlign w:val="center"/>
          </w:tcPr>
          <w:p w:rsidR="00551060" w:rsidRPr="003F7D48" w:rsidRDefault="00551060" w:rsidP="00C40DB1">
            <w:pPr>
              <w:pStyle w:val="TableBodyText"/>
              <w:spacing w:after="0"/>
            </w:pPr>
            <w:r w:rsidRPr="003F7D48">
              <w:t xml:space="preserve">60.4 </w:t>
            </w:r>
            <w:r w:rsidRPr="003F7D48">
              <w:br/>
              <w:t>± 8.0</w:t>
            </w:r>
          </w:p>
        </w:tc>
        <w:tc>
          <w:tcPr>
            <w:tcW w:w="804" w:type="dxa"/>
            <w:vAlign w:val="center"/>
          </w:tcPr>
          <w:p w:rsidR="00551060" w:rsidRPr="003F7D48" w:rsidRDefault="00551060" w:rsidP="00C40DB1">
            <w:pPr>
              <w:pStyle w:val="TableBodyText"/>
              <w:spacing w:after="0"/>
            </w:pPr>
            <w:r w:rsidRPr="003F7D48">
              <w:t xml:space="preserve">54.8 </w:t>
            </w:r>
            <w:r w:rsidRPr="003F7D48">
              <w:br/>
              <w:t>± 11.1</w:t>
            </w:r>
          </w:p>
        </w:tc>
        <w:tc>
          <w:tcPr>
            <w:tcW w:w="803" w:type="dxa"/>
            <w:vAlign w:val="center"/>
          </w:tcPr>
          <w:p w:rsidR="00551060" w:rsidRPr="003F7D48" w:rsidRDefault="00551060" w:rsidP="00C40DB1">
            <w:pPr>
              <w:pStyle w:val="TableBodyText"/>
              <w:spacing w:after="0"/>
            </w:pPr>
            <w:r w:rsidRPr="003F7D48">
              <w:t xml:space="preserve">49.4 </w:t>
            </w:r>
            <w:r w:rsidRPr="003F7D48">
              <w:br/>
              <w:t>± 12.1</w:t>
            </w:r>
          </w:p>
        </w:tc>
        <w:tc>
          <w:tcPr>
            <w:tcW w:w="803" w:type="dxa"/>
            <w:vAlign w:val="center"/>
          </w:tcPr>
          <w:p w:rsidR="00551060" w:rsidRPr="003F7D48" w:rsidRDefault="00551060" w:rsidP="00C40DB1">
            <w:pPr>
              <w:pStyle w:val="TableBodyText"/>
              <w:spacing w:after="0"/>
            </w:pPr>
            <w:r w:rsidRPr="003F7D48">
              <w:t xml:space="preserve">55.4 </w:t>
            </w:r>
            <w:r w:rsidRPr="003F7D48">
              <w:br/>
              <w:t>± 16.1</w:t>
            </w:r>
          </w:p>
        </w:tc>
        <w:tc>
          <w:tcPr>
            <w:tcW w:w="804" w:type="dxa"/>
            <w:vAlign w:val="center"/>
          </w:tcPr>
          <w:p w:rsidR="00551060" w:rsidRPr="003F7D48" w:rsidRDefault="00551060" w:rsidP="00C40DB1">
            <w:pPr>
              <w:pStyle w:val="TableBodyText"/>
              <w:spacing w:after="0"/>
            </w:pPr>
            <w:r w:rsidRPr="003F7D48">
              <w:t xml:space="preserve">53.6 </w:t>
            </w:r>
            <w:r w:rsidRPr="003F7D48">
              <w:br/>
              <w:t>± 7.1</w:t>
            </w:r>
          </w:p>
        </w:tc>
      </w:tr>
      <w:tr w:rsidR="00551060" w:rsidRPr="003F7D48" w:rsidTr="00C40DB1">
        <w:tc>
          <w:tcPr>
            <w:tcW w:w="8790" w:type="dxa"/>
            <w:gridSpan w:val="10"/>
          </w:tcPr>
          <w:p w:rsidR="00551060" w:rsidRPr="003F7D48" w:rsidRDefault="00551060" w:rsidP="00C40DB1">
            <w:pPr>
              <w:pStyle w:val="TableBodyText"/>
              <w:spacing w:before="80"/>
              <w:jc w:val="left"/>
              <w:rPr>
                <w:b/>
              </w:rPr>
            </w:pPr>
            <w:r w:rsidRPr="003F7D48">
              <w:rPr>
                <w:b/>
              </w:rPr>
              <w:t>All students</w:t>
            </w:r>
          </w:p>
        </w:tc>
      </w:tr>
      <w:tr w:rsidR="00551060" w:rsidRPr="003F7D48" w:rsidTr="00C40DB1">
        <w:tc>
          <w:tcPr>
            <w:tcW w:w="1560" w:type="dxa"/>
          </w:tcPr>
          <w:p w:rsidR="00551060" w:rsidRPr="003F7D48" w:rsidRDefault="00551060" w:rsidP="00C40DB1">
            <w:pPr>
              <w:keepNext/>
              <w:keepLines/>
              <w:spacing w:after="40" w:line="220" w:lineRule="atLeast"/>
              <w:ind w:left="6" w:right="113"/>
              <w:rPr>
                <w:rFonts w:ascii="Arial" w:hAnsi="Arial"/>
                <w:sz w:val="20"/>
                <w:szCs w:val="20"/>
              </w:rPr>
            </w:pPr>
            <w:r w:rsidRPr="003F7D48">
              <w:rPr>
                <w:rFonts w:ascii="Arial" w:hAnsi="Arial"/>
                <w:sz w:val="20"/>
                <w:szCs w:val="20"/>
              </w:rPr>
              <w:t>2008 Year 3</w:t>
            </w:r>
          </w:p>
        </w:tc>
        <w:tc>
          <w:tcPr>
            <w:tcW w:w="803" w:type="dxa"/>
            <w:vAlign w:val="center"/>
          </w:tcPr>
          <w:p w:rsidR="00551060" w:rsidRPr="003F7D48" w:rsidRDefault="00551060" w:rsidP="00C40DB1">
            <w:pPr>
              <w:pStyle w:val="TableBodyText"/>
            </w:pPr>
            <w:r w:rsidRPr="003F7D48">
              <w:t xml:space="preserve">412.3 </w:t>
            </w:r>
            <w:r w:rsidRPr="003F7D48">
              <w:br/>
              <w:t>± 1.8</w:t>
            </w:r>
          </w:p>
        </w:tc>
        <w:tc>
          <w:tcPr>
            <w:tcW w:w="803" w:type="dxa"/>
            <w:vAlign w:val="center"/>
          </w:tcPr>
          <w:p w:rsidR="00551060" w:rsidRPr="003F7D48" w:rsidRDefault="00551060" w:rsidP="00C40DB1">
            <w:pPr>
              <w:pStyle w:val="TableBodyText"/>
            </w:pPr>
            <w:r w:rsidRPr="003F7D48">
              <w:t xml:space="preserve">419.9 </w:t>
            </w:r>
            <w:r w:rsidRPr="003F7D48">
              <w:br/>
              <w:t>± 1.6</w:t>
            </w:r>
          </w:p>
        </w:tc>
        <w:tc>
          <w:tcPr>
            <w:tcW w:w="804" w:type="dxa"/>
            <w:vAlign w:val="center"/>
          </w:tcPr>
          <w:p w:rsidR="00551060" w:rsidRPr="003F7D48" w:rsidRDefault="00551060" w:rsidP="00C40DB1">
            <w:pPr>
              <w:pStyle w:val="TableBodyText"/>
            </w:pPr>
            <w:r w:rsidRPr="003F7D48">
              <w:t xml:space="preserve">371.1 </w:t>
            </w:r>
            <w:r w:rsidRPr="003F7D48">
              <w:br/>
              <w:t>± 2.6</w:t>
            </w:r>
          </w:p>
        </w:tc>
        <w:tc>
          <w:tcPr>
            <w:tcW w:w="803" w:type="dxa"/>
            <w:vAlign w:val="center"/>
          </w:tcPr>
          <w:p w:rsidR="00551060" w:rsidRPr="003F7D48" w:rsidRDefault="00551060" w:rsidP="00C40DB1">
            <w:pPr>
              <w:pStyle w:val="TableBodyText"/>
            </w:pPr>
            <w:r w:rsidRPr="003F7D48">
              <w:t xml:space="preserve">386.7 </w:t>
            </w:r>
            <w:r w:rsidRPr="003F7D48">
              <w:br/>
              <w:t>± 3.1</w:t>
            </w:r>
          </w:p>
        </w:tc>
        <w:tc>
          <w:tcPr>
            <w:tcW w:w="803" w:type="dxa"/>
            <w:vAlign w:val="center"/>
          </w:tcPr>
          <w:p w:rsidR="00551060" w:rsidRPr="003F7D48" w:rsidRDefault="00551060" w:rsidP="00C40DB1">
            <w:pPr>
              <w:pStyle w:val="TableBodyText"/>
            </w:pPr>
            <w:r w:rsidRPr="003F7D48">
              <w:t xml:space="preserve">400.5 </w:t>
            </w:r>
            <w:r w:rsidRPr="003F7D48">
              <w:br/>
              <w:t>± 3.3</w:t>
            </w:r>
          </w:p>
        </w:tc>
        <w:tc>
          <w:tcPr>
            <w:tcW w:w="804" w:type="dxa"/>
            <w:vAlign w:val="center"/>
          </w:tcPr>
          <w:p w:rsidR="00551060" w:rsidRPr="003F7D48" w:rsidRDefault="00551060" w:rsidP="00C40DB1">
            <w:pPr>
              <w:pStyle w:val="TableBodyText"/>
            </w:pPr>
            <w:r w:rsidRPr="003F7D48">
              <w:t xml:space="preserve">401.2 </w:t>
            </w:r>
            <w:r w:rsidRPr="003F7D48">
              <w:br/>
              <w:t>± 4.9</w:t>
            </w:r>
          </w:p>
        </w:tc>
        <w:tc>
          <w:tcPr>
            <w:tcW w:w="803" w:type="dxa"/>
            <w:vAlign w:val="center"/>
          </w:tcPr>
          <w:p w:rsidR="00551060" w:rsidRPr="003F7D48" w:rsidRDefault="00551060" w:rsidP="00C40DB1">
            <w:pPr>
              <w:pStyle w:val="TableBodyText"/>
            </w:pPr>
            <w:r w:rsidRPr="003F7D48">
              <w:t xml:space="preserve">421.0 </w:t>
            </w:r>
            <w:r w:rsidRPr="003F7D48">
              <w:br/>
              <w:t>± 5.9</w:t>
            </w:r>
          </w:p>
        </w:tc>
        <w:tc>
          <w:tcPr>
            <w:tcW w:w="803" w:type="dxa"/>
            <w:vAlign w:val="center"/>
          </w:tcPr>
          <w:p w:rsidR="00551060" w:rsidRPr="003F7D48" w:rsidRDefault="00551060" w:rsidP="00C40DB1">
            <w:pPr>
              <w:pStyle w:val="TableBodyText"/>
            </w:pPr>
            <w:r w:rsidRPr="003F7D48">
              <w:t xml:space="preserve">306.6 </w:t>
            </w:r>
            <w:r w:rsidRPr="003F7D48">
              <w:br/>
              <w:t>± 19.9</w:t>
            </w:r>
          </w:p>
        </w:tc>
        <w:tc>
          <w:tcPr>
            <w:tcW w:w="804" w:type="dxa"/>
            <w:vAlign w:val="center"/>
          </w:tcPr>
          <w:p w:rsidR="00551060" w:rsidRPr="003F7D48" w:rsidRDefault="00551060" w:rsidP="00C40DB1">
            <w:pPr>
              <w:pStyle w:val="TableBodyText"/>
            </w:pPr>
            <w:r w:rsidRPr="003F7D48">
              <w:t xml:space="preserve">400.5 </w:t>
            </w:r>
            <w:r w:rsidRPr="003F7D48">
              <w:br/>
              <w:t>± 1.2</w:t>
            </w:r>
          </w:p>
        </w:tc>
      </w:tr>
      <w:tr w:rsidR="00551060" w:rsidRPr="003F7D48" w:rsidTr="00C40DB1">
        <w:tc>
          <w:tcPr>
            <w:tcW w:w="1560" w:type="dxa"/>
            <w:shd w:val="clear" w:color="auto" w:fill="auto"/>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2010 Year 5</w:t>
            </w:r>
          </w:p>
        </w:tc>
        <w:tc>
          <w:tcPr>
            <w:tcW w:w="803" w:type="dxa"/>
            <w:shd w:val="clear" w:color="auto" w:fill="auto"/>
            <w:vAlign w:val="center"/>
          </w:tcPr>
          <w:p w:rsidR="00551060" w:rsidRPr="003F7D48" w:rsidRDefault="00551060" w:rsidP="00C40DB1">
            <w:pPr>
              <w:pStyle w:val="TableBodyText"/>
            </w:pPr>
            <w:r w:rsidRPr="003F7D48">
              <w:t xml:space="preserve">496.2 </w:t>
            </w:r>
            <w:r w:rsidRPr="003F7D48">
              <w:br/>
              <w:t>± 1.9</w:t>
            </w:r>
          </w:p>
        </w:tc>
        <w:tc>
          <w:tcPr>
            <w:tcW w:w="803" w:type="dxa"/>
            <w:shd w:val="clear" w:color="auto" w:fill="auto"/>
            <w:vAlign w:val="center"/>
          </w:tcPr>
          <w:p w:rsidR="00551060" w:rsidRPr="003F7D48" w:rsidRDefault="00551060" w:rsidP="00C40DB1">
            <w:pPr>
              <w:pStyle w:val="TableBodyText"/>
            </w:pPr>
            <w:r w:rsidRPr="003F7D48">
              <w:t xml:space="preserve">502.2 </w:t>
            </w:r>
            <w:r w:rsidRPr="003F7D48">
              <w:br/>
              <w:t>± 1.7</w:t>
            </w:r>
          </w:p>
        </w:tc>
        <w:tc>
          <w:tcPr>
            <w:tcW w:w="804" w:type="dxa"/>
            <w:shd w:val="clear" w:color="auto" w:fill="auto"/>
            <w:vAlign w:val="center"/>
          </w:tcPr>
          <w:p w:rsidR="00551060" w:rsidRPr="003F7D48" w:rsidRDefault="00551060" w:rsidP="00C40DB1">
            <w:pPr>
              <w:pStyle w:val="TableBodyText"/>
            </w:pPr>
            <w:r w:rsidRPr="003F7D48">
              <w:t xml:space="preserve">468.7 </w:t>
            </w:r>
            <w:r w:rsidRPr="003F7D48">
              <w:br/>
              <w:t>± 2.1</w:t>
            </w:r>
          </w:p>
        </w:tc>
        <w:tc>
          <w:tcPr>
            <w:tcW w:w="803" w:type="dxa"/>
            <w:shd w:val="clear" w:color="auto" w:fill="auto"/>
            <w:vAlign w:val="center"/>
          </w:tcPr>
          <w:p w:rsidR="00551060" w:rsidRPr="003F7D48" w:rsidRDefault="00551060" w:rsidP="00C40DB1">
            <w:pPr>
              <w:pStyle w:val="TableBodyText"/>
            </w:pPr>
            <w:r w:rsidRPr="003F7D48">
              <w:t xml:space="preserve">477.5 </w:t>
            </w:r>
            <w:r w:rsidRPr="003F7D48">
              <w:br/>
              <w:t>± 2.8</w:t>
            </w:r>
          </w:p>
        </w:tc>
        <w:tc>
          <w:tcPr>
            <w:tcW w:w="803" w:type="dxa"/>
            <w:shd w:val="clear" w:color="auto" w:fill="auto"/>
            <w:vAlign w:val="center"/>
          </w:tcPr>
          <w:p w:rsidR="00551060" w:rsidRPr="003F7D48" w:rsidRDefault="00551060" w:rsidP="00C40DB1">
            <w:pPr>
              <w:pStyle w:val="TableBodyText"/>
            </w:pPr>
            <w:r w:rsidRPr="003F7D48">
              <w:t xml:space="preserve">476.5 </w:t>
            </w:r>
            <w:r w:rsidRPr="003F7D48">
              <w:br/>
              <w:t>± 3.0</w:t>
            </w:r>
          </w:p>
        </w:tc>
        <w:tc>
          <w:tcPr>
            <w:tcW w:w="804" w:type="dxa"/>
            <w:shd w:val="clear" w:color="auto" w:fill="auto"/>
            <w:vAlign w:val="center"/>
          </w:tcPr>
          <w:p w:rsidR="00551060" w:rsidRPr="003F7D48" w:rsidRDefault="00551060" w:rsidP="00C40DB1">
            <w:pPr>
              <w:pStyle w:val="TableBodyText"/>
            </w:pPr>
            <w:r w:rsidRPr="003F7D48">
              <w:t xml:space="preserve">484.6 </w:t>
            </w:r>
            <w:r w:rsidRPr="003F7D48">
              <w:br/>
              <w:t>± 5.5</w:t>
            </w:r>
          </w:p>
        </w:tc>
        <w:tc>
          <w:tcPr>
            <w:tcW w:w="803" w:type="dxa"/>
            <w:shd w:val="clear" w:color="auto" w:fill="auto"/>
            <w:vAlign w:val="center"/>
          </w:tcPr>
          <w:p w:rsidR="00551060" w:rsidRPr="003F7D48" w:rsidRDefault="00551060" w:rsidP="00C40DB1">
            <w:pPr>
              <w:pStyle w:val="TableBodyText"/>
            </w:pPr>
            <w:r w:rsidRPr="003F7D48">
              <w:t xml:space="preserve">508.6 </w:t>
            </w:r>
            <w:r w:rsidRPr="003F7D48">
              <w:br/>
              <w:t>± 5.5</w:t>
            </w:r>
          </w:p>
        </w:tc>
        <w:tc>
          <w:tcPr>
            <w:tcW w:w="803" w:type="dxa"/>
            <w:shd w:val="clear" w:color="auto" w:fill="auto"/>
            <w:vAlign w:val="center"/>
          </w:tcPr>
          <w:p w:rsidR="00551060" w:rsidRPr="003F7D48" w:rsidRDefault="00551060" w:rsidP="00C40DB1">
            <w:pPr>
              <w:pStyle w:val="TableBodyText"/>
            </w:pPr>
            <w:r w:rsidRPr="003F7D48">
              <w:t xml:space="preserve">412.1 </w:t>
            </w:r>
            <w:r w:rsidRPr="003F7D48">
              <w:br/>
              <w:t>± 18.1</w:t>
            </w:r>
          </w:p>
        </w:tc>
        <w:tc>
          <w:tcPr>
            <w:tcW w:w="804" w:type="dxa"/>
            <w:shd w:val="clear" w:color="auto" w:fill="auto"/>
            <w:vAlign w:val="center"/>
          </w:tcPr>
          <w:p w:rsidR="00551060" w:rsidRPr="003F7D48" w:rsidRDefault="00551060" w:rsidP="00C40DB1">
            <w:pPr>
              <w:pStyle w:val="TableBodyText"/>
            </w:pPr>
            <w:r w:rsidRPr="003F7D48">
              <w:t xml:space="preserve">487.4 </w:t>
            </w:r>
            <w:r w:rsidRPr="003F7D48">
              <w:br/>
              <w:t>± 1.1</w:t>
            </w:r>
          </w:p>
        </w:tc>
      </w:tr>
      <w:tr w:rsidR="00551060" w:rsidRPr="003F7D48" w:rsidTr="00C40DB1">
        <w:tc>
          <w:tcPr>
            <w:tcW w:w="1560" w:type="dxa"/>
            <w:shd w:val="clear" w:color="auto" w:fill="auto"/>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2012 Year 7</w:t>
            </w:r>
          </w:p>
        </w:tc>
        <w:tc>
          <w:tcPr>
            <w:tcW w:w="803" w:type="dxa"/>
            <w:shd w:val="clear" w:color="auto" w:fill="auto"/>
            <w:vAlign w:val="center"/>
          </w:tcPr>
          <w:p w:rsidR="00551060" w:rsidRPr="003F7D48" w:rsidRDefault="00551060" w:rsidP="00C40DB1">
            <w:pPr>
              <w:pStyle w:val="TableBodyText"/>
            </w:pPr>
            <w:r w:rsidRPr="003F7D48">
              <w:t xml:space="preserve">546.1 </w:t>
            </w:r>
            <w:r w:rsidRPr="003F7D48">
              <w:br/>
              <w:t>± 2.9</w:t>
            </w:r>
          </w:p>
        </w:tc>
        <w:tc>
          <w:tcPr>
            <w:tcW w:w="803" w:type="dxa"/>
            <w:shd w:val="clear" w:color="auto" w:fill="auto"/>
            <w:vAlign w:val="center"/>
          </w:tcPr>
          <w:p w:rsidR="00551060" w:rsidRPr="003F7D48" w:rsidRDefault="00551060" w:rsidP="00C40DB1">
            <w:pPr>
              <w:pStyle w:val="TableBodyText"/>
            </w:pPr>
            <w:r w:rsidRPr="003F7D48">
              <w:t xml:space="preserve">548.3 </w:t>
            </w:r>
            <w:r w:rsidRPr="003F7D48">
              <w:br/>
              <w:t>± 2.6</w:t>
            </w:r>
          </w:p>
        </w:tc>
        <w:tc>
          <w:tcPr>
            <w:tcW w:w="804" w:type="dxa"/>
            <w:shd w:val="clear" w:color="auto" w:fill="auto"/>
            <w:vAlign w:val="center"/>
          </w:tcPr>
          <w:p w:rsidR="00551060" w:rsidRPr="003F7D48" w:rsidRDefault="00551060" w:rsidP="00C40DB1">
            <w:pPr>
              <w:pStyle w:val="TableBodyText"/>
            </w:pPr>
            <w:r w:rsidRPr="003F7D48">
              <w:t xml:space="preserve">532.7 </w:t>
            </w:r>
            <w:r w:rsidRPr="003F7D48">
              <w:br/>
              <w:t>± 2.0</w:t>
            </w:r>
          </w:p>
        </w:tc>
        <w:tc>
          <w:tcPr>
            <w:tcW w:w="803" w:type="dxa"/>
            <w:shd w:val="clear" w:color="auto" w:fill="auto"/>
            <w:vAlign w:val="center"/>
          </w:tcPr>
          <w:p w:rsidR="00551060" w:rsidRPr="003F7D48" w:rsidRDefault="00551060" w:rsidP="00C40DB1">
            <w:pPr>
              <w:pStyle w:val="TableBodyText"/>
            </w:pPr>
            <w:r w:rsidRPr="003F7D48">
              <w:t xml:space="preserve">537.8 </w:t>
            </w:r>
            <w:r w:rsidRPr="003F7D48">
              <w:br/>
              <w:t>± 3.0</w:t>
            </w:r>
          </w:p>
        </w:tc>
        <w:tc>
          <w:tcPr>
            <w:tcW w:w="803" w:type="dxa"/>
            <w:shd w:val="clear" w:color="auto" w:fill="auto"/>
            <w:vAlign w:val="center"/>
          </w:tcPr>
          <w:p w:rsidR="00551060" w:rsidRPr="003F7D48" w:rsidRDefault="00551060" w:rsidP="00C40DB1">
            <w:pPr>
              <w:pStyle w:val="TableBodyText"/>
            </w:pPr>
            <w:r w:rsidRPr="003F7D48">
              <w:t xml:space="preserve">537.0 </w:t>
            </w:r>
            <w:r w:rsidRPr="003F7D48">
              <w:br/>
              <w:t>± 2.9</w:t>
            </w:r>
          </w:p>
        </w:tc>
        <w:tc>
          <w:tcPr>
            <w:tcW w:w="804" w:type="dxa"/>
            <w:shd w:val="clear" w:color="auto" w:fill="auto"/>
            <w:vAlign w:val="center"/>
          </w:tcPr>
          <w:p w:rsidR="00551060" w:rsidRPr="003F7D48" w:rsidRDefault="00551060" w:rsidP="00C40DB1">
            <w:pPr>
              <w:pStyle w:val="TableBodyText"/>
            </w:pPr>
            <w:r w:rsidRPr="003F7D48">
              <w:t xml:space="preserve">540.6 </w:t>
            </w:r>
            <w:r w:rsidRPr="003F7D48">
              <w:br/>
              <w:t>± 7.4</w:t>
            </w:r>
          </w:p>
        </w:tc>
        <w:tc>
          <w:tcPr>
            <w:tcW w:w="803" w:type="dxa"/>
            <w:shd w:val="clear" w:color="auto" w:fill="auto"/>
            <w:vAlign w:val="center"/>
          </w:tcPr>
          <w:p w:rsidR="00551060" w:rsidRPr="003F7D48" w:rsidRDefault="00551060" w:rsidP="00C40DB1">
            <w:pPr>
              <w:pStyle w:val="TableBodyText"/>
            </w:pPr>
            <w:r w:rsidRPr="003F7D48">
              <w:t xml:space="preserve">558.6 </w:t>
            </w:r>
            <w:r w:rsidRPr="003F7D48">
              <w:br/>
              <w:t>± 8.3</w:t>
            </w:r>
          </w:p>
        </w:tc>
        <w:tc>
          <w:tcPr>
            <w:tcW w:w="803" w:type="dxa"/>
            <w:shd w:val="clear" w:color="auto" w:fill="auto"/>
            <w:vAlign w:val="center"/>
          </w:tcPr>
          <w:p w:rsidR="00551060" w:rsidRPr="003F7D48" w:rsidRDefault="00551060" w:rsidP="00C40DB1">
            <w:pPr>
              <w:pStyle w:val="TableBodyText"/>
            </w:pPr>
            <w:r w:rsidRPr="003F7D48">
              <w:t xml:space="preserve">474.3 </w:t>
            </w:r>
            <w:r w:rsidRPr="003F7D48">
              <w:br/>
              <w:t>± 22.2</w:t>
            </w:r>
          </w:p>
        </w:tc>
        <w:tc>
          <w:tcPr>
            <w:tcW w:w="804" w:type="dxa"/>
            <w:shd w:val="clear" w:color="auto" w:fill="auto"/>
            <w:vAlign w:val="center"/>
          </w:tcPr>
          <w:p w:rsidR="00551060" w:rsidRPr="003F7D48" w:rsidRDefault="00551060" w:rsidP="00C40DB1">
            <w:pPr>
              <w:pStyle w:val="TableBodyText"/>
            </w:pPr>
            <w:r w:rsidRPr="003F7D48">
              <w:t xml:space="preserve">541.5 </w:t>
            </w:r>
            <w:r w:rsidRPr="003F7D48">
              <w:br/>
              <w:t>± 1.3</w:t>
            </w:r>
          </w:p>
        </w:tc>
      </w:tr>
      <w:tr w:rsidR="00551060" w:rsidRPr="003F7D48" w:rsidTr="00C40DB1">
        <w:tc>
          <w:tcPr>
            <w:tcW w:w="1560" w:type="dxa"/>
            <w:shd w:val="clear" w:color="auto" w:fill="auto"/>
          </w:tcPr>
          <w:p w:rsidR="00551060" w:rsidRPr="003F7D48" w:rsidRDefault="00551060" w:rsidP="00C40DB1">
            <w:pPr>
              <w:keepNext/>
              <w:keepLines/>
              <w:spacing w:after="40" w:line="220" w:lineRule="atLeast"/>
              <w:ind w:right="113"/>
              <w:rPr>
                <w:rFonts w:ascii="Arial" w:hAnsi="Arial"/>
                <w:sz w:val="20"/>
                <w:szCs w:val="20"/>
              </w:rPr>
            </w:pPr>
            <w:r w:rsidRPr="003F7D48">
              <w:rPr>
                <w:rFonts w:ascii="Arial" w:hAnsi="Arial"/>
                <w:sz w:val="20"/>
                <w:szCs w:val="20"/>
              </w:rPr>
              <w:t>Gain 2008-2010</w:t>
            </w:r>
          </w:p>
        </w:tc>
        <w:tc>
          <w:tcPr>
            <w:tcW w:w="803" w:type="dxa"/>
            <w:shd w:val="clear" w:color="auto" w:fill="auto"/>
            <w:vAlign w:val="center"/>
          </w:tcPr>
          <w:p w:rsidR="00551060" w:rsidRPr="003F7D48" w:rsidRDefault="00551060" w:rsidP="00C40DB1">
            <w:pPr>
              <w:pStyle w:val="TableBodyText"/>
            </w:pPr>
            <w:r w:rsidRPr="003F7D48">
              <w:t xml:space="preserve">83.9 </w:t>
            </w:r>
            <w:r w:rsidRPr="003F7D48">
              <w:br/>
              <w:t>± 8.2</w:t>
            </w:r>
          </w:p>
        </w:tc>
        <w:tc>
          <w:tcPr>
            <w:tcW w:w="803" w:type="dxa"/>
            <w:shd w:val="clear" w:color="auto" w:fill="auto"/>
            <w:vAlign w:val="center"/>
          </w:tcPr>
          <w:p w:rsidR="00551060" w:rsidRPr="003F7D48" w:rsidRDefault="00551060" w:rsidP="00C40DB1">
            <w:pPr>
              <w:pStyle w:val="TableBodyText"/>
            </w:pPr>
            <w:r w:rsidRPr="003F7D48">
              <w:t xml:space="preserve">82.3 </w:t>
            </w:r>
            <w:r w:rsidRPr="003F7D48">
              <w:br/>
              <w:t>± 8.1</w:t>
            </w:r>
          </w:p>
        </w:tc>
        <w:tc>
          <w:tcPr>
            <w:tcW w:w="804" w:type="dxa"/>
            <w:shd w:val="clear" w:color="auto" w:fill="auto"/>
            <w:vAlign w:val="center"/>
          </w:tcPr>
          <w:p w:rsidR="00551060" w:rsidRPr="003F7D48" w:rsidRDefault="00551060" w:rsidP="00C40DB1">
            <w:pPr>
              <w:pStyle w:val="TableBodyText"/>
            </w:pPr>
            <w:r w:rsidRPr="003F7D48">
              <w:t xml:space="preserve">97.6 </w:t>
            </w:r>
            <w:r w:rsidRPr="003F7D48">
              <w:br/>
              <w:t>± 8.4</w:t>
            </w:r>
          </w:p>
        </w:tc>
        <w:tc>
          <w:tcPr>
            <w:tcW w:w="803" w:type="dxa"/>
            <w:shd w:val="clear" w:color="auto" w:fill="auto"/>
            <w:vAlign w:val="center"/>
          </w:tcPr>
          <w:p w:rsidR="00551060" w:rsidRPr="003F7D48" w:rsidRDefault="00551060" w:rsidP="00C40DB1">
            <w:pPr>
              <w:pStyle w:val="TableBodyText"/>
            </w:pPr>
            <w:r w:rsidRPr="003F7D48">
              <w:t xml:space="preserve">90.8 </w:t>
            </w:r>
            <w:r w:rsidRPr="003F7D48">
              <w:br/>
              <w:t>± 8.8</w:t>
            </w:r>
          </w:p>
        </w:tc>
        <w:tc>
          <w:tcPr>
            <w:tcW w:w="803" w:type="dxa"/>
            <w:shd w:val="clear" w:color="auto" w:fill="auto"/>
            <w:vAlign w:val="center"/>
          </w:tcPr>
          <w:p w:rsidR="00551060" w:rsidRPr="003F7D48" w:rsidRDefault="00551060" w:rsidP="00C40DB1">
            <w:pPr>
              <w:pStyle w:val="TableBodyText"/>
            </w:pPr>
            <w:r w:rsidRPr="003F7D48">
              <w:t xml:space="preserve">76.0 </w:t>
            </w:r>
            <w:r w:rsidRPr="003F7D48">
              <w:br/>
              <w:t>± 9.0</w:t>
            </w:r>
          </w:p>
        </w:tc>
        <w:tc>
          <w:tcPr>
            <w:tcW w:w="804" w:type="dxa"/>
            <w:shd w:val="clear" w:color="auto" w:fill="auto"/>
            <w:vAlign w:val="center"/>
          </w:tcPr>
          <w:p w:rsidR="00551060" w:rsidRPr="003F7D48" w:rsidRDefault="00551060" w:rsidP="00C40DB1">
            <w:pPr>
              <w:pStyle w:val="TableBodyText"/>
            </w:pPr>
            <w:r w:rsidRPr="003F7D48">
              <w:t xml:space="preserve">83.4 </w:t>
            </w:r>
            <w:r w:rsidRPr="003F7D48">
              <w:br/>
              <w:t>± 10.7</w:t>
            </w:r>
          </w:p>
        </w:tc>
        <w:tc>
          <w:tcPr>
            <w:tcW w:w="803" w:type="dxa"/>
            <w:shd w:val="clear" w:color="auto" w:fill="auto"/>
            <w:vAlign w:val="center"/>
          </w:tcPr>
          <w:p w:rsidR="00551060" w:rsidRPr="003F7D48" w:rsidRDefault="00551060" w:rsidP="00C40DB1">
            <w:pPr>
              <w:pStyle w:val="TableBodyText"/>
            </w:pPr>
            <w:r w:rsidRPr="003F7D48">
              <w:t xml:space="preserve">87.6 </w:t>
            </w:r>
            <w:r w:rsidRPr="003F7D48">
              <w:br/>
              <w:t>± 11.1</w:t>
            </w:r>
          </w:p>
        </w:tc>
        <w:tc>
          <w:tcPr>
            <w:tcW w:w="803" w:type="dxa"/>
            <w:shd w:val="clear" w:color="auto" w:fill="auto"/>
            <w:vAlign w:val="center"/>
          </w:tcPr>
          <w:p w:rsidR="00551060" w:rsidRPr="003F7D48" w:rsidRDefault="00551060" w:rsidP="00C40DB1">
            <w:pPr>
              <w:pStyle w:val="TableBodyText"/>
            </w:pPr>
            <w:r w:rsidRPr="003F7D48">
              <w:t xml:space="preserve">105.5 </w:t>
            </w:r>
            <w:r w:rsidRPr="003F7D48">
              <w:br/>
              <w:t>± 27.7</w:t>
            </w:r>
          </w:p>
        </w:tc>
        <w:tc>
          <w:tcPr>
            <w:tcW w:w="804" w:type="dxa"/>
            <w:shd w:val="clear" w:color="auto" w:fill="auto"/>
            <w:vAlign w:val="center"/>
          </w:tcPr>
          <w:p w:rsidR="00551060" w:rsidRPr="003F7D48" w:rsidRDefault="00551060" w:rsidP="00C40DB1">
            <w:pPr>
              <w:pStyle w:val="TableBodyText"/>
            </w:pPr>
            <w:r w:rsidRPr="003F7D48">
              <w:t xml:space="preserve">86.9 </w:t>
            </w:r>
            <w:r w:rsidRPr="003F7D48">
              <w:br/>
              <w:t>± 7.9</w:t>
            </w:r>
          </w:p>
        </w:tc>
      </w:tr>
      <w:tr w:rsidR="00551060" w:rsidRPr="003F7D48" w:rsidTr="00C40DB1">
        <w:tc>
          <w:tcPr>
            <w:tcW w:w="1560" w:type="dxa"/>
            <w:tcBorders>
              <w:bottom w:val="single" w:sz="6" w:space="0" w:color="auto"/>
            </w:tcBorders>
            <w:shd w:val="clear" w:color="auto" w:fill="auto"/>
          </w:tcPr>
          <w:p w:rsidR="00551060" w:rsidRPr="003F7D48" w:rsidRDefault="00551060" w:rsidP="00C40DB1">
            <w:pPr>
              <w:keepNext/>
              <w:keepLines/>
              <w:spacing w:line="220" w:lineRule="atLeast"/>
              <w:ind w:right="113"/>
              <w:rPr>
                <w:rFonts w:ascii="Arial" w:hAnsi="Arial"/>
                <w:sz w:val="20"/>
                <w:szCs w:val="20"/>
              </w:rPr>
            </w:pPr>
            <w:r w:rsidRPr="003F7D48">
              <w:rPr>
                <w:rFonts w:ascii="Arial" w:hAnsi="Arial"/>
                <w:sz w:val="20"/>
                <w:szCs w:val="20"/>
              </w:rPr>
              <w:t>Gain 2010-2012</w:t>
            </w:r>
          </w:p>
        </w:tc>
        <w:tc>
          <w:tcPr>
            <w:tcW w:w="803"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49.9 </w:t>
            </w:r>
            <w:r w:rsidRPr="003F7D48">
              <w:br/>
              <w:t>± 7.8</w:t>
            </w:r>
          </w:p>
        </w:tc>
        <w:tc>
          <w:tcPr>
            <w:tcW w:w="803"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46.1 </w:t>
            </w:r>
            <w:r w:rsidRPr="003F7D48">
              <w:br/>
              <w:t>± 7.6</w:t>
            </w:r>
          </w:p>
        </w:tc>
        <w:tc>
          <w:tcPr>
            <w:tcW w:w="804"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64.0 </w:t>
            </w:r>
            <w:r w:rsidRPr="003F7D48">
              <w:br/>
              <w:t>± 7.5</w:t>
            </w:r>
          </w:p>
        </w:tc>
        <w:tc>
          <w:tcPr>
            <w:tcW w:w="803"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60.3 </w:t>
            </w:r>
            <w:r w:rsidRPr="003F7D48">
              <w:br/>
              <w:t>± 8.1</w:t>
            </w:r>
          </w:p>
        </w:tc>
        <w:tc>
          <w:tcPr>
            <w:tcW w:w="803"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60.5 </w:t>
            </w:r>
            <w:r w:rsidRPr="003F7D48">
              <w:br/>
              <w:t>± 8.1</w:t>
            </w:r>
          </w:p>
        </w:tc>
        <w:tc>
          <w:tcPr>
            <w:tcW w:w="804"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56.0 </w:t>
            </w:r>
            <w:r w:rsidRPr="003F7D48">
              <w:br/>
              <w:t>± 11.6</w:t>
            </w:r>
          </w:p>
        </w:tc>
        <w:tc>
          <w:tcPr>
            <w:tcW w:w="803"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50.0 </w:t>
            </w:r>
            <w:r w:rsidRPr="003F7D48">
              <w:br/>
              <w:t>± 12.1</w:t>
            </w:r>
          </w:p>
        </w:tc>
        <w:tc>
          <w:tcPr>
            <w:tcW w:w="803"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62.2 </w:t>
            </w:r>
            <w:r w:rsidRPr="003F7D48">
              <w:br/>
              <w:t>± 29.5</w:t>
            </w:r>
          </w:p>
        </w:tc>
        <w:tc>
          <w:tcPr>
            <w:tcW w:w="804" w:type="dxa"/>
            <w:tcBorders>
              <w:bottom w:val="single" w:sz="6" w:space="0" w:color="auto"/>
            </w:tcBorders>
            <w:shd w:val="clear" w:color="auto" w:fill="auto"/>
            <w:vAlign w:val="center"/>
          </w:tcPr>
          <w:p w:rsidR="00551060" w:rsidRPr="003F7D48" w:rsidRDefault="00551060" w:rsidP="00C40DB1">
            <w:pPr>
              <w:pStyle w:val="TableBodyText"/>
              <w:spacing w:after="0"/>
            </w:pPr>
            <w:r w:rsidRPr="003F7D48">
              <w:t xml:space="preserve">54.1 </w:t>
            </w:r>
            <w:r w:rsidRPr="003F7D48">
              <w:br/>
              <w:t>± 7.1</w:t>
            </w:r>
          </w:p>
        </w:tc>
      </w:tr>
    </w:tbl>
    <w:p w:rsidR="00551060" w:rsidRPr="003F7D48" w:rsidRDefault="00551060" w:rsidP="00551060">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The mean scale scores for 2008, 2010 and 2012 reported in this table include 95 per cent confidence intervals (for example, a mean scale score of 400.0 ± 2.7, or a gain from 2010 to 2012 of 80.1 ± 2.7). Confidence intervals for the gain provide an indication of the level of uncertainty of the gain over the two year period. </w:t>
      </w:r>
      <w:r w:rsidRPr="003F7D48">
        <w:rPr>
          <w:rStyle w:val="NoteLabel"/>
        </w:rPr>
        <w:t>b</w:t>
      </w:r>
      <w:r w:rsidRPr="003F7D48">
        <w:rPr>
          <w:rFonts w:ascii="Arial" w:hAnsi="Arial"/>
          <w:sz w:val="18"/>
          <w:szCs w:val="20"/>
        </w:rPr>
        <w:t xml:space="preserve"> The confidence interval provided is for the specific jurisdictional gain and should not be used for comparisons between jurisdictions or between subgroups.</w:t>
      </w:r>
    </w:p>
    <w:p w:rsidR="00551060" w:rsidRPr="003F7D48" w:rsidRDefault="00551060" w:rsidP="00551060">
      <w:pPr>
        <w:keepLines/>
        <w:spacing w:before="8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2012 National Assessment Program — Literacy and Numeracy: Achievement in Numeracy, Writing, Language Conventions and Numeracy</w:t>
      </w:r>
      <w:r w:rsidRPr="003F7D48">
        <w:rPr>
          <w:rFonts w:ascii="Arial" w:hAnsi="Arial"/>
          <w:sz w:val="18"/>
          <w:szCs w:val="20"/>
        </w:rPr>
        <w:t xml:space="preserve">; table 4A.53; 2014 Report, </w:t>
      </w:r>
      <w:r w:rsidRPr="003F7D48">
        <w:rPr>
          <w:rFonts w:ascii="Arial" w:hAnsi="Arial"/>
          <w:sz w:val="18"/>
          <w:szCs w:val="20"/>
        </w:rPr>
        <w:br/>
        <w:t>table 4.8, p. 4.61.</w:t>
      </w:r>
    </w:p>
    <w:p w:rsidR="00551060" w:rsidRPr="003F7D48" w:rsidRDefault="00551060" w:rsidP="00551060">
      <w:pPr>
        <w:keepNext/>
        <w:spacing w:before="480" w:line="320" w:lineRule="exact"/>
        <w:outlineLvl w:val="4"/>
        <w:rPr>
          <w:b/>
          <w:i/>
        </w:rPr>
      </w:pPr>
      <w:r w:rsidRPr="003F7D48">
        <w:rPr>
          <w:b/>
          <w:i/>
        </w:rPr>
        <w:t>NAPLAN Numeracy</w:t>
      </w:r>
    </w:p>
    <w:p w:rsidR="00551060" w:rsidRPr="003F7D48" w:rsidRDefault="00551060" w:rsidP="00551060">
      <w:pPr>
        <w:spacing w:before="240" w:line="320" w:lineRule="atLeast"/>
        <w:jc w:val="both"/>
        <w:rPr>
          <w:szCs w:val="20"/>
        </w:rPr>
      </w:pPr>
      <w:r w:rsidRPr="003F7D48">
        <w:rPr>
          <w:szCs w:val="20"/>
        </w:rPr>
        <w:t xml:space="preserve">This section of the learning outcomes indicator provides key outcomes for NAPLAN testing (years 3, 5, 7 and 9) in the numeracy domain. Indigenous </w:t>
      </w:r>
      <w:r w:rsidRPr="003F7D48">
        <w:rPr>
          <w:szCs w:val="20"/>
        </w:rPr>
        <w:lastRenderedPageBreak/>
        <w:t xml:space="preserve">outcomes are highlighted, but outcomes for a range of other equity groups, including male, female, LBOTE, geolocation and socio-economic status (parental education and parental occupation) are included in </w:t>
      </w:r>
      <w:r w:rsidR="008C7E8E" w:rsidRPr="003F7D48">
        <w:rPr>
          <w:szCs w:val="20"/>
        </w:rPr>
        <w:t>tables 4</w:t>
      </w:r>
      <w:r w:rsidR="008B6F1F" w:rsidRPr="003F7D48">
        <w:rPr>
          <w:szCs w:val="20"/>
        </w:rPr>
        <w:t>A.71–</w:t>
      </w:r>
      <w:r w:rsidR="008C7E8E" w:rsidRPr="003F7D48">
        <w:rPr>
          <w:szCs w:val="20"/>
        </w:rPr>
        <w:t>72</w:t>
      </w:r>
      <w:r w:rsidR="008B6F1F" w:rsidRPr="003F7D48">
        <w:rPr>
          <w:szCs w:val="20"/>
        </w:rPr>
        <w:t>, 4A.74–</w:t>
      </w:r>
      <w:r w:rsidR="008C7E8E" w:rsidRPr="003F7D48">
        <w:rPr>
          <w:szCs w:val="20"/>
        </w:rPr>
        <w:t xml:space="preserve">75, 4A.77–88 and </w:t>
      </w:r>
      <w:r w:rsidRPr="003F7D48">
        <w:rPr>
          <w:szCs w:val="20"/>
        </w:rPr>
        <w:t xml:space="preserve">2014 Report, </w:t>
      </w:r>
      <w:r w:rsidR="00581AAA" w:rsidRPr="003F7D48">
        <w:rPr>
          <w:szCs w:val="20"/>
        </w:rPr>
        <w:t xml:space="preserve">tables </w:t>
      </w:r>
      <w:r w:rsidRPr="003F7D48">
        <w:rPr>
          <w:szCs w:val="20"/>
        </w:rPr>
        <w:t>4A.</w:t>
      </w:r>
      <w:r w:rsidR="008C7E8E" w:rsidRPr="003F7D48">
        <w:rPr>
          <w:szCs w:val="20"/>
        </w:rPr>
        <w:t>73 and</w:t>
      </w:r>
      <w:r w:rsidR="003455CD" w:rsidRPr="003F7D48">
        <w:rPr>
          <w:szCs w:val="20"/>
        </w:rPr>
        <w:t xml:space="preserve"> </w:t>
      </w:r>
      <w:r w:rsidR="00581AAA" w:rsidRPr="003F7D48">
        <w:rPr>
          <w:szCs w:val="20"/>
        </w:rPr>
        <w:t>4A.</w:t>
      </w:r>
      <w:r w:rsidR="008C7E8E" w:rsidRPr="003F7D48">
        <w:rPr>
          <w:szCs w:val="20"/>
        </w:rPr>
        <w:t>76</w:t>
      </w:r>
      <w:r w:rsidRPr="003F7D48">
        <w:rPr>
          <w:szCs w:val="20"/>
        </w:rPr>
        <w:t>.</w:t>
      </w:r>
    </w:p>
    <w:p w:rsidR="00551060" w:rsidRPr="003F7D48" w:rsidRDefault="00551060" w:rsidP="00551060">
      <w:pPr>
        <w:spacing w:before="240" w:line="320" w:lineRule="atLeast"/>
        <w:jc w:val="both"/>
        <w:rPr>
          <w:i/>
          <w:szCs w:val="20"/>
        </w:rPr>
      </w:pPr>
      <w:r w:rsidRPr="003F7D48">
        <w:rPr>
          <w:i/>
          <w:szCs w:val="20"/>
        </w:rPr>
        <w:t>All students and Indigenous students</w:t>
      </w:r>
    </w:p>
    <w:p w:rsidR="00551060" w:rsidRPr="003F7D48" w:rsidRDefault="00551060" w:rsidP="00551060">
      <w:pPr>
        <w:spacing w:before="240" w:line="320" w:lineRule="atLeast"/>
        <w:jc w:val="both"/>
        <w:rPr>
          <w:szCs w:val="20"/>
        </w:rPr>
      </w:pPr>
      <w:r w:rsidRPr="003F7D48">
        <w:rPr>
          <w:szCs w:val="20"/>
        </w:rPr>
        <w:t>The proportion of year 3 students who achieved at or above the numeracy national minimum standard in 2012 was 93.7–94.1 per cent nationally. The proportion for Indigenous students (71.1–74.3 per cent) was significantly lower than for non</w:t>
      </w:r>
      <w:r w:rsidRPr="003F7D48">
        <w:rPr>
          <w:szCs w:val="20"/>
        </w:rPr>
        <w:noBreakHyphen/>
        <w:t>Indigenous students (94.9–95.3 per cent) (figure 4.14). These proportions varied across jurisdictions.</w:t>
      </w:r>
    </w:p>
    <w:p w:rsidR="00551060" w:rsidRPr="003F7D48" w:rsidRDefault="00551060" w:rsidP="00551060">
      <w:pPr>
        <w:pStyle w:val="FigureTitle"/>
        <w:rPr>
          <w:position w:val="6"/>
          <w:sz w:val="18"/>
        </w:rPr>
      </w:pPr>
      <w:r w:rsidRPr="003F7D48">
        <w:rPr>
          <w:b w:val="0"/>
        </w:rPr>
        <w:t>Figure 4.</w:t>
      </w:r>
      <w:r w:rsidRPr="003F7D48">
        <w:rPr>
          <w:b w:val="0"/>
          <w:noProof/>
        </w:rPr>
        <w:t>14</w:t>
      </w:r>
      <w:r w:rsidRPr="003F7D48">
        <w:tab/>
        <w:t>Proportion of year 3 students achieving at or above the numeracy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51060" w:rsidRPr="003F7D48" w:rsidTr="00C40DB1">
        <w:tc>
          <w:tcPr>
            <w:tcW w:w="8777" w:type="dxa"/>
          </w:tcPr>
          <w:p w:rsidR="00551060" w:rsidRPr="003F7D48" w:rsidRDefault="00551060" w:rsidP="00C40DB1">
            <w:pPr>
              <w:keepNext/>
              <w:spacing w:before="120" w:after="120" w:line="240" w:lineRule="atLeast"/>
              <w:jc w:val="center"/>
              <w:rPr>
                <w:szCs w:val="20"/>
              </w:rPr>
            </w:pPr>
            <w:r w:rsidRPr="003F7D48">
              <w:rPr>
                <w:noProof/>
                <w:szCs w:val="20"/>
              </w:rPr>
              <w:drawing>
                <wp:inline distT="0" distB="0" distL="0" distR="0" wp14:anchorId="6267A9ED" wp14:editId="3DEED140">
                  <wp:extent cx="5391150" cy="2695575"/>
                  <wp:effectExtent l="0" t="0" r="0" b="9525"/>
                  <wp:docPr id="35" name="Picture 35" descr="Figure 4.14 Proportion of year 3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551060" w:rsidRPr="003F7D48" w:rsidRDefault="00551060" w:rsidP="00551060">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4A.71.</w:t>
      </w:r>
    </w:p>
    <w:p w:rsidR="00551060" w:rsidRPr="003F7D48" w:rsidRDefault="00551060" w:rsidP="00551060">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(2011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4A.71; 2014 Report, figure 4.32, p. 4.62.</w:t>
      </w:r>
    </w:p>
    <w:p w:rsidR="00C40DB1" w:rsidRPr="003F7D48" w:rsidRDefault="00C40DB1" w:rsidP="00C40DB1">
      <w:pPr>
        <w:spacing w:before="240" w:line="320" w:lineRule="atLeast"/>
        <w:jc w:val="both"/>
        <w:rPr>
          <w:szCs w:val="20"/>
        </w:rPr>
      </w:pPr>
      <w:r w:rsidRPr="003F7D48">
        <w:rPr>
          <w:szCs w:val="20"/>
        </w:rPr>
        <w:t>Nationally in 2012, the mean scale score for year 3 numeracy for all students was 394.5–396.5. The mean scale score for Indigenous students (316.9–323.3) was significantly lower than for non-Indigenous students (398.6–400.4). Mean scale scores varied across jurisdictions (figure 4.15).</w:t>
      </w:r>
    </w:p>
    <w:p w:rsidR="00C40DB1" w:rsidRPr="003F7D48" w:rsidRDefault="00C40DB1" w:rsidP="00C40DB1">
      <w:pPr>
        <w:pStyle w:val="FigureTitle"/>
      </w:pPr>
      <w:r w:rsidRPr="003F7D48">
        <w:rPr>
          <w:b w:val="0"/>
        </w:rPr>
        <w:lastRenderedPageBreak/>
        <w:t>Figure 4.</w:t>
      </w:r>
      <w:r w:rsidRPr="003F7D48">
        <w:rPr>
          <w:b w:val="0"/>
          <w:noProof/>
        </w:rPr>
        <w:t>15</w:t>
      </w:r>
      <w:r w:rsidRPr="003F7D48">
        <w:tab/>
        <w:t>Mean scale scores for year 3 students, numeracy,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0DB1" w:rsidRPr="003F7D48" w:rsidTr="00C40DB1">
        <w:tc>
          <w:tcPr>
            <w:tcW w:w="8777" w:type="dxa"/>
          </w:tcPr>
          <w:p w:rsidR="00C40DB1" w:rsidRPr="003F7D48" w:rsidRDefault="00C40DB1" w:rsidP="00C40DB1">
            <w:pPr>
              <w:keepNext/>
              <w:spacing w:before="120" w:after="120" w:line="240" w:lineRule="atLeast"/>
              <w:jc w:val="center"/>
              <w:rPr>
                <w:szCs w:val="20"/>
              </w:rPr>
            </w:pPr>
            <w:r w:rsidRPr="003F7D48">
              <w:rPr>
                <w:noProof/>
                <w:szCs w:val="20"/>
              </w:rPr>
              <w:drawing>
                <wp:inline distT="0" distB="0" distL="0" distR="0" wp14:anchorId="0DDE4A29" wp14:editId="23CFCC6E">
                  <wp:extent cx="5391150" cy="2695575"/>
                  <wp:effectExtent l="0" t="0" r="0" b="9525"/>
                  <wp:docPr id="36" name="Picture 36" descr="Figure 4.15 Mean scale scores for year 3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0DB1" w:rsidRPr="003F7D48" w:rsidRDefault="00C40DB1" w:rsidP="00C40DB1">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4A.74.</w:t>
      </w:r>
    </w:p>
    <w:p w:rsidR="00C40DB1" w:rsidRPr="003F7D48" w:rsidRDefault="00C40DB1" w:rsidP="00C40DB1">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2012 National Assessment Program — Literacy and Numeracy: Achievement in Numeracy, Writing, Language Conventions and Numeracy</w:t>
      </w:r>
      <w:r w:rsidRPr="003F7D48">
        <w:rPr>
          <w:rFonts w:ascii="Arial" w:hAnsi="Arial"/>
          <w:sz w:val="18"/>
          <w:szCs w:val="20"/>
        </w:rPr>
        <w:t xml:space="preserve">; table 4A.74; 2014 Report, </w:t>
      </w:r>
      <w:r w:rsidRPr="003F7D48">
        <w:rPr>
          <w:rFonts w:ascii="Arial" w:hAnsi="Arial"/>
          <w:sz w:val="18"/>
          <w:szCs w:val="20"/>
        </w:rPr>
        <w:br/>
        <w:t>figure 4.33, p. 4.63.</w:t>
      </w:r>
    </w:p>
    <w:p w:rsidR="00C40DB1" w:rsidRPr="003F7D48" w:rsidRDefault="00C40DB1" w:rsidP="00C40DB1">
      <w:pPr>
        <w:spacing w:before="240" w:line="320" w:lineRule="atLeast"/>
        <w:jc w:val="both"/>
        <w:rPr>
          <w:szCs w:val="20"/>
        </w:rPr>
      </w:pPr>
      <w:r w:rsidRPr="003F7D48">
        <w:rPr>
          <w:szCs w:val="20"/>
        </w:rPr>
        <w:t>The proportion of year 5 students who achieved at or above the numeracy national minimum standard in 2012 was 93.1–93.5 per cent nationally. The proportion for Indigenous students (67.3–71.1 per cent) was significantly lower than for non</w:t>
      </w:r>
      <w:r w:rsidRPr="003F7D48">
        <w:rPr>
          <w:szCs w:val="20"/>
        </w:rPr>
        <w:noBreakHyphen/>
        <w:t>Indigenous students (94.4–94.8 per cent) (figure 4.16). These proportions varied across jurisdictions.</w:t>
      </w:r>
    </w:p>
    <w:p w:rsidR="00C40DB1" w:rsidRPr="003F7D48" w:rsidRDefault="00C40DB1" w:rsidP="00C40DB1">
      <w:pPr>
        <w:pStyle w:val="FigureTitle"/>
        <w:rPr>
          <w:position w:val="6"/>
          <w:sz w:val="18"/>
        </w:rPr>
      </w:pPr>
      <w:r w:rsidRPr="003F7D48">
        <w:rPr>
          <w:b w:val="0"/>
        </w:rPr>
        <w:lastRenderedPageBreak/>
        <w:t>Figure 4.</w:t>
      </w:r>
      <w:r w:rsidRPr="003F7D48">
        <w:rPr>
          <w:b w:val="0"/>
          <w:noProof/>
        </w:rPr>
        <w:t>16</w:t>
      </w:r>
      <w:r w:rsidRPr="003F7D48">
        <w:tab/>
        <w:t>Proportion of year 5 students achieving at or above the numeracy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0DB1" w:rsidRPr="003F7D48" w:rsidTr="00C40DB1">
        <w:tc>
          <w:tcPr>
            <w:tcW w:w="8777" w:type="dxa"/>
          </w:tcPr>
          <w:p w:rsidR="00C40DB1" w:rsidRPr="003F7D48" w:rsidRDefault="00C40DB1" w:rsidP="00C40DB1">
            <w:pPr>
              <w:keepNext/>
              <w:spacing w:before="120" w:after="120" w:line="240" w:lineRule="atLeast"/>
              <w:jc w:val="center"/>
              <w:rPr>
                <w:szCs w:val="20"/>
              </w:rPr>
            </w:pPr>
            <w:r w:rsidRPr="003F7D48">
              <w:rPr>
                <w:noProof/>
                <w:szCs w:val="20"/>
              </w:rPr>
              <w:drawing>
                <wp:inline distT="0" distB="0" distL="0" distR="0" wp14:anchorId="75E26103" wp14:editId="08B0B41E">
                  <wp:extent cx="5391150" cy="2695575"/>
                  <wp:effectExtent l="0" t="0" r="0" b="9525"/>
                  <wp:docPr id="37" name="Picture 37" descr="Figure 4.16 Proportion of year 5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0DB1" w:rsidRPr="003F7D48" w:rsidRDefault="00C40DB1" w:rsidP="00C40DB1">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4A.71.</w:t>
      </w:r>
    </w:p>
    <w:p w:rsidR="00C40DB1" w:rsidRPr="003F7D48" w:rsidRDefault="00C40DB1" w:rsidP="00C40DB1">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4A.71; 2014 Report, figure 4.34, p. 4.64.</w:t>
      </w:r>
    </w:p>
    <w:p w:rsidR="00C40DB1" w:rsidRPr="003F7D48" w:rsidRDefault="00C40DB1" w:rsidP="00C40DB1">
      <w:pPr>
        <w:spacing w:before="240" w:line="320" w:lineRule="atLeast"/>
        <w:jc w:val="both"/>
        <w:rPr>
          <w:szCs w:val="20"/>
        </w:rPr>
      </w:pPr>
      <w:r w:rsidRPr="003F7D48">
        <w:rPr>
          <w:szCs w:val="20"/>
        </w:rPr>
        <w:t>Nationally in 2012, the mean scale score for year 5 numeracy for all students was 487.7–489.7. The mean scale score for Indigenous students (410.3–417.7) was significantly lower than for non-Indigenous students (491.6–493.6) (figure 4.17). Mean scale scores varied across jurisdictions.</w:t>
      </w:r>
    </w:p>
    <w:p w:rsidR="00C40DB1" w:rsidRPr="003F7D48" w:rsidRDefault="00C40DB1" w:rsidP="00C40DB1">
      <w:pPr>
        <w:pStyle w:val="FigureTitle"/>
      </w:pPr>
      <w:r w:rsidRPr="003F7D48">
        <w:rPr>
          <w:b w:val="0"/>
        </w:rPr>
        <w:lastRenderedPageBreak/>
        <w:t>Figure 4.</w:t>
      </w:r>
      <w:r w:rsidRPr="003F7D48">
        <w:rPr>
          <w:b w:val="0"/>
          <w:noProof/>
        </w:rPr>
        <w:t>17</w:t>
      </w:r>
      <w:r w:rsidRPr="003F7D48">
        <w:tab/>
        <w:t>Mean scale scores for year 5 students, numeracy, 2012</w:t>
      </w:r>
      <w:r w:rsidRPr="003F7D48">
        <w:rPr>
          <w:position w:val="6"/>
          <w:sz w:val="18"/>
        </w:rPr>
        <w:t>a, b</w:t>
      </w:r>
      <w:r w:rsidRPr="003F7D4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0DB1" w:rsidRPr="003F7D48" w:rsidTr="00C40DB1">
        <w:tc>
          <w:tcPr>
            <w:tcW w:w="8777" w:type="dxa"/>
          </w:tcPr>
          <w:p w:rsidR="00C40DB1" w:rsidRPr="003F7D48" w:rsidRDefault="00C40DB1" w:rsidP="00C40DB1">
            <w:pPr>
              <w:keepNext/>
              <w:spacing w:before="120" w:after="120" w:line="240" w:lineRule="atLeast"/>
              <w:jc w:val="center"/>
              <w:rPr>
                <w:szCs w:val="20"/>
              </w:rPr>
            </w:pPr>
            <w:r w:rsidRPr="003F7D48">
              <w:rPr>
                <w:noProof/>
                <w:szCs w:val="20"/>
              </w:rPr>
              <w:drawing>
                <wp:inline distT="0" distB="0" distL="0" distR="0" wp14:anchorId="7DFA9852" wp14:editId="11B26F30">
                  <wp:extent cx="5391150" cy="2695575"/>
                  <wp:effectExtent l="0" t="0" r="0" b="9525"/>
                  <wp:docPr id="38" name="Picture 38" descr="Figure 4.17 Mean scale scores for year 5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0DB1" w:rsidRPr="003F7D48" w:rsidRDefault="00C40DB1" w:rsidP="00C40DB1">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4A.74.</w:t>
      </w:r>
    </w:p>
    <w:p w:rsidR="00C40DB1" w:rsidRPr="003F7D48" w:rsidRDefault="00C40DB1" w:rsidP="00C40DB1">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4A.74; 2014 Report, figure 4.35, p. 4.65.</w:t>
      </w:r>
    </w:p>
    <w:p w:rsidR="00C40DB1" w:rsidRPr="003F7D48" w:rsidRDefault="00C40DB1" w:rsidP="00C40DB1">
      <w:pPr>
        <w:spacing w:before="240" w:line="320" w:lineRule="atLeast"/>
        <w:jc w:val="both"/>
        <w:rPr>
          <w:szCs w:val="20"/>
        </w:rPr>
      </w:pPr>
      <w:r w:rsidRPr="003F7D48">
        <w:rPr>
          <w:szCs w:val="20"/>
        </w:rPr>
        <w:t>The proportion of year 7 students who achieved at or above the numeracy national minimum standard in 2012 was 93.5–94.1 per cent nationally. The proportion of Indigenous students (72.9–75.9 per cent) was significantly lower than for non</w:t>
      </w:r>
      <w:r w:rsidRPr="003F7D48">
        <w:rPr>
          <w:szCs w:val="20"/>
        </w:rPr>
        <w:noBreakHyphen/>
        <w:t>Indigenous students (94.7–95.1 per cent) (figure 4.18). These proportio</w:t>
      </w:r>
      <w:r w:rsidR="003455CD" w:rsidRPr="003F7D48">
        <w:rPr>
          <w:szCs w:val="20"/>
        </w:rPr>
        <w:t>ns varied across jurisdictions.</w:t>
      </w:r>
    </w:p>
    <w:p w:rsidR="00C40DB1" w:rsidRPr="003F7D48" w:rsidRDefault="00C40DB1" w:rsidP="00C40DB1">
      <w:pPr>
        <w:pStyle w:val="FigureTitle"/>
        <w:rPr>
          <w:position w:val="6"/>
          <w:sz w:val="18"/>
        </w:rPr>
      </w:pPr>
      <w:r w:rsidRPr="003F7D48">
        <w:rPr>
          <w:b w:val="0"/>
        </w:rPr>
        <w:lastRenderedPageBreak/>
        <w:t>Figure 4.</w:t>
      </w:r>
      <w:r w:rsidRPr="003F7D48">
        <w:rPr>
          <w:b w:val="0"/>
          <w:noProof/>
        </w:rPr>
        <w:t>18</w:t>
      </w:r>
      <w:r w:rsidRPr="003F7D48">
        <w:tab/>
        <w:t>Proportion of year 7 students achieving at or above the numeracy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0DB1" w:rsidRPr="003F7D48" w:rsidTr="00C40DB1">
        <w:tc>
          <w:tcPr>
            <w:tcW w:w="8777" w:type="dxa"/>
          </w:tcPr>
          <w:p w:rsidR="00C40DB1" w:rsidRPr="003F7D48" w:rsidRDefault="00C40DB1" w:rsidP="00C40DB1">
            <w:pPr>
              <w:keepNext/>
              <w:spacing w:before="120" w:after="120" w:line="240" w:lineRule="atLeast"/>
              <w:jc w:val="center"/>
              <w:rPr>
                <w:szCs w:val="20"/>
              </w:rPr>
            </w:pPr>
            <w:r w:rsidRPr="003F7D48">
              <w:rPr>
                <w:noProof/>
                <w:szCs w:val="20"/>
              </w:rPr>
              <w:drawing>
                <wp:inline distT="0" distB="0" distL="0" distR="0" wp14:anchorId="05603F69" wp14:editId="586D50BF">
                  <wp:extent cx="5391150" cy="2695575"/>
                  <wp:effectExtent l="0" t="0" r="0" b="9525"/>
                  <wp:docPr id="39" name="Picture 39" descr="Figure 4.18 Proportion of year 7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0DB1" w:rsidRPr="003F7D48" w:rsidRDefault="00C40DB1" w:rsidP="00C40DB1">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4A.71.</w:t>
      </w:r>
    </w:p>
    <w:p w:rsidR="00C40DB1" w:rsidRPr="003F7D48" w:rsidRDefault="00C40DB1" w:rsidP="00C40DB1">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4A.71; 2014 Report, figure 4.36, p. 4.66.</w:t>
      </w:r>
    </w:p>
    <w:p w:rsidR="00C40DB1" w:rsidRPr="003F7D48" w:rsidRDefault="00C40DB1" w:rsidP="00C40DB1">
      <w:pPr>
        <w:spacing w:before="240" w:line="320" w:lineRule="atLeast"/>
        <w:jc w:val="both"/>
        <w:rPr>
          <w:szCs w:val="20"/>
        </w:rPr>
      </w:pPr>
      <w:r w:rsidRPr="003F7D48">
        <w:rPr>
          <w:szCs w:val="20"/>
        </w:rPr>
        <w:t>Nationally in 2012, the mean scale score for year 7 numeracy for all students was 536.5–539.7. The mean scale score Indigenous students (466.8–472.0) was significantly lower than for non-Indigenous students (540.2–543.4) (figure 4.19). Mean scale scores varied across jurisdictions.</w:t>
      </w:r>
    </w:p>
    <w:p w:rsidR="00C40DB1" w:rsidRPr="003F7D48" w:rsidRDefault="00C40DB1" w:rsidP="00C40DB1">
      <w:pPr>
        <w:pStyle w:val="FigureTitle"/>
      </w:pPr>
      <w:r w:rsidRPr="003F7D48">
        <w:rPr>
          <w:b w:val="0"/>
        </w:rPr>
        <w:lastRenderedPageBreak/>
        <w:t>Figure 4.</w:t>
      </w:r>
      <w:r w:rsidRPr="003F7D48">
        <w:rPr>
          <w:b w:val="0"/>
          <w:noProof/>
        </w:rPr>
        <w:t>19</w:t>
      </w:r>
      <w:r w:rsidRPr="003F7D48">
        <w:tab/>
        <w:t>Mean scale scores for year 7 students, numeracy,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0DB1" w:rsidRPr="003F7D48" w:rsidTr="00C40DB1">
        <w:tc>
          <w:tcPr>
            <w:tcW w:w="8777" w:type="dxa"/>
          </w:tcPr>
          <w:p w:rsidR="00C40DB1" w:rsidRPr="003F7D48" w:rsidRDefault="00C40DB1" w:rsidP="00C40DB1">
            <w:pPr>
              <w:keepNext/>
              <w:spacing w:before="120" w:after="120" w:line="240" w:lineRule="atLeast"/>
              <w:jc w:val="center"/>
              <w:rPr>
                <w:szCs w:val="20"/>
              </w:rPr>
            </w:pPr>
            <w:r w:rsidRPr="003F7D48">
              <w:rPr>
                <w:noProof/>
                <w:szCs w:val="20"/>
              </w:rPr>
              <w:drawing>
                <wp:inline distT="0" distB="0" distL="0" distR="0" wp14:anchorId="74BF92AA" wp14:editId="746A7772">
                  <wp:extent cx="5391150" cy="2695575"/>
                  <wp:effectExtent l="0" t="0" r="0" b="9525"/>
                  <wp:docPr id="40" name="Picture 40" descr="Figure 4.19 Mean scale scores for year 7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0DB1" w:rsidRPr="003F7D48" w:rsidRDefault="00C40DB1" w:rsidP="00C40DB1">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4A.74.</w:t>
      </w:r>
    </w:p>
    <w:p w:rsidR="00C40DB1" w:rsidRPr="003F7D48" w:rsidRDefault="00C40DB1" w:rsidP="00C40DB1">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4A.74; 2014 Report, figure 4.37, p. 4.67.</w:t>
      </w:r>
    </w:p>
    <w:p w:rsidR="00C40DB1" w:rsidRPr="003F7D48" w:rsidRDefault="00C40DB1" w:rsidP="00C40DB1">
      <w:pPr>
        <w:spacing w:before="240" w:line="320" w:lineRule="atLeast"/>
        <w:jc w:val="both"/>
        <w:rPr>
          <w:szCs w:val="20"/>
        </w:rPr>
      </w:pPr>
      <w:r w:rsidRPr="003F7D48">
        <w:rPr>
          <w:szCs w:val="20"/>
        </w:rPr>
        <w:t>The proportion of year 9 students who achieved at or above the numeracy national minimum standard in 2012 was 93.4–94.0 per cent nationally. The proportion of Indigenous students (72.6–75.8 per cent) was significantly lower than for non</w:t>
      </w:r>
      <w:r w:rsidRPr="003F7D48">
        <w:rPr>
          <w:szCs w:val="20"/>
        </w:rPr>
        <w:noBreakHyphen/>
        <w:t>Indigenous students (94.4–95.0 per cent) (figure 4.20). These proportions varied across jurisdictions.</w:t>
      </w:r>
    </w:p>
    <w:p w:rsidR="00C40DB1" w:rsidRPr="003F7D48" w:rsidRDefault="00C40DB1" w:rsidP="00C40DB1">
      <w:pPr>
        <w:pStyle w:val="FigureTitle"/>
        <w:rPr>
          <w:position w:val="6"/>
          <w:sz w:val="18"/>
        </w:rPr>
      </w:pPr>
      <w:r w:rsidRPr="003F7D48">
        <w:rPr>
          <w:b w:val="0"/>
        </w:rPr>
        <w:lastRenderedPageBreak/>
        <w:t>Figure 4.</w:t>
      </w:r>
      <w:r w:rsidRPr="003F7D48">
        <w:rPr>
          <w:b w:val="0"/>
          <w:noProof/>
        </w:rPr>
        <w:t>20</w:t>
      </w:r>
      <w:r w:rsidRPr="003F7D48">
        <w:tab/>
        <w:t>Proportion of year 9 students achieving at or above the numeracy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0DB1" w:rsidRPr="003F7D48" w:rsidTr="00C40DB1">
        <w:tc>
          <w:tcPr>
            <w:tcW w:w="8777" w:type="dxa"/>
          </w:tcPr>
          <w:p w:rsidR="00C40DB1" w:rsidRPr="003F7D48" w:rsidRDefault="00C40DB1" w:rsidP="00C40DB1">
            <w:pPr>
              <w:keepNext/>
              <w:spacing w:before="120" w:after="120" w:line="240" w:lineRule="atLeast"/>
              <w:jc w:val="center"/>
              <w:rPr>
                <w:szCs w:val="20"/>
              </w:rPr>
            </w:pPr>
            <w:r w:rsidRPr="003F7D48">
              <w:rPr>
                <w:noProof/>
                <w:szCs w:val="20"/>
              </w:rPr>
              <w:drawing>
                <wp:inline distT="0" distB="0" distL="0" distR="0" wp14:anchorId="33753BA3" wp14:editId="337DB35C">
                  <wp:extent cx="5391150" cy="2695575"/>
                  <wp:effectExtent l="0" t="0" r="0" b="9525"/>
                  <wp:docPr id="41" name="Picture 41" descr="Figure 4.20 Proportion of year 9 students achieving at or above the numeracy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0DB1" w:rsidRPr="003F7D48" w:rsidRDefault="00C40DB1" w:rsidP="00C40DB1">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4A.71.</w:t>
      </w:r>
    </w:p>
    <w:p w:rsidR="00C40DB1" w:rsidRPr="003F7D48" w:rsidRDefault="00C40DB1" w:rsidP="00C40DB1">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4A.71; 2014 Report, figure 4.38, p. 4.68.</w:t>
      </w:r>
    </w:p>
    <w:p w:rsidR="00C40DB1" w:rsidRPr="003F7D48" w:rsidRDefault="00C40DB1" w:rsidP="00C40DB1">
      <w:pPr>
        <w:spacing w:before="240" w:line="320" w:lineRule="atLeast"/>
        <w:jc w:val="both"/>
        <w:rPr>
          <w:szCs w:val="20"/>
        </w:rPr>
      </w:pPr>
      <w:r w:rsidRPr="003F7D48">
        <w:rPr>
          <w:szCs w:val="20"/>
        </w:rPr>
        <w:t>Nationally in 2012, the mean scale score for year 9 numeracy for all students was 582.3–586.1. The mean scale score for Indigenous students (515.8–520.6) was significantly lower than for non-Indigenous students (585.6–589.4) (figure 4.21). Mean scale scores varied across jurisdictions.</w:t>
      </w:r>
    </w:p>
    <w:p w:rsidR="00C40DB1" w:rsidRPr="003F7D48" w:rsidRDefault="00C40DB1" w:rsidP="00C40DB1">
      <w:pPr>
        <w:pStyle w:val="FigureTitle"/>
      </w:pPr>
      <w:r w:rsidRPr="003F7D48">
        <w:rPr>
          <w:b w:val="0"/>
        </w:rPr>
        <w:lastRenderedPageBreak/>
        <w:t>Figure 4.</w:t>
      </w:r>
      <w:r w:rsidRPr="003F7D48">
        <w:rPr>
          <w:b w:val="0"/>
          <w:noProof/>
        </w:rPr>
        <w:t>21</w:t>
      </w:r>
      <w:r w:rsidRPr="003F7D48">
        <w:tab/>
        <w:t>Mean scale scores for year 9 students, numeracy,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0DB1" w:rsidRPr="003F7D48" w:rsidTr="00C40DB1">
        <w:tc>
          <w:tcPr>
            <w:tcW w:w="8777" w:type="dxa"/>
          </w:tcPr>
          <w:p w:rsidR="00C40DB1" w:rsidRPr="003F7D48" w:rsidRDefault="00C40DB1" w:rsidP="00C40DB1">
            <w:pPr>
              <w:keepNext/>
              <w:spacing w:before="120" w:after="120" w:line="240" w:lineRule="atLeast"/>
              <w:jc w:val="center"/>
              <w:rPr>
                <w:szCs w:val="20"/>
              </w:rPr>
            </w:pPr>
            <w:r w:rsidRPr="003F7D48">
              <w:rPr>
                <w:noProof/>
                <w:szCs w:val="20"/>
              </w:rPr>
              <w:drawing>
                <wp:inline distT="0" distB="0" distL="0" distR="0" wp14:anchorId="78568D69" wp14:editId="2B7BEFCE">
                  <wp:extent cx="5391150" cy="2695575"/>
                  <wp:effectExtent l="0" t="0" r="0" b="9525"/>
                  <wp:docPr id="42" name="Picture 42" descr="Figure 4.21 Mean scale scores for year 9 students, numerac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C40DB1" w:rsidRPr="003F7D48" w:rsidRDefault="00C40DB1" w:rsidP="00C40DB1">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4A.74.</w:t>
      </w:r>
    </w:p>
    <w:p w:rsidR="00C40DB1" w:rsidRPr="003F7D48" w:rsidRDefault="00C40DB1" w:rsidP="00C40DB1">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4A.74; 2014 Report, figure 4.39, p. 4.69.</w:t>
      </w:r>
    </w:p>
    <w:p w:rsidR="00C40DB1" w:rsidRPr="003F7D48" w:rsidRDefault="00C40DB1" w:rsidP="00C40DB1">
      <w:pPr>
        <w:spacing w:before="240" w:line="320" w:lineRule="atLeast"/>
        <w:jc w:val="both"/>
        <w:rPr>
          <w:i/>
          <w:szCs w:val="20"/>
        </w:rPr>
      </w:pPr>
      <w:r w:rsidRPr="003F7D48">
        <w:rPr>
          <w:i/>
          <w:szCs w:val="20"/>
        </w:rPr>
        <w:t>Geolocation</w:t>
      </w:r>
    </w:p>
    <w:p w:rsidR="00C40DB1" w:rsidRPr="003F7D48" w:rsidRDefault="00C40DB1" w:rsidP="00C40DB1">
      <w:pPr>
        <w:spacing w:before="240" w:line="320" w:lineRule="atLeast"/>
        <w:jc w:val="both"/>
        <w:rPr>
          <w:szCs w:val="20"/>
        </w:rPr>
      </w:pPr>
      <w:r w:rsidRPr="003F7D48">
        <w:rPr>
          <w:szCs w:val="20"/>
        </w:rPr>
        <w:t>Across all year levels, numeracy outcomes tended to decline with remoteness. For year 3, for example, 94.9–95.3 per cent of students in metropolitan areas achieved at or above the national minimum standard, higher than the proportion for provincial students 92.2–93.0 per cent), remote students (82.0–87.2 per cent) and very remote students (50.9–62.5 per cent) (figure 4.</w:t>
      </w:r>
      <w:r w:rsidR="00860E33" w:rsidRPr="003F7D48">
        <w:rPr>
          <w:szCs w:val="20"/>
        </w:rPr>
        <w:t>22</w:t>
      </w:r>
      <w:r w:rsidRPr="003F7D48">
        <w:rPr>
          <w:szCs w:val="20"/>
        </w:rPr>
        <w:t>).</w:t>
      </w:r>
    </w:p>
    <w:p w:rsidR="00860E33" w:rsidRPr="003F7D48" w:rsidRDefault="00860E33" w:rsidP="00860E33">
      <w:pPr>
        <w:spacing w:before="240" w:line="320" w:lineRule="atLeast"/>
        <w:jc w:val="both"/>
        <w:rPr>
          <w:szCs w:val="20"/>
        </w:rPr>
      </w:pPr>
      <w:r w:rsidRPr="003F7D48">
        <w:rPr>
          <w:szCs w:val="20"/>
        </w:rPr>
        <w:t xml:space="preserve">For all geolocation categories across years 3, 5, 7 and 9, the numeracy outcomes nationally for Indigenous students were lower than those for non-Indigenous students. Nationally, outcomes for Indigenous students generally declined as remoteness increased, and </w:t>
      </w:r>
      <w:r w:rsidRPr="003F7D48">
        <w:rPr>
          <w:szCs w:val="26"/>
        </w:rPr>
        <w:t>the gap in learning outcomes between Indigenous students and non-Indigenous students was generally greater in remote and very remote areas than in metropolitan and provincial areas.</w:t>
      </w:r>
    </w:p>
    <w:p w:rsidR="00FF421E" w:rsidRPr="003F7D48" w:rsidRDefault="00FF421E" w:rsidP="00FF421E">
      <w:pPr>
        <w:spacing w:before="240" w:line="320" w:lineRule="atLeast"/>
        <w:jc w:val="both"/>
        <w:rPr>
          <w:szCs w:val="20"/>
        </w:rPr>
      </w:pPr>
      <w:r w:rsidRPr="003F7D48">
        <w:rPr>
          <w:szCs w:val="20"/>
        </w:rPr>
        <w:t>State and Territory results by Indigenous status and geolocation for years 3, 5, 7 and 9 numeracy literacy are in table 4A.72.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4A.75.</w:t>
      </w:r>
    </w:p>
    <w:p w:rsidR="00FF421E" w:rsidRPr="003F7D48" w:rsidRDefault="00FF421E" w:rsidP="00FF421E">
      <w:pPr>
        <w:pStyle w:val="FigureTitle"/>
      </w:pPr>
      <w:r w:rsidRPr="003F7D48">
        <w:rPr>
          <w:b w:val="0"/>
        </w:rPr>
        <w:lastRenderedPageBreak/>
        <w:t>Figure 4.</w:t>
      </w:r>
      <w:r w:rsidRPr="003F7D48">
        <w:rPr>
          <w:b w:val="0"/>
          <w:noProof/>
        </w:rPr>
        <w:t>22</w:t>
      </w:r>
      <w:r w:rsidRPr="003F7D48">
        <w:tab/>
        <w:t>National proportion of year 3 students achieving at or above the numeracy national minimum standard, by Indigenous status and geolocation,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F421E" w:rsidRPr="003F7D48" w:rsidTr="004B634B">
        <w:tc>
          <w:tcPr>
            <w:tcW w:w="8777" w:type="dxa"/>
          </w:tcPr>
          <w:p w:rsidR="00FF421E" w:rsidRPr="003F7D48" w:rsidRDefault="00FF421E" w:rsidP="004B634B">
            <w:pPr>
              <w:keepNext/>
              <w:spacing w:before="120" w:after="120" w:line="240" w:lineRule="atLeast"/>
              <w:jc w:val="center"/>
              <w:rPr>
                <w:szCs w:val="20"/>
              </w:rPr>
            </w:pPr>
            <w:r w:rsidRPr="003F7D48">
              <w:rPr>
                <w:noProof/>
                <w:szCs w:val="20"/>
              </w:rPr>
              <w:drawing>
                <wp:inline distT="0" distB="0" distL="0" distR="0" wp14:anchorId="4CAB72A6" wp14:editId="685A28B6">
                  <wp:extent cx="5391150" cy="2695575"/>
                  <wp:effectExtent l="0" t="0" r="0" b="9525"/>
                  <wp:docPr id="43" name="Picture 43" descr="Figure 4.22 National proportion of year 3 students achieving at or above the numeracy national minimum standard, by Indigenous status and geolocation,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FF421E" w:rsidRPr="003F7D48" w:rsidRDefault="00FF421E" w:rsidP="00FF421E">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sym w:font="Symbol" w:char="F020"/>
      </w:r>
      <w:r w:rsidRPr="003F7D48">
        <w:rPr>
          <w:rFonts w:ascii="Arial" w:hAnsi="Arial"/>
          <w:sz w:val="18"/>
          <w:szCs w:val="20"/>
        </w:rPr>
        <w:t xml:space="preserve">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Data for year 3 students are shown and may not be representative of students in years 5, 7 an</w:t>
      </w:r>
      <w:r w:rsidR="002B1211">
        <w:rPr>
          <w:rFonts w:ascii="Arial" w:hAnsi="Arial"/>
          <w:sz w:val="18"/>
          <w:szCs w:val="20"/>
        </w:rPr>
        <w:t>d 9 which are detailed in table </w:t>
      </w:r>
      <w:r w:rsidRPr="003F7D48">
        <w:rPr>
          <w:rFonts w:ascii="Arial" w:hAnsi="Arial"/>
          <w:sz w:val="18"/>
          <w:szCs w:val="20"/>
        </w:rPr>
        <w:t>4A.72.</w:t>
      </w:r>
    </w:p>
    <w:p w:rsidR="00FF421E" w:rsidRPr="003F7D48" w:rsidRDefault="00FF421E" w:rsidP="00FF421E">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4A.72; 2014 Report, figure 4.40, p. 4.70.</w:t>
      </w:r>
    </w:p>
    <w:p w:rsidR="00B20091" w:rsidRPr="003F7D48" w:rsidRDefault="00B20091" w:rsidP="00B20091">
      <w:pPr>
        <w:keepNext/>
        <w:spacing w:before="480" w:line="320" w:lineRule="exact"/>
        <w:outlineLvl w:val="4"/>
        <w:rPr>
          <w:i/>
        </w:rPr>
      </w:pPr>
      <w:r w:rsidRPr="003F7D48">
        <w:rPr>
          <w:i/>
        </w:rPr>
        <w:t xml:space="preserve">Time series analysis of NAPLAN numeracy outcomes — </w:t>
      </w:r>
      <w:r w:rsidR="00FF421E" w:rsidRPr="003F7D48">
        <w:rPr>
          <w:i/>
        </w:rPr>
        <w:t>s</w:t>
      </w:r>
      <w:r w:rsidRPr="003F7D48">
        <w:rPr>
          <w:i/>
        </w:rPr>
        <w:t>tatistical significance of differences between years</w:t>
      </w:r>
    </w:p>
    <w:p w:rsidR="00FF421E" w:rsidRPr="003F7D48" w:rsidRDefault="00FF421E" w:rsidP="00FF421E">
      <w:pPr>
        <w:spacing w:before="240" w:line="320" w:lineRule="atLeast"/>
        <w:jc w:val="both"/>
        <w:rPr>
          <w:szCs w:val="20"/>
        </w:rPr>
      </w:pPr>
      <w:r w:rsidRPr="003F7D48">
        <w:rPr>
          <w:szCs w:val="20"/>
        </w:rPr>
        <w:t>Nationally, there was no statistically significant difference in the proportions of year 5 students achieving at or above the national minimum standard, for numeracy, from 2008 to 2012 but a statistically significant decrease from 2011 to 2012. There was a statistically significant increase in the mean scale score for year 5 students from 2008 to 2012 but no statistically significant difference from 2011 to 2012 (table 4.4).</w:t>
      </w:r>
    </w:p>
    <w:p w:rsidR="00FF421E" w:rsidRPr="003F7D48" w:rsidRDefault="00FF421E" w:rsidP="00FF421E">
      <w:pPr>
        <w:spacing w:before="240" w:line="320" w:lineRule="atLeast"/>
        <w:jc w:val="both"/>
        <w:rPr>
          <w:szCs w:val="20"/>
        </w:rPr>
      </w:pPr>
      <w:r w:rsidRPr="003F7D48">
        <w:rPr>
          <w:szCs w:val="20"/>
        </w:rPr>
        <w:t>There was no statistically significant difference in the proportions at and above national minimum standard, or in mean scale scores, for Indigenous students from 2008 to 2012, but there was a statistically significant decrease in both from 2011 to 2012. There was a statistically significant increase in the mean scale score for non</w:t>
      </w:r>
      <w:r w:rsidRPr="003F7D48">
        <w:rPr>
          <w:szCs w:val="20"/>
        </w:rPr>
        <w:noBreakHyphen/>
        <w:t>Indigenous students from 2008 to 2012, but no statistically significant difference from 2011 to 2012. There was no statistically significant difference in the proportions of year 5 non-Indigenous students achieving at or above the national minimum standard, from 2008 to 2012, but a statistically significant decrease from 2011 to 2012 (table 4.4).</w:t>
      </w:r>
    </w:p>
    <w:p w:rsidR="00FF421E" w:rsidRPr="003F7D48" w:rsidRDefault="00FF421E" w:rsidP="00FF421E">
      <w:pPr>
        <w:spacing w:before="240" w:line="320" w:lineRule="atLeast"/>
        <w:jc w:val="both"/>
        <w:rPr>
          <w:szCs w:val="20"/>
        </w:rPr>
      </w:pPr>
      <w:r w:rsidRPr="003F7D48">
        <w:rPr>
          <w:szCs w:val="20"/>
        </w:rPr>
        <w:lastRenderedPageBreak/>
        <w:t>Table 4.4 provides a summary of differences in achievement at year 5 for mean scale score and proportions at and above national minimum standard, by Indigenous status, on a national basis across various years. Data for states and territories are in tables 4A.79–86. These data are not comparable across jurisdictions and can only be used for a comparison across time for a jurisdiction, or nationally.</w:t>
      </w:r>
    </w:p>
    <w:p w:rsidR="00FF421E" w:rsidRPr="003F7D48" w:rsidRDefault="00FF421E" w:rsidP="00FF421E">
      <w:pPr>
        <w:pStyle w:val="TableTitle"/>
      </w:pPr>
      <w:r w:rsidRPr="003F7D48">
        <w:rPr>
          <w:b w:val="0"/>
        </w:rPr>
        <w:t>Table 4.4</w:t>
      </w:r>
      <w:r w:rsidRPr="003F7D48">
        <w:tab/>
        <w:t>Mean scale scores and proportion of students who achieved at or above the national minimum standard for year 5 numeracy, and statistical significance of differences, Australia</w:t>
      </w:r>
      <w:r w:rsidRPr="003F7D48">
        <w:rPr>
          <w:rStyle w:val="NoteLabel"/>
          <w:b/>
        </w:rPr>
        <w:t>a, b</w:t>
      </w:r>
    </w:p>
    <w:tbl>
      <w:tblPr>
        <w:tblW w:w="5000" w:type="pct"/>
        <w:tblCellMar>
          <w:left w:w="0" w:type="dxa"/>
          <w:right w:w="0" w:type="dxa"/>
        </w:tblCellMar>
        <w:tblLook w:val="0000" w:firstRow="0" w:lastRow="0" w:firstColumn="0" w:lastColumn="0" w:noHBand="0" w:noVBand="0"/>
      </w:tblPr>
      <w:tblGrid>
        <w:gridCol w:w="2268"/>
        <w:gridCol w:w="1134"/>
        <w:gridCol w:w="1134"/>
        <w:gridCol w:w="1134"/>
        <w:gridCol w:w="1658"/>
        <w:gridCol w:w="1461"/>
      </w:tblGrid>
      <w:tr w:rsidR="00FF421E" w:rsidRPr="003F7D48" w:rsidTr="004B634B">
        <w:tc>
          <w:tcPr>
            <w:tcW w:w="1290" w:type="pct"/>
            <w:tcBorders>
              <w:top w:val="single" w:sz="6" w:space="0" w:color="auto"/>
              <w:bottom w:val="single" w:sz="6" w:space="0" w:color="auto"/>
            </w:tcBorders>
            <w:shd w:val="clear" w:color="auto" w:fill="auto"/>
          </w:tcPr>
          <w:p w:rsidR="00FF421E" w:rsidRPr="003F7D48" w:rsidRDefault="00FF421E" w:rsidP="004B634B">
            <w:pPr>
              <w:pStyle w:val="TableColumnHeading"/>
              <w:jc w:val="left"/>
            </w:pPr>
          </w:p>
        </w:tc>
        <w:tc>
          <w:tcPr>
            <w:tcW w:w="645" w:type="pct"/>
            <w:tcBorders>
              <w:top w:val="single" w:sz="6" w:space="0" w:color="auto"/>
              <w:bottom w:val="single" w:sz="6" w:space="0" w:color="auto"/>
            </w:tcBorders>
            <w:shd w:val="clear" w:color="auto" w:fill="auto"/>
          </w:tcPr>
          <w:p w:rsidR="00FF421E" w:rsidRPr="003F7D48" w:rsidRDefault="00FF421E" w:rsidP="004B634B">
            <w:pPr>
              <w:pStyle w:val="TableColumnHeading"/>
            </w:pPr>
          </w:p>
        </w:tc>
        <w:tc>
          <w:tcPr>
            <w:tcW w:w="645" w:type="pct"/>
            <w:tcBorders>
              <w:top w:val="single" w:sz="6" w:space="0" w:color="auto"/>
              <w:bottom w:val="single" w:sz="6" w:space="0" w:color="auto"/>
            </w:tcBorders>
          </w:tcPr>
          <w:p w:rsidR="00FF421E" w:rsidRPr="003F7D48" w:rsidRDefault="00FF421E" w:rsidP="004B634B">
            <w:pPr>
              <w:pStyle w:val="TableColumnHeading"/>
              <w:ind w:right="28"/>
            </w:pPr>
          </w:p>
        </w:tc>
        <w:tc>
          <w:tcPr>
            <w:tcW w:w="645" w:type="pct"/>
            <w:tcBorders>
              <w:top w:val="single" w:sz="6" w:space="0" w:color="auto"/>
              <w:bottom w:val="single" w:sz="6" w:space="0" w:color="auto"/>
            </w:tcBorders>
          </w:tcPr>
          <w:p w:rsidR="00FF421E" w:rsidRPr="003F7D48" w:rsidRDefault="00FF421E" w:rsidP="004B634B">
            <w:pPr>
              <w:pStyle w:val="TableColumnHeading"/>
              <w:ind w:right="28"/>
            </w:pPr>
          </w:p>
        </w:tc>
        <w:tc>
          <w:tcPr>
            <w:tcW w:w="1774" w:type="pct"/>
            <w:gridSpan w:val="2"/>
            <w:tcBorders>
              <w:top w:val="single" w:sz="6" w:space="0" w:color="auto"/>
              <w:bottom w:val="single" w:sz="6" w:space="0" w:color="auto"/>
            </w:tcBorders>
          </w:tcPr>
          <w:p w:rsidR="00FF421E" w:rsidRPr="003F7D48" w:rsidRDefault="00FF421E" w:rsidP="004B634B">
            <w:pPr>
              <w:pStyle w:val="TableColumnHeading"/>
              <w:ind w:right="28"/>
            </w:pPr>
            <w:r w:rsidRPr="003F7D48">
              <w:t>Statistical significance of difference in average achievement</w:t>
            </w:r>
          </w:p>
        </w:tc>
      </w:tr>
      <w:tr w:rsidR="00FF421E" w:rsidRPr="003F7D48" w:rsidTr="004B634B">
        <w:tc>
          <w:tcPr>
            <w:tcW w:w="1290" w:type="pct"/>
            <w:tcBorders>
              <w:top w:val="single" w:sz="6" w:space="0" w:color="auto"/>
            </w:tcBorders>
          </w:tcPr>
          <w:p w:rsidR="00FF421E" w:rsidRPr="003F7D48" w:rsidRDefault="00FF421E" w:rsidP="004B634B">
            <w:pPr>
              <w:pStyle w:val="TableUnitsRow"/>
              <w:jc w:val="left"/>
            </w:pPr>
          </w:p>
        </w:tc>
        <w:tc>
          <w:tcPr>
            <w:tcW w:w="645" w:type="pct"/>
            <w:tcBorders>
              <w:top w:val="single" w:sz="6" w:space="0" w:color="auto"/>
            </w:tcBorders>
            <w:vAlign w:val="center"/>
          </w:tcPr>
          <w:p w:rsidR="00FF421E" w:rsidRPr="003F7D48" w:rsidRDefault="00FF421E" w:rsidP="004B634B">
            <w:pPr>
              <w:keepNext/>
              <w:keepLines/>
              <w:spacing w:before="80" w:after="80" w:line="220" w:lineRule="atLeast"/>
              <w:ind w:left="6" w:right="113"/>
              <w:jc w:val="center"/>
              <w:rPr>
                <w:rFonts w:ascii="Arial" w:hAnsi="Arial"/>
                <w:i/>
                <w:iCs/>
                <w:sz w:val="20"/>
                <w:szCs w:val="20"/>
              </w:rPr>
            </w:pPr>
            <w:r w:rsidRPr="003F7D48">
              <w:rPr>
                <w:rFonts w:ascii="Arial" w:hAnsi="Arial"/>
                <w:i/>
                <w:iCs/>
                <w:sz w:val="20"/>
                <w:szCs w:val="20"/>
              </w:rPr>
              <w:t>2008</w:t>
            </w:r>
          </w:p>
        </w:tc>
        <w:tc>
          <w:tcPr>
            <w:tcW w:w="645" w:type="pct"/>
            <w:tcBorders>
              <w:top w:val="single" w:sz="6" w:space="0" w:color="auto"/>
            </w:tcBorders>
            <w:vAlign w:val="center"/>
          </w:tcPr>
          <w:p w:rsidR="00FF421E" w:rsidRPr="003F7D48" w:rsidRDefault="00FF421E" w:rsidP="004B634B">
            <w:pPr>
              <w:jc w:val="center"/>
              <w:rPr>
                <w:rFonts w:ascii="Arial" w:hAnsi="Arial" w:cs="Arial"/>
                <w:i/>
                <w:iCs/>
                <w:sz w:val="20"/>
                <w:szCs w:val="20"/>
              </w:rPr>
            </w:pPr>
            <w:r w:rsidRPr="003F7D48">
              <w:rPr>
                <w:rFonts w:ascii="Arial" w:hAnsi="Arial" w:cs="Arial"/>
                <w:i/>
                <w:iCs/>
                <w:sz w:val="20"/>
                <w:szCs w:val="20"/>
              </w:rPr>
              <w:t>2011</w:t>
            </w:r>
          </w:p>
        </w:tc>
        <w:tc>
          <w:tcPr>
            <w:tcW w:w="645" w:type="pct"/>
            <w:tcBorders>
              <w:top w:val="single" w:sz="6" w:space="0" w:color="auto"/>
            </w:tcBorders>
            <w:vAlign w:val="center"/>
          </w:tcPr>
          <w:p w:rsidR="00FF421E" w:rsidRPr="003F7D48" w:rsidRDefault="00FF421E" w:rsidP="004B634B">
            <w:pPr>
              <w:jc w:val="center"/>
              <w:rPr>
                <w:rFonts w:ascii="Arial" w:hAnsi="Arial" w:cs="Arial"/>
                <w:i/>
                <w:iCs/>
                <w:sz w:val="20"/>
                <w:szCs w:val="20"/>
              </w:rPr>
            </w:pPr>
            <w:r w:rsidRPr="003F7D48">
              <w:rPr>
                <w:rFonts w:ascii="Arial" w:hAnsi="Arial" w:cs="Arial"/>
                <w:i/>
                <w:iCs/>
                <w:sz w:val="20"/>
                <w:szCs w:val="20"/>
              </w:rPr>
              <w:t>2012</w:t>
            </w:r>
          </w:p>
        </w:tc>
        <w:tc>
          <w:tcPr>
            <w:tcW w:w="943" w:type="pct"/>
            <w:tcBorders>
              <w:top w:val="single" w:sz="6" w:space="0" w:color="auto"/>
            </w:tcBorders>
          </w:tcPr>
          <w:p w:rsidR="00FF421E" w:rsidRPr="003F7D48" w:rsidRDefault="00FF421E" w:rsidP="004B634B">
            <w:pPr>
              <w:keepNext/>
              <w:keepLines/>
              <w:spacing w:before="80" w:after="80" w:line="220" w:lineRule="atLeast"/>
              <w:ind w:left="6" w:right="113"/>
              <w:jc w:val="right"/>
              <w:rPr>
                <w:rFonts w:ascii="Arial" w:hAnsi="Arial"/>
                <w:i/>
                <w:iCs/>
                <w:sz w:val="20"/>
                <w:szCs w:val="20"/>
              </w:rPr>
            </w:pPr>
            <w:r w:rsidRPr="003F7D48">
              <w:rPr>
                <w:rFonts w:ascii="Arial" w:hAnsi="Arial"/>
                <w:i/>
                <w:iCs/>
                <w:sz w:val="20"/>
                <w:szCs w:val="20"/>
              </w:rPr>
              <w:t>2008 &amp; 2012</w:t>
            </w:r>
          </w:p>
        </w:tc>
        <w:tc>
          <w:tcPr>
            <w:tcW w:w="831" w:type="pct"/>
            <w:tcBorders>
              <w:top w:val="single" w:sz="6" w:space="0" w:color="auto"/>
            </w:tcBorders>
            <w:vAlign w:val="center"/>
          </w:tcPr>
          <w:p w:rsidR="00FF421E" w:rsidRPr="003F7D48" w:rsidRDefault="00FF421E" w:rsidP="004B634B">
            <w:pPr>
              <w:jc w:val="right"/>
              <w:rPr>
                <w:rFonts w:ascii="Arial" w:hAnsi="Arial" w:cs="Arial"/>
                <w:i/>
                <w:iCs/>
                <w:sz w:val="20"/>
                <w:szCs w:val="20"/>
              </w:rPr>
            </w:pPr>
            <w:r w:rsidRPr="003F7D48">
              <w:rPr>
                <w:rFonts w:ascii="Arial" w:hAnsi="Arial" w:cs="Arial"/>
                <w:i/>
                <w:iCs/>
                <w:sz w:val="20"/>
                <w:szCs w:val="20"/>
              </w:rPr>
              <w:t>2011 &amp; 2012</w:t>
            </w:r>
          </w:p>
        </w:tc>
      </w:tr>
      <w:tr w:rsidR="00FF421E" w:rsidRPr="003F7D48" w:rsidTr="004B634B">
        <w:tc>
          <w:tcPr>
            <w:tcW w:w="1935" w:type="pct"/>
            <w:gridSpan w:val="2"/>
          </w:tcPr>
          <w:p w:rsidR="00FF421E" w:rsidRPr="003F7D48" w:rsidRDefault="00FF421E" w:rsidP="004B634B">
            <w:pPr>
              <w:pStyle w:val="TableBodyText"/>
              <w:jc w:val="left"/>
            </w:pPr>
            <w:r w:rsidRPr="003F7D48">
              <w:t>Indigenous students</w:t>
            </w:r>
          </w:p>
        </w:tc>
        <w:tc>
          <w:tcPr>
            <w:tcW w:w="645" w:type="pct"/>
          </w:tcPr>
          <w:p w:rsidR="00FF421E" w:rsidRPr="003F7D48" w:rsidRDefault="00FF421E" w:rsidP="004B634B">
            <w:pPr>
              <w:pStyle w:val="TableBodyText"/>
              <w:ind w:right="28"/>
            </w:pPr>
          </w:p>
        </w:tc>
        <w:tc>
          <w:tcPr>
            <w:tcW w:w="645" w:type="pct"/>
          </w:tcPr>
          <w:p w:rsidR="00FF421E" w:rsidRPr="003F7D48" w:rsidRDefault="00FF421E" w:rsidP="004B634B">
            <w:pPr>
              <w:pStyle w:val="TableBodyText"/>
              <w:ind w:right="28"/>
            </w:pPr>
          </w:p>
        </w:tc>
        <w:tc>
          <w:tcPr>
            <w:tcW w:w="943" w:type="pct"/>
          </w:tcPr>
          <w:p w:rsidR="00FF421E" w:rsidRPr="003F7D48" w:rsidRDefault="00FF421E" w:rsidP="004B634B">
            <w:pPr>
              <w:pStyle w:val="TableBodyText"/>
              <w:ind w:right="28"/>
            </w:pPr>
          </w:p>
        </w:tc>
        <w:tc>
          <w:tcPr>
            <w:tcW w:w="831" w:type="pct"/>
          </w:tcPr>
          <w:p w:rsidR="00FF421E" w:rsidRPr="003F7D48" w:rsidRDefault="00FF421E" w:rsidP="004B634B">
            <w:pPr>
              <w:pStyle w:val="TableBodyText"/>
              <w:ind w:right="28"/>
            </w:pPr>
          </w:p>
        </w:tc>
      </w:tr>
      <w:tr w:rsidR="00FF421E" w:rsidRPr="003F7D48" w:rsidTr="004B634B">
        <w:tc>
          <w:tcPr>
            <w:tcW w:w="1290" w:type="pct"/>
            <w:vAlign w:val="center"/>
          </w:tcPr>
          <w:p w:rsidR="00FF421E" w:rsidRPr="003F7D48" w:rsidRDefault="00FF421E" w:rsidP="004B634B">
            <w:pPr>
              <w:keepNext/>
              <w:keepLines/>
              <w:spacing w:after="40" w:line="220" w:lineRule="atLeast"/>
              <w:ind w:left="6" w:right="113"/>
              <w:jc w:val="center"/>
              <w:rPr>
                <w:rFonts w:ascii="Arial" w:hAnsi="Arial"/>
                <w:sz w:val="20"/>
                <w:szCs w:val="20"/>
              </w:rPr>
            </w:pPr>
            <w:r w:rsidRPr="003F7D48">
              <w:rPr>
                <w:rFonts w:ascii="Arial" w:hAnsi="Arial"/>
                <w:sz w:val="20"/>
                <w:szCs w:val="20"/>
              </w:rPr>
              <w:t>Mean scale score</w:t>
            </w:r>
          </w:p>
        </w:tc>
        <w:tc>
          <w:tcPr>
            <w:tcW w:w="645" w:type="pct"/>
            <w:vAlign w:val="center"/>
          </w:tcPr>
          <w:p w:rsidR="00FF421E" w:rsidRPr="003F7D48" w:rsidRDefault="00FF421E" w:rsidP="004B634B">
            <w:pPr>
              <w:pStyle w:val="TableBodyText"/>
            </w:pPr>
            <w:r w:rsidRPr="003F7D48">
              <w:t>408.0 ± 2.8</w:t>
            </w:r>
          </w:p>
        </w:tc>
        <w:tc>
          <w:tcPr>
            <w:tcW w:w="645" w:type="pct"/>
            <w:vAlign w:val="center"/>
          </w:tcPr>
          <w:p w:rsidR="00FF421E" w:rsidRPr="003F7D48" w:rsidRDefault="00FF421E" w:rsidP="004B634B">
            <w:pPr>
              <w:pStyle w:val="TableBodyText"/>
            </w:pPr>
            <w:r w:rsidRPr="003F7D48">
              <w:t>421.1 ± 2.7</w:t>
            </w:r>
          </w:p>
        </w:tc>
        <w:tc>
          <w:tcPr>
            <w:tcW w:w="645" w:type="pct"/>
            <w:vAlign w:val="center"/>
          </w:tcPr>
          <w:p w:rsidR="00FF421E" w:rsidRPr="003F7D48" w:rsidRDefault="00FF421E" w:rsidP="004B634B">
            <w:pPr>
              <w:pStyle w:val="TableBodyText"/>
            </w:pPr>
            <w:r w:rsidRPr="003F7D48">
              <w:t>414.0 ± 3.7</w:t>
            </w:r>
          </w:p>
        </w:tc>
        <w:tc>
          <w:tcPr>
            <w:tcW w:w="943" w:type="pct"/>
            <w:vAlign w:val="bottom"/>
          </w:tcPr>
          <w:p w:rsidR="00FF421E" w:rsidRPr="003F7D48" w:rsidRDefault="00FF421E" w:rsidP="004B634B">
            <w:pPr>
              <w:pStyle w:val="TableBodyText"/>
            </w:pPr>
            <w:r w:rsidRPr="003F7D48">
              <w:t>●</w:t>
            </w:r>
          </w:p>
        </w:tc>
        <w:tc>
          <w:tcPr>
            <w:tcW w:w="831" w:type="pct"/>
            <w:vAlign w:val="bottom"/>
          </w:tcPr>
          <w:p w:rsidR="00FF421E" w:rsidRPr="003F7D48" w:rsidRDefault="00FF421E" w:rsidP="004B634B">
            <w:pPr>
              <w:pStyle w:val="TableBodyText"/>
            </w:pPr>
            <w:r w:rsidRPr="003F7D48">
              <w:t xml:space="preserve"> ↓</w:t>
            </w:r>
          </w:p>
        </w:tc>
      </w:tr>
      <w:tr w:rsidR="00FF421E" w:rsidRPr="003F7D48" w:rsidTr="004B634B">
        <w:tc>
          <w:tcPr>
            <w:tcW w:w="1290" w:type="pct"/>
            <w:vAlign w:val="center"/>
          </w:tcPr>
          <w:p w:rsidR="00FF421E" w:rsidRPr="003F7D48" w:rsidRDefault="00FF421E" w:rsidP="004B634B">
            <w:pPr>
              <w:keepNext/>
              <w:keepLines/>
              <w:spacing w:after="40" w:line="220" w:lineRule="atLeast"/>
              <w:ind w:left="6" w:right="113"/>
              <w:jc w:val="center"/>
              <w:rPr>
                <w:rFonts w:ascii="Arial" w:hAnsi="Arial"/>
                <w:sz w:val="20"/>
                <w:szCs w:val="20"/>
              </w:rPr>
            </w:pPr>
            <w:r w:rsidRPr="003F7D48">
              <w:rPr>
                <w:rFonts w:ascii="Arial" w:hAnsi="Arial"/>
                <w:sz w:val="20"/>
                <w:szCs w:val="20"/>
              </w:rPr>
              <w:t>At or above NMS</w:t>
            </w:r>
          </w:p>
        </w:tc>
        <w:tc>
          <w:tcPr>
            <w:tcW w:w="645" w:type="pct"/>
            <w:vAlign w:val="center"/>
          </w:tcPr>
          <w:p w:rsidR="00FF421E" w:rsidRPr="003F7D48" w:rsidRDefault="00FF421E" w:rsidP="004B634B">
            <w:pPr>
              <w:pStyle w:val="TableBodyText"/>
            </w:pPr>
            <w:r w:rsidRPr="003F7D48">
              <w:t>69.2 ± 1.7</w:t>
            </w:r>
          </w:p>
        </w:tc>
        <w:tc>
          <w:tcPr>
            <w:tcW w:w="645" w:type="pct"/>
            <w:vAlign w:val="center"/>
          </w:tcPr>
          <w:p w:rsidR="00FF421E" w:rsidRPr="003F7D48" w:rsidRDefault="00FF421E" w:rsidP="004B634B">
            <w:pPr>
              <w:pStyle w:val="TableBodyText"/>
            </w:pPr>
            <w:r w:rsidRPr="003F7D48">
              <w:t>75.2 ± 1.5</w:t>
            </w:r>
          </w:p>
        </w:tc>
        <w:tc>
          <w:tcPr>
            <w:tcW w:w="645" w:type="pct"/>
            <w:vAlign w:val="center"/>
          </w:tcPr>
          <w:p w:rsidR="00FF421E" w:rsidRPr="003F7D48" w:rsidRDefault="00FF421E" w:rsidP="004B634B">
            <w:pPr>
              <w:pStyle w:val="TableBodyText"/>
            </w:pPr>
            <w:r w:rsidRPr="003F7D48">
              <w:t>69.2 ± 1.9</w:t>
            </w:r>
          </w:p>
        </w:tc>
        <w:tc>
          <w:tcPr>
            <w:tcW w:w="943" w:type="pct"/>
            <w:vAlign w:val="bottom"/>
          </w:tcPr>
          <w:p w:rsidR="00FF421E" w:rsidRPr="003F7D48" w:rsidRDefault="00FF421E" w:rsidP="004B634B">
            <w:pPr>
              <w:pStyle w:val="TableBodyText"/>
            </w:pPr>
            <w:r w:rsidRPr="003F7D48">
              <w:t>●</w:t>
            </w:r>
          </w:p>
        </w:tc>
        <w:tc>
          <w:tcPr>
            <w:tcW w:w="831" w:type="pct"/>
            <w:vAlign w:val="bottom"/>
          </w:tcPr>
          <w:p w:rsidR="00FF421E" w:rsidRPr="003F7D48" w:rsidRDefault="00FF421E" w:rsidP="004B634B">
            <w:pPr>
              <w:pStyle w:val="TableBodyText"/>
            </w:pPr>
            <w:r w:rsidRPr="003F7D48">
              <w:t xml:space="preserve"> ↓</w:t>
            </w:r>
          </w:p>
        </w:tc>
      </w:tr>
      <w:tr w:rsidR="00FF421E" w:rsidRPr="003F7D48" w:rsidTr="004B634B">
        <w:tc>
          <w:tcPr>
            <w:tcW w:w="1935" w:type="pct"/>
            <w:gridSpan w:val="2"/>
          </w:tcPr>
          <w:p w:rsidR="00FF421E" w:rsidRPr="003F7D48" w:rsidRDefault="00FF421E" w:rsidP="004B634B">
            <w:pPr>
              <w:pStyle w:val="TableBodyText"/>
              <w:jc w:val="left"/>
            </w:pPr>
            <w:r w:rsidRPr="003F7D48">
              <w:t>Non-Indigenous students</w:t>
            </w:r>
          </w:p>
        </w:tc>
        <w:tc>
          <w:tcPr>
            <w:tcW w:w="645" w:type="pct"/>
          </w:tcPr>
          <w:p w:rsidR="00FF421E" w:rsidRPr="003F7D48" w:rsidRDefault="00FF421E" w:rsidP="004B634B">
            <w:pPr>
              <w:pStyle w:val="TableBodyText"/>
            </w:pPr>
          </w:p>
        </w:tc>
        <w:tc>
          <w:tcPr>
            <w:tcW w:w="645" w:type="pct"/>
          </w:tcPr>
          <w:p w:rsidR="00FF421E" w:rsidRPr="003F7D48" w:rsidRDefault="00FF421E" w:rsidP="004B634B">
            <w:pPr>
              <w:pStyle w:val="TableBodyText"/>
            </w:pPr>
          </w:p>
        </w:tc>
        <w:tc>
          <w:tcPr>
            <w:tcW w:w="943" w:type="pct"/>
          </w:tcPr>
          <w:p w:rsidR="00FF421E" w:rsidRPr="003F7D48" w:rsidRDefault="00FF421E" w:rsidP="004B634B">
            <w:pPr>
              <w:pStyle w:val="TableBodyText"/>
            </w:pPr>
          </w:p>
        </w:tc>
        <w:tc>
          <w:tcPr>
            <w:tcW w:w="831" w:type="pct"/>
          </w:tcPr>
          <w:p w:rsidR="00FF421E" w:rsidRPr="003F7D48" w:rsidRDefault="00FF421E" w:rsidP="004B634B">
            <w:pPr>
              <w:pStyle w:val="TableBodyText"/>
            </w:pPr>
          </w:p>
        </w:tc>
      </w:tr>
      <w:tr w:rsidR="00FF421E" w:rsidRPr="003F7D48" w:rsidTr="004B634B">
        <w:tc>
          <w:tcPr>
            <w:tcW w:w="1290" w:type="pct"/>
            <w:vAlign w:val="center"/>
          </w:tcPr>
          <w:p w:rsidR="00FF421E" w:rsidRPr="003F7D48" w:rsidRDefault="00FF421E" w:rsidP="004B634B">
            <w:pPr>
              <w:keepNext/>
              <w:keepLines/>
              <w:spacing w:after="40" w:line="220" w:lineRule="atLeast"/>
              <w:ind w:left="6" w:right="113"/>
              <w:jc w:val="center"/>
              <w:rPr>
                <w:rFonts w:ascii="Arial" w:hAnsi="Arial"/>
                <w:sz w:val="20"/>
                <w:szCs w:val="20"/>
              </w:rPr>
            </w:pPr>
            <w:r w:rsidRPr="003F7D48">
              <w:rPr>
                <w:rFonts w:ascii="Arial" w:hAnsi="Arial"/>
                <w:sz w:val="20"/>
                <w:szCs w:val="20"/>
              </w:rPr>
              <w:t>Mean scale score</w:t>
            </w:r>
          </w:p>
        </w:tc>
        <w:tc>
          <w:tcPr>
            <w:tcW w:w="645" w:type="pct"/>
            <w:vAlign w:val="center"/>
          </w:tcPr>
          <w:p w:rsidR="00FF421E" w:rsidRPr="003F7D48" w:rsidRDefault="00FF421E" w:rsidP="004B634B">
            <w:pPr>
              <w:pStyle w:val="TableBodyText"/>
            </w:pPr>
            <w:r w:rsidRPr="003F7D48">
              <w:t>479.5 ± 1.0</w:t>
            </w:r>
          </w:p>
        </w:tc>
        <w:tc>
          <w:tcPr>
            <w:tcW w:w="645" w:type="pct"/>
            <w:vAlign w:val="center"/>
          </w:tcPr>
          <w:p w:rsidR="00FF421E" w:rsidRPr="003F7D48" w:rsidRDefault="00FF421E" w:rsidP="004B634B">
            <w:pPr>
              <w:pStyle w:val="TableBodyText"/>
            </w:pPr>
            <w:r w:rsidRPr="003F7D48">
              <w:t>491.3 ± 1.0</w:t>
            </w:r>
          </w:p>
        </w:tc>
        <w:tc>
          <w:tcPr>
            <w:tcW w:w="645" w:type="pct"/>
            <w:vAlign w:val="center"/>
          </w:tcPr>
          <w:p w:rsidR="00FF421E" w:rsidRPr="003F7D48" w:rsidRDefault="00FF421E" w:rsidP="004B634B">
            <w:pPr>
              <w:pStyle w:val="TableBodyText"/>
            </w:pPr>
            <w:r w:rsidRPr="003F7D48">
              <w:t>492.6 ± 1.0</w:t>
            </w:r>
          </w:p>
        </w:tc>
        <w:tc>
          <w:tcPr>
            <w:tcW w:w="943" w:type="pct"/>
            <w:vAlign w:val="bottom"/>
          </w:tcPr>
          <w:p w:rsidR="00FF421E" w:rsidRPr="003F7D48" w:rsidRDefault="00FF421E" w:rsidP="004B634B">
            <w:pPr>
              <w:pStyle w:val="TableBodyText"/>
            </w:pPr>
            <w:r w:rsidRPr="003F7D48">
              <w:t>↑</w:t>
            </w:r>
          </w:p>
        </w:tc>
        <w:tc>
          <w:tcPr>
            <w:tcW w:w="831" w:type="pct"/>
            <w:vAlign w:val="bottom"/>
          </w:tcPr>
          <w:p w:rsidR="00FF421E" w:rsidRPr="003F7D48" w:rsidRDefault="00FF421E" w:rsidP="004B634B">
            <w:pPr>
              <w:pStyle w:val="TableBodyText"/>
            </w:pPr>
            <w:r w:rsidRPr="003F7D48">
              <w:t xml:space="preserve"> ●</w:t>
            </w:r>
          </w:p>
        </w:tc>
      </w:tr>
      <w:tr w:rsidR="00FF421E" w:rsidRPr="003F7D48" w:rsidTr="004B634B">
        <w:tc>
          <w:tcPr>
            <w:tcW w:w="1290" w:type="pct"/>
            <w:vAlign w:val="center"/>
          </w:tcPr>
          <w:p w:rsidR="00FF421E" w:rsidRPr="003F7D48" w:rsidRDefault="00FF421E" w:rsidP="004B634B">
            <w:pPr>
              <w:keepNext/>
              <w:keepLines/>
              <w:spacing w:after="40" w:line="220" w:lineRule="atLeast"/>
              <w:ind w:left="6" w:right="113"/>
              <w:jc w:val="center"/>
              <w:rPr>
                <w:rFonts w:ascii="Arial" w:hAnsi="Arial"/>
                <w:sz w:val="20"/>
                <w:szCs w:val="20"/>
              </w:rPr>
            </w:pPr>
            <w:r w:rsidRPr="003F7D48">
              <w:rPr>
                <w:rFonts w:ascii="Arial" w:hAnsi="Arial"/>
                <w:sz w:val="20"/>
                <w:szCs w:val="20"/>
              </w:rPr>
              <w:t>At or above NMS</w:t>
            </w:r>
          </w:p>
        </w:tc>
        <w:tc>
          <w:tcPr>
            <w:tcW w:w="645" w:type="pct"/>
            <w:vAlign w:val="center"/>
          </w:tcPr>
          <w:p w:rsidR="00FF421E" w:rsidRPr="003F7D48" w:rsidRDefault="00FF421E" w:rsidP="004B634B">
            <w:pPr>
              <w:pStyle w:val="TableBodyText"/>
            </w:pPr>
            <w:r w:rsidRPr="003F7D48">
              <w:t>94.0 ± 0.2</w:t>
            </w:r>
          </w:p>
        </w:tc>
        <w:tc>
          <w:tcPr>
            <w:tcW w:w="645" w:type="pct"/>
            <w:vAlign w:val="center"/>
          </w:tcPr>
          <w:p w:rsidR="00FF421E" w:rsidRPr="003F7D48" w:rsidRDefault="00FF421E" w:rsidP="004B634B">
            <w:pPr>
              <w:pStyle w:val="TableBodyText"/>
            </w:pPr>
            <w:r w:rsidRPr="003F7D48">
              <w:t>95.5 ± 0.2</w:t>
            </w:r>
          </w:p>
        </w:tc>
        <w:tc>
          <w:tcPr>
            <w:tcW w:w="645" w:type="pct"/>
            <w:vAlign w:val="center"/>
          </w:tcPr>
          <w:p w:rsidR="00FF421E" w:rsidRPr="003F7D48" w:rsidRDefault="00FF421E" w:rsidP="004B634B">
            <w:pPr>
              <w:pStyle w:val="TableBodyText"/>
            </w:pPr>
            <w:r w:rsidRPr="003F7D48">
              <w:t>94.6 ± 0.2</w:t>
            </w:r>
          </w:p>
        </w:tc>
        <w:tc>
          <w:tcPr>
            <w:tcW w:w="943" w:type="pct"/>
            <w:vAlign w:val="bottom"/>
          </w:tcPr>
          <w:p w:rsidR="00FF421E" w:rsidRPr="003F7D48" w:rsidRDefault="00FF421E" w:rsidP="004B634B">
            <w:pPr>
              <w:pStyle w:val="TableBodyText"/>
            </w:pPr>
            <w:r w:rsidRPr="003F7D48">
              <w:t>●</w:t>
            </w:r>
          </w:p>
        </w:tc>
        <w:tc>
          <w:tcPr>
            <w:tcW w:w="831" w:type="pct"/>
            <w:vAlign w:val="bottom"/>
          </w:tcPr>
          <w:p w:rsidR="00FF421E" w:rsidRPr="003F7D48" w:rsidRDefault="00FF421E" w:rsidP="004B634B">
            <w:pPr>
              <w:pStyle w:val="TableBodyText"/>
            </w:pPr>
            <w:r w:rsidRPr="003F7D48">
              <w:t xml:space="preserve"> ↓</w:t>
            </w:r>
          </w:p>
        </w:tc>
      </w:tr>
      <w:tr w:rsidR="00FF421E" w:rsidRPr="003F7D48" w:rsidTr="004B634B">
        <w:tc>
          <w:tcPr>
            <w:tcW w:w="1935" w:type="pct"/>
            <w:gridSpan w:val="2"/>
          </w:tcPr>
          <w:p w:rsidR="00FF421E" w:rsidRPr="003F7D48" w:rsidRDefault="00FF421E" w:rsidP="004B634B">
            <w:pPr>
              <w:pStyle w:val="TableBodyText"/>
              <w:jc w:val="left"/>
            </w:pPr>
            <w:r w:rsidRPr="003F7D48">
              <w:t>All students</w:t>
            </w:r>
          </w:p>
        </w:tc>
        <w:tc>
          <w:tcPr>
            <w:tcW w:w="645" w:type="pct"/>
          </w:tcPr>
          <w:p w:rsidR="00FF421E" w:rsidRPr="003F7D48" w:rsidRDefault="00FF421E" w:rsidP="004B634B">
            <w:pPr>
              <w:pStyle w:val="TableBodyText"/>
            </w:pPr>
          </w:p>
        </w:tc>
        <w:tc>
          <w:tcPr>
            <w:tcW w:w="645" w:type="pct"/>
          </w:tcPr>
          <w:p w:rsidR="00FF421E" w:rsidRPr="003F7D48" w:rsidRDefault="00FF421E" w:rsidP="004B634B">
            <w:pPr>
              <w:pStyle w:val="TableBodyText"/>
            </w:pPr>
          </w:p>
        </w:tc>
        <w:tc>
          <w:tcPr>
            <w:tcW w:w="943" w:type="pct"/>
          </w:tcPr>
          <w:p w:rsidR="00FF421E" w:rsidRPr="003F7D48" w:rsidRDefault="00FF421E" w:rsidP="004B634B">
            <w:pPr>
              <w:pStyle w:val="TableBodyText"/>
            </w:pPr>
          </w:p>
        </w:tc>
        <w:tc>
          <w:tcPr>
            <w:tcW w:w="831" w:type="pct"/>
          </w:tcPr>
          <w:p w:rsidR="00FF421E" w:rsidRPr="003F7D48" w:rsidRDefault="00FF421E" w:rsidP="004B634B">
            <w:pPr>
              <w:pStyle w:val="TableBodyText"/>
            </w:pPr>
          </w:p>
        </w:tc>
      </w:tr>
      <w:tr w:rsidR="00FF421E" w:rsidRPr="003F7D48" w:rsidTr="004B634B">
        <w:tc>
          <w:tcPr>
            <w:tcW w:w="1290" w:type="pct"/>
            <w:vAlign w:val="center"/>
          </w:tcPr>
          <w:p w:rsidR="00FF421E" w:rsidRPr="003F7D48" w:rsidRDefault="00FF421E" w:rsidP="004B634B">
            <w:pPr>
              <w:keepNext/>
              <w:keepLines/>
              <w:spacing w:after="40" w:line="220" w:lineRule="atLeast"/>
              <w:ind w:left="6" w:right="113"/>
              <w:jc w:val="center"/>
              <w:rPr>
                <w:rFonts w:ascii="Arial" w:hAnsi="Arial"/>
                <w:sz w:val="20"/>
                <w:szCs w:val="20"/>
              </w:rPr>
            </w:pPr>
            <w:r w:rsidRPr="003F7D48">
              <w:rPr>
                <w:rFonts w:ascii="Arial" w:hAnsi="Arial"/>
                <w:sz w:val="20"/>
                <w:szCs w:val="20"/>
              </w:rPr>
              <w:t>Mean scale score</w:t>
            </w:r>
          </w:p>
        </w:tc>
        <w:tc>
          <w:tcPr>
            <w:tcW w:w="645" w:type="pct"/>
            <w:vAlign w:val="center"/>
          </w:tcPr>
          <w:p w:rsidR="00FF421E" w:rsidRPr="003F7D48" w:rsidRDefault="00FF421E" w:rsidP="004B634B">
            <w:pPr>
              <w:pStyle w:val="TableBodyText"/>
            </w:pPr>
            <w:r w:rsidRPr="003F7D48">
              <w:t>475.9 ± 1.1</w:t>
            </w:r>
          </w:p>
        </w:tc>
        <w:tc>
          <w:tcPr>
            <w:tcW w:w="645" w:type="pct"/>
            <w:vAlign w:val="center"/>
          </w:tcPr>
          <w:p w:rsidR="00FF421E" w:rsidRPr="003F7D48" w:rsidRDefault="00FF421E" w:rsidP="004B634B">
            <w:pPr>
              <w:pStyle w:val="TableBodyText"/>
            </w:pPr>
            <w:r w:rsidRPr="003F7D48">
              <w:t>487.8 ± 1.1</w:t>
            </w:r>
          </w:p>
        </w:tc>
        <w:tc>
          <w:tcPr>
            <w:tcW w:w="645" w:type="pct"/>
            <w:vAlign w:val="center"/>
          </w:tcPr>
          <w:p w:rsidR="00FF421E" w:rsidRPr="003F7D48" w:rsidRDefault="00FF421E" w:rsidP="004B634B">
            <w:pPr>
              <w:pStyle w:val="TableBodyText"/>
            </w:pPr>
            <w:r w:rsidRPr="003F7D48">
              <w:t>488.7 ± 1.0</w:t>
            </w:r>
          </w:p>
        </w:tc>
        <w:tc>
          <w:tcPr>
            <w:tcW w:w="943" w:type="pct"/>
            <w:vAlign w:val="bottom"/>
          </w:tcPr>
          <w:p w:rsidR="00FF421E" w:rsidRPr="003F7D48" w:rsidRDefault="00FF421E" w:rsidP="004B634B">
            <w:pPr>
              <w:pStyle w:val="TableBodyText"/>
            </w:pPr>
            <w:r w:rsidRPr="003F7D48">
              <w:t>↑</w:t>
            </w:r>
          </w:p>
        </w:tc>
        <w:tc>
          <w:tcPr>
            <w:tcW w:w="831" w:type="pct"/>
            <w:vAlign w:val="bottom"/>
          </w:tcPr>
          <w:p w:rsidR="00FF421E" w:rsidRPr="003F7D48" w:rsidRDefault="00FF421E" w:rsidP="004B634B">
            <w:pPr>
              <w:pStyle w:val="TableBodyText"/>
            </w:pPr>
            <w:r w:rsidRPr="003F7D48">
              <w:t xml:space="preserve"> ●</w:t>
            </w:r>
          </w:p>
        </w:tc>
      </w:tr>
      <w:tr w:rsidR="00FF421E" w:rsidRPr="003F7D48" w:rsidTr="004B634B">
        <w:tc>
          <w:tcPr>
            <w:tcW w:w="1290" w:type="pct"/>
            <w:tcBorders>
              <w:bottom w:val="single" w:sz="6" w:space="0" w:color="auto"/>
            </w:tcBorders>
            <w:shd w:val="clear" w:color="auto" w:fill="auto"/>
            <w:vAlign w:val="center"/>
          </w:tcPr>
          <w:p w:rsidR="00FF421E" w:rsidRPr="003F7D48" w:rsidRDefault="00FF421E" w:rsidP="004B634B">
            <w:pPr>
              <w:keepNext/>
              <w:keepLines/>
              <w:spacing w:after="40" w:line="220" w:lineRule="atLeast"/>
              <w:ind w:left="6" w:right="113"/>
              <w:jc w:val="center"/>
              <w:rPr>
                <w:rFonts w:ascii="Arial" w:hAnsi="Arial"/>
                <w:sz w:val="20"/>
                <w:szCs w:val="20"/>
              </w:rPr>
            </w:pPr>
            <w:r w:rsidRPr="003F7D48">
              <w:rPr>
                <w:rFonts w:ascii="Arial" w:hAnsi="Arial"/>
                <w:sz w:val="20"/>
                <w:szCs w:val="20"/>
              </w:rPr>
              <w:t>At or above NMS</w:t>
            </w:r>
          </w:p>
        </w:tc>
        <w:tc>
          <w:tcPr>
            <w:tcW w:w="645" w:type="pct"/>
            <w:tcBorders>
              <w:bottom w:val="single" w:sz="6" w:space="0" w:color="auto"/>
            </w:tcBorders>
            <w:shd w:val="clear" w:color="auto" w:fill="auto"/>
            <w:vAlign w:val="center"/>
          </w:tcPr>
          <w:p w:rsidR="00FF421E" w:rsidRPr="003F7D48" w:rsidRDefault="00FF421E" w:rsidP="004B634B">
            <w:pPr>
              <w:pStyle w:val="TableBodyText"/>
            </w:pPr>
            <w:r w:rsidRPr="003F7D48">
              <w:t>92.7 ± 0.2</w:t>
            </w:r>
          </w:p>
        </w:tc>
        <w:tc>
          <w:tcPr>
            <w:tcW w:w="645" w:type="pct"/>
            <w:tcBorders>
              <w:bottom w:val="single" w:sz="6" w:space="0" w:color="auto"/>
            </w:tcBorders>
            <w:vAlign w:val="center"/>
          </w:tcPr>
          <w:p w:rsidR="00FF421E" w:rsidRPr="003F7D48" w:rsidRDefault="00FF421E" w:rsidP="004B634B">
            <w:pPr>
              <w:pStyle w:val="TableBodyText"/>
            </w:pPr>
            <w:r w:rsidRPr="003F7D48">
              <w:t>94.4 ± 0.2</w:t>
            </w:r>
          </w:p>
        </w:tc>
        <w:tc>
          <w:tcPr>
            <w:tcW w:w="645" w:type="pct"/>
            <w:tcBorders>
              <w:bottom w:val="single" w:sz="6" w:space="0" w:color="auto"/>
            </w:tcBorders>
            <w:vAlign w:val="center"/>
          </w:tcPr>
          <w:p w:rsidR="00FF421E" w:rsidRPr="003F7D48" w:rsidRDefault="00FF421E" w:rsidP="004B634B">
            <w:pPr>
              <w:pStyle w:val="TableBodyText"/>
            </w:pPr>
            <w:r w:rsidRPr="003F7D48">
              <w:t>93.3 ± 0.2</w:t>
            </w:r>
          </w:p>
        </w:tc>
        <w:tc>
          <w:tcPr>
            <w:tcW w:w="943" w:type="pct"/>
            <w:tcBorders>
              <w:bottom w:val="single" w:sz="6" w:space="0" w:color="auto"/>
            </w:tcBorders>
            <w:vAlign w:val="bottom"/>
          </w:tcPr>
          <w:p w:rsidR="00FF421E" w:rsidRPr="003F7D48" w:rsidRDefault="00FF421E" w:rsidP="004B634B">
            <w:pPr>
              <w:pStyle w:val="TableBodyText"/>
            </w:pPr>
            <w:r w:rsidRPr="003F7D48">
              <w:t>●</w:t>
            </w:r>
          </w:p>
        </w:tc>
        <w:tc>
          <w:tcPr>
            <w:tcW w:w="831" w:type="pct"/>
            <w:tcBorders>
              <w:bottom w:val="single" w:sz="6" w:space="0" w:color="auto"/>
            </w:tcBorders>
            <w:shd w:val="clear" w:color="auto" w:fill="auto"/>
            <w:vAlign w:val="bottom"/>
          </w:tcPr>
          <w:p w:rsidR="00FF421E" w:rsidRPr="003F7D48" w:rsidRDefault="00FF421E" w:rsidP="004B634B">
            <w:pPr>
              <w:pStyle w:val="TableBodyText"/>
            </w:pPr>
            <w:r w:rsidRPr="003F7D48">
              <w:t xml:space="preserve"> ↓</w:t>
            </w:r>
          </w:p>
        </w:tc>
      </w:tr>
    </w:tbl>
    <w:p w:rsidR="00FF421E" w:rsidRPr="003F7D48" w:rsidRDefault="00FF421E" w:rsidP="00FF421E">
      <w:pPr>
        <w:keepLines/>
        <w:spacing w:before="80" w:line="220" w:lineRule="exact"/>
        <w:jc w:val="both"/>
        <w:rPr>
          <w:rFonts w:ascii="Arial" w:hAnsi="Arial"/>
          <w:sz w:val="18"/>
          <w:szCs w:val="20"/>
        </w:rPr>
      </w:pPr>
      <w:r w:rsidRPr="003F7D48">
        <w:rPr>
          <w:rFonts w:ascii="Arial" w:hAnsi="Arial"/>
          <w:sz w:val="18"/>
          <w:szCs w:val="20"/>
        </w:rPr>
        <w:t xml:space="preserve">NMS = National Minimum Standard. </w:t>
      </w:r>
      <w:r w:rsidRPr="003F7D48">
        <w:rPr>
          <w:rFonts w:ascii="Arial" w:hAnsi="Arial"/>
          <w:b/>
          <w:sz w:val="18"/>
          <w:szCs w:val="20"/>
        </w:rPr>
        <w:t>↑</w:t>
      </w:r>
      <w:r w:rsidRPr="003F7D48">
        <w:rPr>
          <w:rFonts w:ascii="Arial" w:hAnsi="Arial"/>
          <w:sz w:val="18"/>
          <w:szCs w:val="20"/>
        </w:rPr>
        <w:t xml:space="preserve">= Average achievement significantly higher, statistically </w:t>
      </w:r>
      <w:r w:rsidRPr="003F7D48">
        <w:rPr>
          <w:rFonts w:ascii="Arial" w:hAnsi="Arial" w:cs="Arial"/>
          <w:sz w:val="18"/>
          <w:szCs w:val="20"/>
        </w:rPr>
        <w:t>●</w:t>
      </w:r>
      <w:r w:rsidRPr="003F7D48">
        <w:rPr>
          <w:rFonts w:ascii="Arial" w:hAnsi="Arial"/>
          <w:sz w:val="18"/>
          <w:szCs w:val="20"/>
        </w:rPr>
        <w:t xml:space="preserve"> = No significant difference, statistically. ↓= Average achievement significantly lower, statistically.</w:t>
      </w:r>
    </w:p>
    <w:p w:rsidR="00FF421E" w:rsidRPr="003F7D48" w:rsidRDefault="00FF421E" w:rsidP="00FF421E">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The mean scale scores and proportions at or above national minimum standard reported in this table include 95 per cent confidence intervals (for example, a mean scale score of 400.0 ± 2.7</w:t>
      </w:r>
      <w:r w:rsidRPr="003F7D48">
        <w:rPr>
          <w:rFonts w:ascii="Arial" w:hAnsi="Arial"/>
          <w:sz w:val="18"/>
          <w:szCs w:val="20"/>
          <w:shd w:val="clear" w:color="auto" w:fill="FFFFFF" w:themeFill="background1"/>
        </w:rPr>
        <w:t>). The confidence intervals in this table are for the specific year applicable and do not provide an indication of statistically significant differences between years. See section 2.5 of the ‘statistical context’ chapter for more</w:t>
      </w:r>
      <w:r w:rsidRPr="003F7D48">
        <w:rPr>
          <w:rFonts w:ascii="Arial" w:hAnsi="Arial"/>
          <w:sz w:val="18"/>
          <w:szCs w:val="20"/>
        </w:rPr>
        <w:t xml:space="preserve"> information on confidence intervals. </w:t>
      </w:r>
      <w:r w:rsidRPr="003F7D48">
        <w:rPr>
          <w:rFonts w:ascii="Arial" w:hAnsi="Arial"/>
          <w:b/>
          <w:position w:val="6"/>
          <w:sz w:val="18"/>
          <w:szCs w:val="20"/>
        </w:rPr>
        <w:t>b</w:t>
      </w:r>
      <w:r w:rsidRPr="003F7D48">
        <w:rPr>
          <w:rFonts w:ascii="Arial" w:hAnsi="Arial"/>
          <w:sz w:val="18"/>
          <w:szCs w:val="20"/>
        </w:rPr>
        <w:t> For further information and cavea</w:t>
      </w:r>
      <w:r w:rsidR="00AD4523" w:rsidRPr="003F7D48">
        <w:rPr>
          <w:rFonts w:ascii="Arial" w:hAnsi="Arial"/>
          <w:sz w:val="18"/>
          <w:szCs w:val="20"/>
        </w:rPr>
        <w:t>ts see table 4A.87.</w:t>
      </w:r>
    </w:p>
    <w:p w:rsidR="00FF421E" w:rsidRPr="003F7D48" w:rsidRDefault="00FF421E" w:rsidP="00FF421E">
      <w:pPr>
        <w:keepLines/>
        <w:spacing w:before="8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ACARA, Sydney; table 4A.87; 2014 Report, table 4.9, p. 4.72.</w:t>
      </w:r>
    </w:p>
    <w:p w:rsidR="005B746F" w:rsidRPr="003F7D48" w:rsidRDefault="005B746F" w:rsidP="005B746F">
      <w:pPr>
        <w:keepNext/>
        <w:spacing w:before="480" w:line="320" w:lineRule="exact"/>
        <w:outlineLvl w:val="4"/>
        <w:rPr>
          <w:i/>
          <w:szCs w:val="20"/>
        </w:rPr>
      </w:pPr>
      <w:r w:rsidRPr="003F7D48">
        <w:rPr>
          <w:i/>
        </w:rPr>
        <w:t>C</w:t>
      </w:r>
      <w:r w:rsidRPr="003F7D48">
        <w:rPr>
          <w:i/>
          <w:szCs w:val="20"/>
        </w:rPr>
        <w:t>ohort gain</w:t>
      </w:r>
    </w:p>
    <w:p w:rsidR="008C7E8E" w:rsidRPr="003F7D48" w:rsidRDefault="008C7E8E" w:rsidP="008C7E8E">
      <w:pPr>
        <w:spacing w:before="240" w:line="320" w:lineRule="atLeast"/>
        <w:jc w:val="both"/>
        <w:rPr>
          <w:szCs w:val="20"/>
        </w:rPr>
      </w:pPr>
      <w:r w:rsidRPr="003F7D48">
        <w:rPr>
          <w:szCs w:val="20"/>
        </w:rPr>
        <w:t>Analysis of NAPLAN mean scale score data for the years 2008 to 2010 and 2010 to 2012 enables comparisons of outcomes for the same cohort of students over time (</w:t>
      </w:r>
      <w:r w:rsidR="005D2EFD" w:rsidRPr="003F7D48">
        <w:rPr>
          <w:szCs w:val="20"/>
        </w:rPr>
        <w:t xml:space="preserve">2014 Report, </w:t>
      </w:r>
      <w:r w:rsidRPr="003F7D48">
        <w:rPr>
          <w:szCs w:val="20"/>
        </w:rPr>
        <w:t>box 4.9). From year 3 in 2008 to year 5 in 2010, the gain in numeracy mean scale score (on the common national scale for Years 3, 5, 7 and 9, ranging from 0 to 1000) was between 83.6 and 100.2 points nationally. For the same cohort, from year 5 in 2010 to year 7 in 2012, the mean scale score gain was between 4</w:t>
      </w:r>
      <w:r w:rsidR="005D2EFD" w:rsidRPr="003F7D48">
        <w:rPr>
          <w:szCs w:val="20"/>
        </w:rPr>
        <w:t>3.3 and 55.3 points nationally.</w:t>
      </w:r>
    </w:p>
    <w:p w:rsidR="005B746F" w:rsidRPr="003F7D48" w:rsidRDefault="005B746F" w:rsidP="005B746F">
      <w:pPr>
        <w:spacing w:before="240" w:line="320" w:lineRule="atLeast"/>
        <w:jc w:val="both"/>
        <w:rPr>
          <w:szCs w:val="20"/>
        </w:rPr>
      </w:pPr>
      <w:r w:rsidRPr="003F7D48">
        <w:rPr>
          <w:szCs w:val="20"/>
        </w:rPr>
        <w:t xml:space="preserve">For Indigenous students, year 3 in 2008 to year 5 in 2010 the mean scale score gain was between 80.0 and 98.6 points and from year 5 in 2010 to year 7 in 2012, the mean scale score gain was between 45.4 and 59.6 points nationally. For </w:t>
      </w:r>
      <w:r w:rsidRPr="003F7D48">
        <w:rPr>
          <w:szCs w:val="20"/>
        </w:rPr>
        <w:lastRenderedPageBreak/>
        <w:t>non</w:t>
      </w:r>
      <w:r w:rsidRPr="003F7D48">
        <w:rPr>
          <w:szCs w:val="20"/>
        </w:rPr>
        <w:noBreakHyphen/>
        <w:t>Indigenous students, year 3 in 2008 to year 5 in 2010 the mean scale score gain was between 83.8 and 100.4 points and from year 5 in 2010 to year 7 in 2012, the gain was between 43.2 and 55.2 points nationally.</w:t>
      </w:r>
    </w:p>
    <w:p w:rsidR="005B746F" w:rsidRPr="003F7D48" w:rsidRDefault="005B746F" w:rsidP="005B746F">
      <w:pPr>
        <w:spacing w:before="240" w:line="320" w:lineRule="atLeast"/>
        <w:jc w:val="both"/>
        <w:rPr>
          <w:szCs w:val="20"/>
        </w:rPr>
      </w:pPr>
      <w:r w:rsidRPr="003F7D48">
        <w:rPr>
          <w:szCs w:val="20"/>
        </w:rPr>
        <w:t>These mean scale score gains varied across jurisdictions (table 4.5). Data for other cohorts from 2008–2010 and 2010-2012 are in table 4A.88.</w:t>
      </w:r>
    </w:p>
    <w:p w:rsidR="005B746F" w:rsidRPr="003F7D48" w:rsidRDefault="005B746F">
      <w:pPr>
        <w:rPr>
          <w:rFonts w:ascii="Arial" w:hAnsi="Arial"/>
          <w:sz w:val="24"/>
        </w:rPr>
      </w:pPr>
      <w:r w:rsidRPr="003F7D48">
        <w:rPr>
          <w:b/>
        </w:rPr>
        <w:br w:type="page"/>
      </w:r>
    </w:p>
    <w:p w:rsidR="005B746F" w:rsidRPr="003F7D48" w:rsidRDefault="005B746F" w:rsidP="005B746F">
      <w:pPr>
        <w:pStyle w:val="TableTitle"/>
      </w:pPr>
      <w:r w:rsidRPr="003F7D48">
        <w:rPr>
          <w:b w:val="0"/>
        </w:rPr>
        <w:lastRenderedPageBreak/>
        <w:t>Table 4.</w:t>
      </w:r>
      <w:r w:rsidRPr="003F7D48">
        <w:rPr>
          <w:b w:val="0"/>
          <w:noProof/>
        </w:rPr>
        <w:t>5</w:t>
      </w:r>
      <w:r w:rsidRPr="003F7D48">
        <w:tab/>
        <w:t>Gain in mean scale score for numeracy: year 3 (2008) to year 5 (2010) to year 7 (2012)</w:t>
      </w:r>
      <w:r w:rsidRPr="003F7D48">
        <w:rPr>
          <w:position w:val="6"/>
          <w:sz w:val="18"/>
        </w:rPr>
        <w:t>a, b</w:t>
      </w:r>
      <w:r w:rsidRPr="003F7D48">
        <w:rPr>
          <w:rStyle w:val="DraftingNote"/>
          <w:color w:val="auto"/>
        </w:rPr>
        <w:t xml:space="preserve"> </w:t>
      </w:r>
    </w:p>
    <w:tbl>
      <w:tblPr>
        <w:tblW w:w="8790" w:type="dxa"/>
        <w:tblLayout w:type="fixed"/>
        <w:tblCellMar>
          <w:left w:w="0" w:type="dxa"/>
          <w:right w:w="0" w:type="dxa"/>
        </w:tblCellMar>
        <w:tblLook w:val="0000" w:firstRow="0" w:lastRow="0" w:firstColumn="0" w:lastColumn="0" w:noHBand="0" w:noVBand="0"/>
      </w:tblPr>
      <w:tblGrid>
        <w:gridCol w:w="1560"/>
        <w:gridCol w:w="803"/>
        <w:gridCol w:w="803"/>
        <w:gridCol w:w="804"/>
        <w:gridCol w:w="803"/>
        <w:gridCol w:w="803"/>
        <w:gridCol w:w="804"/>
        <w:gridCol w:w="803"/>
        <w:gridCol w:w="803"/>
        <w:gridCol w:w="804"/>
      </w:tblGrid>
      <w:tr w:rsidR="005B746F" w:rsidRPr="003F7D48" w:rsidTr="004B634B">
        <w:tc>
          <w:tcPr>
            <w:tcW w:w="1560"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rPr>
                <w:rFonts w:ascii="Arial" w:hAnsi="Arial"/>
                <w:i/>
                <w:sz w:val="20"/>
                <w:szCs w:val="20"/>
              </w:rPr>
            </w:pPr>
          </w:p>
        </w:tc>
        <w:tc>
          <w:tcPr>
            <w:tcW w:w="803"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NSW</w:t>
            </w:r>
          </w:p>
        </w:tc>
        <w:tc>
          <w:tcPr>
            <w:tcW w:w="803"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Vic</w:t>
            </w:r>
          </w:p>
        </w:tc>
        <w:tc>
          <w:tcPr>
            <w:tcW w:w="804"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Qld</w:t>
            </w:r>
          </w:p>
        </w:tc>
        <w:tc>
          <w:tcPr>
            <w:tcW w:w="803"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WA</w:t>
            </w:r>
          </w:p>
        </w:tc>
        <w:tc>
          <w:tcPr>
            <w:tcW w:w="803"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SA</w:t>
            </w:r>
          </w:p>
        </w:tc>
        <w:tc>
          <w:tcPr>
            <w:tcW w:w="804"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Tas</w:t>
            </w:r>
          </w:p>
        </w:tc>
        <w:tc>
          <w:tcPr>
            <w:tcW w:w="803"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ACT</w:t>
            </w:r>
          </w:p>
        </w:tc>
        <w:tc>
          <w:tcPr>
            <w:tcW w:w="803"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NT</w:t>
            </w:r>
          </w:p>
        </w:tc>
        <w:tc>
          <w:tcPr>
            <w:tcW w:w="804" w:type="dxa"/>
            <w:tcBorders>
              <w:top w:val="single" w:sz="6" w:space="0" w:color="auto"/>
              <w:bottom w:val="single" w:sz="6" w:space="0" w:color="auto"/>
            </w:tcBorders>
            <w:shd w:val="clear" w:color="auto" w:fill="auto"/>
          </w:tcPr>
          <w:p w:rsidR="005B746F" w:rsidRPr="003F7D48" w:rsidRDefault="005B746F" w:rsidP="004B634B">
            <w:pPr>
              <w:keepNext/>
              <w:keepLines/>
              <w:spacing w:before="80" w:after="80" w:line="220" w:lineRule="atLeast"/>
              <w:ind w:left="6" w:right="113"/>
              <w:jc w:val="right"/>
              <w:rPr>
                <w:rFonts w:ascii="Arial" w:hAnsi="Arial"/>
                <w:i/>
                <w:sz w:val="20"/>
                <w:szCs w:val="20"/>
              </w:rPr>
            </w:pPr>
            <w:r w:rsidRPr="003F7D48">
              <w:rPr>
                <w:rFonts w:ascii="Arial" w:hAnsi="Arial"/>
                <w:i/>
                <w:sz w:val="20"/>
                <w:szCs w:val="20"/>
              </w:rPr>
              <w:t>Aust</w:t>
            </w:r>
          </w:p>
        </w:tc>
      </w:tr>
      <w:tr w:rsidR="005B746F" w:rsidRPr="003F7D48" w:rsidTr="004B634B">
        <w:tc>
          <w:tcPr>
            <w:tcW w:w="8790" w:type="dxa"/>
            <w:gridSpan w:val="10"/>
          </w:tcPr>
          <w:p w:rsidR="005B746F" w:rsidRPr="003F7D48" w:rsidRDefault="005B746F" w:rsidP="004B634B">
            <w:pPr>
              <w:keepNext/>
              <w:keepLines/>
              <w:spacing w:after="40" w:line="220" w:lineRule="atLeast"/>
              <w:ind w:left="6" w:right="113"/>
              <w:rPr>
                <w:rFonts w:ascii="Arial" w:hAnsi="Arial" w:cs="Arial"/>
                <w:b/>
                <w:sz w:val="20"/>
                <w:szCs w:val="20"/>
              </w:rPr>
            </w:pPr>
            <w:r w:rsidRPr="003F7D48">
              <w:rPr>
                <w:rFonts w:ascii="Arial" w:hAnsi="Arial"/>
                <w:b/>
                <w:sz w:val="20"/>
                <w:szCs w:val="20"/>
              </w:rPr>
              <w:t>Indigenous students</w:t>
            </w:r>
          </w:p>
        </w:tc>
      </w:tr>
      <w:tr w:rsidR="005B746F" w:rsidRPr="003F7D48" w:rsidTr="004B634B">
        <w:tc>
          <w:tcPr>
            <w:tcW w:w="1560" w:type="dxa"/>
          </w:tcPr>
          <w:p w:rsidR="005B746F" w:rsidRPr="003F7D48" w:rsidRDefault="005B746F" w:rsidP="004B634B">
            <w:pPr>
              <w:keepNext/>
              <w:keepLines/>
              <w:spacing w:after="40" w:line="220" w:lineRule="atLeast"/>
              <w:ind w:left="6" w:right="113"/>
              <w:rPr>
                <w:rFonts w:ascii="Arial" w:hAnsi="Arial"/>
                <w:sz w:val="20"/>
                <w:szCs w:val="20"/>
              </w:rPr>
            </w:pPr>
            <w:r w:rsidRPr="003F7D48">
              <w:rPr>
                <w:rFonts w:ascii="Arial" w:hAnsi="Arial"/>
                <w:sz w:val="20"/>
                <w:szCs w:val="20"/>
              </w:rPr>
              <w:t>2008 Year 3</w:t>
            </w:r>
          </w:p>
        </w:tc>
        <w:tc>
          <w:tcPr>
            <w:tcW w:w="803" w:type="dxa"/>
            <w:vAlign w:val="center"/>
          </w:tcPr>
          <w:p w:rsidR="005B746F" w:rsidRPr="003F7D48" w:rsidRDefault="005B746F" w:rsidP="004B634B">
            <w:pPr>
              <w:pStyle w:val="TableBodyText"/>
            </w:pPr>
            <w:r w:rsidRPr="003F7D48">
              <w:t xml:space="preserve">350.3 </w:t>
            </w:r>
            <w:r w:rsidRPr="003F7D48">
              <w:br/>
              <w:t>± 3.1</w:t>
            </w:r>
          </w:p>
        </w:tc>
        <w:tc>
          <w:tcPr>
            <w:tcW w:w="803" w:type="dxa"/>
            <w:vAlign w:val="center"/>
          </w:tcPr>
          <w:p w:rsidR="005B746F" w:rsidRPr="003F7D48" w:rsidRDefault="005B746F" w:rsidP="004B634B">
            <w:pPr>
              <w:pStyle w:val="TableBodyText"/>
            </w:pPr>
            <w:r w:rsidRPr="003F7D48">
              <w:t xml:space="preserve">376.9 </w:t>
            </w:r>
            <w:r w:rsidRPr="003F7D48">
              <w:br/>
              <w:t>± 5.5</w:t>
            </w:r>
          </w:p>
        </w:tc>
        <w:tc>
          <w:tcPr>
            <w:tcW w:w="804" w:type="dxa"/>
            <w:vAlign w:val="center"/>
          </w:tcPr>
          <w:p w:rsidR="005B746F" w:rsidRPr="003F7D48" w:rsidRDefault="005B746F" w:rsidP="004B634B">
            <w:pPr>
              <w:pStyle w:val="TableBodyText"/>
            </w:pPr>
            <w:r w:rsidRPr="003F7D48">
              <w:t xml:space="preserve">316.2 </w:t>
            </w:r>
            <w:r w:rsidRPr="003F7D48">
              <w:br/>
              <w:t>± 6.4</w:t>
            </w:r>
          </w:p>
        </w:tc>
        <w:tc>
          <w:tcPr>
            <w:tcW w:w="803" w:type="dxa"/>
            <w:vAlign w:val="center"/>
          </w:tcPr>
          <w:p w:rsidR="005B746F" w:rsidRPr="003F7D48" w:rsidRDefault="005B746F" w:rsidP="004B634B">
            <w:pPr>
              <w:pStyle w:val="TableBodyText"/>
            </w:pPr>
            <w:r w:rsidRPr="003F7D48">
              <w:t xml:space="preserve">313.9 </w:t>
            </w:r>
            <w:r w:rsidRPr="003F7D48">
              <w:br/>
              <w:t>± 5.1</w:t>
            </w:r>
          </w:p>
        </w:tc>
        <w:tc>
          <w:tcPr>
            <w:tcW w:w="803" w:type="dxa"/>
            <w:vAlign w:val="center"/>
          </w:tcPr>
          <w:p w:rsidR="005B746F" w:rsidRPr="003F7D48" w:rsidRDefault="005B746F" w:rsidP="004B634B">
            <w:pPr>
              <w:pStyle w:val="TableBodyText"/>
            </w:pPr>
            <w:r w:rsidRPr="003F7D48">
              <w:t xml:space="preserve">330.7 </w:t>
            </w:r>
            <w:r w:rsidRPr="003F7D48">
              <w:br/>
              <w:t>± 6.5</w:t>
            </w:r>
          </w:p>
        </w:tc>
        <w:tc>
          <w:tcPr>
            <w:tcW w:w="804" w:type="dxa"/>
            <w:vAlign w:val="center"/>
          </w:tcPr>
          <w:p w:rsidR="005B746F" w:rsidRPr="003F7D48" w:rsidRDefault="005B746F" w:rsidP="004B634B">
            <w:pPr>
              <w:pStyle w:val="TableBodyText"/>
            </w:pPr>
            <w:r w:rsidRPr="003F7D48">
              <w:t xml:space="preserve">377.1 </w:t>
            </w:r>
            <w:r w:rsidRPr="003F7D48">
              <w:br/>
              <w:t>± 8.2</w:t>
            </w:r>
          </w:p>
        </w:tc>
        <w:tc>
          <w:tcPr>
            <w:tcW w:w="803" w:type="dxa"/>
            <w:vAlign w:val="center"/>
          </w:tcPr>
          <w:p w:rsidR="005B746F" w:rsidRPr="003F7D48" w:rsidRDefault="005B746F" w:rsidP="004B634B">
            <w:pPr>
              <w:pStyle w:val="TableBodyText"/>
            </w:pPr>
            <w:r w:rsidRPr="003F7D48">
              <w:t xml:space="preserve">355.1 </w:t>
            </w:r>
            <w:r w:rsidRPr="003F7D48">
              <w:br/>
              <w:t>± 16.2</w:t>
            </w:r>
          </w:p>
        </w:tc>
        <w:tc>
          <w:tcPr>
            <w:tcW w:w="803" w:type="dxa"/>
            <w:vAlign w:val="center"/>
          </w:tcPr>
          <w:p w:rsidR="005B746F" w:rsidRPr="003F7D48" w:rsidRDefault="005B746F" w:rsidP="004B634B">
            <w:pPr>
              <w:pStyle w:val="TableBodyText"/>
            </w:pPr>
            <w:r w:rsidRPr="003F7D48">
              <w:t xml:space="preserve">275.0 </w:t>
            </w:r>
            <w:r w:rsidRPr="003F7D48">
              <w:br/>
              <w:t>± 11.0</w:t>
            </w:r>
          </w:p>
        </w:tc>
        <w:tc>
          <w:tcPr>
            <w:tcW w:w="804" w:type="dxa"/>
            <w:vAlign w:val="center"/>
          </w:tcPr>
          <w:p w:rsidR="005B746F" w:rsidRPr="003F7D48" w:rsidRDefault="005B746F" w:rsidP="004B634B">
            <w:pPr>
              <w:pStyle w:val="TableBodyText"/>
            </w:pPr>
            <w:r w:rsidRPr="003F7D48">
              <w:t xml:space="preserve">327.6 </w:t>
            </w:r>
            <w:r w:rsidRPr="003F7D48">
              <w:br/>
              <w:t>± 3.3</w:t>
            </w:r>
          </w:p>
        </w:tc>
      </w:tr>
      <w:tr w:rsidR="005B746F" w:rsidRPr="003F7D48" w:rsidTr="004B634B">
        <w:tc>
          <w:tcPr>
            <w:tcW w:w="1560" w:type="dxa"/>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2010 Year 5</w:t>
            </w:r>
          </w:p>
        </w:tc>
        <w:tc>
          <w:tcPr>
            <w:tcW w:w="803" w:type="dxa"/>
            <w:vAlign w:val="center"/>
          </w:tcPr>
          <w:p w:rsidR="005B746F" w:rsidRPr="003F7D48" w:rsidRDefault="005B746F" w:rsidP="004B634B">
            <w:pPr>
              <w:pStyle w:val="TableBodyText"/>
            </w:pPr>
            <w:r w:rsidRPr="003F7D48">
              <w:t xml:space="preserve">435.8 </w:t>
            </w:r>
            <w:r w:rsidRPr="003F7D48">
              <w:br/>
              <w:t>± 3.0</w:t>
            </w:r>
          </w:p>
        </w:tc>
        <w:tc>
          <w:tcPr>
            <w:tcW w:w="803" w:type="dxa"/>
            <w:vAlign w:val="center"/>
          </w:tcPr>
          <w:p w:rsidR="005B746F" w:rsidRPr="003F7D48" w:rsidRDefault="005B746F" w:rsidP="004B634B">
            <w:pPr>
              <w:pStyle w:val="TableBodyText"/>
            </w:pPr>
            <w:r w:rsidRPr="003F7D48">
              <w:t xml:space="preserve">457.0 </w:t>
            </w:r>
            <w:r w:rsidRPr="003F7D48">
              <w:br/>
              <w:t>± 5.8</w:t>
            </w:r>
          </w:p>
        </w:tc>
        <w:tc>
          <w:tcPr>
            <w:tcW w:w="804" w:type="dxa"/>
            <w:vAlign w:val="center"/>
          </w:tcPr>
          <w:p w:rsidR="005B746F" w:rsidRPr="003F7D48" w:rsidRDefault="005B746F" w:rsidP="004B634B">
            <w:pPr>
              <w:pStyle w:val="TableBodyText"/>
            </w:pPr>
            <w:r w:rsidRPr="003F7D48">
              <w:t xml:space="preserve">419.5 </w:t>
            </w:r>
            <w:r w:rsidRPr="003F7D48">
              <w:br/>
              <w:t>± 4.5</w:t>
            </w:r>
          </w:p>
        </w:tc>
        <w:tc>
          <w:tcPr>
            <w:tcW w:w="803" w:type="dxa"/>
            <w:vAlign w:val="center"/>
          </w:tcPr>
          <w:p w:rsidR="005B746F" w:rsidRPr="003F7D48" w:rsidRDefault="005B746F" w:rsidP="004B634B">
            <w:pPr>
              <w:pStyle w:val="TableBodyText"/>
            </w:pPr>
            <w:r w:rsidRPr="003F7D48">
              <w:t xml:space="preserve">398.0 </w:t>
            </w:r>
            <w:r w:rsidRPr="003F7D48">
              <w:br/>
              <w:t>± 6.0</w:t>
            </w:r>
          </w:p>
        </w:tc>
        <w:tc>
          <w:tcPr>
            <w:tcW w:w="803" w:type="dxa"/>
            <w:vAlign w:val="center"/>
          </w:tcPr>
          <w:p w:rsidR="005B746F" w:rsidRPr="003F7D48" w:rsidRDefault="005B746F" w:rsidP="004B634B">
            <w:pPr>
              <w:pStyle w:val="TableBodyText"/>
            </w:pPr>
            <w:r w:rsidRPr="003F7D48">
              <w:t xml:space="preserve">406.9 </w:t>
            </w:r>
            <w:r w:rsidRPr="003F7D48">
              <w:br/>
              <w:t>± 6.8</w:t>
            </w:r>
          </w:p>
        </w:tc>
        <w:tc>
          <w:tcPr>
            <w:tcW w:w="804" w:type="dxa"/>
            <w:vAlign w:val="center"/>
          </w:tcPr>
          <w:p w:rsidR="005B746F" w:rsidRPr="003F7D48" w:rsidRDefault="005B746F" w:rsidP="004B634B">
            <w:pPr>
              <w:pStyle w:val="TableBodyText"/>
            </w:pPr>
            <w:r w:rsidRPr="003F7D48">
              <w:t xml:space="preserve">450.0 </w:t>
            </w:r>
            <w:r w:rsidRPr="003F7D48">
              <w:br/>
              <w:t>± 8.0</w:t>
            </w:r>
          </w:p>
        </w:tc>
        <w:tc>
          <w:tcPr>
            <w:tcW w:w="803" w:type="dxa"/>
            <w:vAlign w:val="center"/>
          </w:tcPr>
          <w:p w:rsidR="005B746F" w:rsidRPr="003F7D48" w:rsidRDefault="005B746F" w:rsidP="004B634B">
            <w:pPr>
              <w:pStyle w:val="TableBodyText"/>
            </w:pPr>
            <w:r w:rsidRPr="003F7D48">
              <w:t xml:space="preserve">434.7 </w:t>
            </w:r>
            <w:r w:rsidRPr="003F7D48">
              <w:br/>
              <w:t>± 12.8</w:t>
            </w:r>
          </w:p>
        </w:tc>
        <w:tc>
          <w:tcPr>
            <w:tcW w:w="803" w:type="dxa"/>
            <w:vAlign w:val="center"/>
          </w:tcPr>
          <w:p w:rsidR="005B746F" w:rsidRPr="003F7D48" w:rsidRDefault="005B746F" w:rsidP="004B634B">
            <w:pPr>
              <w:pStyle w:val="TableBodyText"/>
            </w:pPr>
            <w:r w:rsidRPr="003F7D48">
              <w:t xml:space="preserve">351.6 </w:t>
            </w:r>
            <w:r w:rsidRPr="003F7D48">
              <w:br/>
              <w:t>± 13.0</w:t>
            </w:r>
          </w:p>
        </w:tc>
        <w:tc>
          <w:tcPr>
            <w:tcW w:w="804" w:type="dxa"/>
            <w:vAlign w:val="center"/>
          </w:tcPr>
          <w:p w:rsidR="005B746F" w:rsidRPr="003F7D48" w:rsidRDefault="005B746F" w:rsidP="004B634B">
            <w:pPr>
              <w:pStyle w:val="TableBodyText"/>
            </w:pPr>
            <w:r w:rsidRPr="003F7D48">
              <w:t xml:space="preserve">416.9 </w:t>
            </w:r>
            <w:r w:rsidRPr="003F7D48">
              <w:br/>
              <w:t>± 3.1</w:t>
            </w:r>
          </w:p>
        </w:tc>
      </w:tr>
      <w:tr w:rsidR="005B746F" w:rsidRPr="003F7D48" w:rsidTr="004B634B">
        <w:tc>
          <w:tcPr>
            <w:tcW w:w="1560" w:type="dxa"/>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2012 Year 7</w:t>
            </w:r>
          </w:p>
        </w:tc>
        <w:tc>
          <w:tcPr>
            <w:tcW w:w="803" w:type="dxa"/>
            <w:vAlign w:val="center"/>
          </w:tcPr>
          <w:p w:rsidR="005B746F" w:rsidRPr="003F7D48" w:rsidRDefault="005B746F" w:rsidP="004B634B">
            <w:pPr>
              <w:pStyle w:val="TableBodyText"/>
            </w:pPr>
            <w:r w:rsidRPr="003F7D48">
              <w:t xml:space="preserve">477.4 </w:t>
            </w:r>
            <w:r w:rsidRPr="003F7D48">
              <w:br/>
              <w:t>± 3.2</w:t>
            </w:r>
          </w:p>
        </w:tc>
        <w:tc>
          <w:tcPr>
            <w:tcW w:w="803" w:type="dxa"/>
            <w:vAlign w:val="center"/>
          </w:tcPr>
          <w:p w:rsidR="005B746F" w:rsidRPr="003F7D48" w:rsidRDefault="005B746F" w:rsidP="004B634B">
            <w:pPr>
              <w:pStyle w:val="TableBodyText"/>
            </w:pPr>
            <w:r w:rsidRPr="003F7D48">
              <w:t xml:space="preserve">494.6 </w:t>
            </w:r>
            <w:r w:rsidRPr="003F7D48">
              <w:br/>
              <w:t>± 5.2</w:t>
            </w:r>
          </w:p>
        </w:tc>
        <w:tc>
          <w:tcPr>
            <w:tcW w:w="804" w:type="dxa"/>
            <w:vAlign w:val="center"/>
          </w:tcPr>
          <w:p w:rsidR="005B746F" w:rsidRPr="003F7D48" w:rsidRDefault="005B746F" w:rsidP="004B634B">
            <w:pPr>
              <w:pStyle w:val="TableBodyText"/>
            </w:pPr>
            <w:r w:rsidRPr="003F7D48">
              <w:t xml:space="preserve">475.9 </w:t>
            </w:r>
            <w:r w:rsidRPr="003F7D48">
              <w:br/>
              <w:t>± 3.7</w:t>
            </w:r>
          </w:p>
        </w:tc>
        <w:tc>
          <w:tcPr>
            <w:tcW w:w="803" w:type="dxa"/>
            <w:vAlign w:val="center"/>
          </w:tcPr>
          <w:p w:rsidR="005B746F" w:rsidRPr="003F7D48" w:rsidRDefault="005B746F" w:rsidP="004B634B">
            <w:pPr>
              <w:pStyle w:val="TableBodyText"/>
            </w:pPr>
            <w:r w:rsidRPr="003F7D48">
              <w:t xml:space="preserve">461.0 </w:t>
            </w:r>
            <w:r w:rsidRPr="003F7D48">
              <w:br/>
              <w:t>± 5.0</w:t>
            </w:r>
          </w:p>
        </w:tc>
        <w:tc>
          <w:tcPr>
            <w:tcW w:w="803" w:type="dxa"/>
            <w:vAlign w:val="center"/>
          </w:tcPr>
          <w:p w:rsidR="005B746F" w:rsidRPr="003F7D48" w:rsidRDefault="005B746F" w:rsidP="004B634B">
            <w:pPr>
              <w:pStyle w:val="TableBodyText"/>
            </w:pPr>
            <w:r w:rsidRPr="003F7D48">
              <w:t xml:space="preserve">464.8 </w:t>
            </w:r>
            <w:r w:rsidRPr="003F7D48">
              <w:br/>
              <w:t>± 6.3</w:t>
            </w:r>
          </w:p>
        </w:tc>
        <w:tc>
          <w:tcPr>
            <w:tcW w:w="804" w:type="dxa"/>
            <w:vAlign w:val="center"/>
          </w:tcPr>
          <w:p w:rsidR="005B746F" w:rsidRPr="003F7D48" w:rsidRDefault="005B746F" w:rsidP="004B634B">
            <w:pPr>
              <w:pStyle w:val="TableBodyText"/>
            </w:pPr>
            <w:r w:rsidRPr="003F7D48">
              <w:t xml:space="preserve">491.0 </w:t>
            </w:r>
            <w:r w:rsidRPr="003F7D48">
              <w:br/>
              <w:t>± 7.3</w:t>
            </w:r>
          </w:p>
        </w:tc>
        <w:tc>
          <w:tcPr>
            <w:tcW w:w="803" w:type="dxa"/>
            <w:vAlign w:val="center"/>
          </w:tcPr>
          <w:p w:rsidR="005B746F" w:rsidRPr="003F7D48" w:rsidRDefault="005B746F" w:rsidP="004B634B">
            <w:pPr>
              <w:pStyle w:val="TableBodyText"/>
            </w:pPr>
            <w:r w:rsidRPr="003F7D48">
              <w:t xml:space="preserve">493.1 </w:t>
            </w:r>
            <w:r w:rsidRPr="003F7D48">
              <w:br/>
              <w:t>± 12.2</w:t>
            </w:r>
          </w:p>
        </w:tc>
        <w:tc>
          <w:tcPr>
            <w:tcW w:w="803" w:type="dxa"/>
            <w:vAlign w:val="center"/>
          </w:tcPr>
          <w:p w:rsidR="005B746F" w:rsidRPr="003F7D48" w:rsidRDefault="005B746F" w:rsidP="004B634B">
            <w:pPr>
              <w:pStyle w:val="TableBodyText"/>
            </w:pPr>
            <w:r w:rsidRPr="003F7D48">
              <w:t xml:space="preserve">410.1 </w:t>
            </w:r>
            <w:r w:rsidRPr="003F7D48">
              <w:br/>
              <w:t>± 15.0</w:t>
            </w:r>
          </w:p>
        </w:tc>
        <w:tc>
          <w:tcPr>
            <w:tcW w:w="804" w:type="dxa"/>
            <w:vAlign w:val="center"/>
          </w:tcPr>
          <w:p w:rsidR="005B746F" w:rsidRPr="003F7D48" w:rsidRDefault="005B746F" w:rsidP="004B634B">
            <w:pPr>
              <w:pStyle w:val="TableBodyText"/>
            </w:pPr>
            <w:r w:rsidRPr="003F7D48">
              <w:t xml:space="preserve">469.4 </w:t>
            </w:r>
            <w:r w:rsidRPr="003F7D48">
              <w:br/>
              <w:t>± 2.6</w:t>
            </w:r>
          </w:p>
        </w:tc>
      </w:tr>
      <w:tr w:rsidR="005B746F" w:rsidRPr="003F7D48" w:rsidTr="004B634B">
        <w:tc>
          <w:tcPr>
            <w:tcW w:w="1560" w:type="dxa"/>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Gain 2008-2010</w:t>
            </w:r>
          </w:p>
        </w:tc>
        <w:tc>
          <w:tcPr>
            <w:tcW w:w="803" w:type="dxa"/>
            <w:vAlign w:val="center"/>
          </w:tcPr>
          <w:p w:rsidR="005B746F" w:rsidRPr="003F7D48" w:rsidRDefault="005B746F" w:rsidP="004B634B">
            <w:pPr>
              <w:pStyle w:val="TableBodyText"/>
            </w:pPr>
            <w:r w:rsidRPr="003F7D48">
              <w:t xml:space="preserve">85.5 </w:t>
            </w:r>
            <w:r w:rsidRPr="003F7D48">
              <w:br/>
              <w:t>± 9.2</w:t>
            </w:r>
          </w:p>
        </w:tc>
        <w:tc>
          <w:tcPr>
            <w:tcW w:w="803" w:type="dxa"/>
            <w:vAlign w:val="center"/>
          </w:tcPr>
          <w:p w:rsidR="005B746F" w:rsidRPr="003F7D48" w:rsidRDefault="005B746F" w:rsidP="004B634B">
            <w:pPr>
              <w:pStyle w:val="TableBodyText"/>
            </w:pPr>
            <w:r w:rsidRPr="003F7D48">
              <w:t xml:space="preserve">80.1 </w:t>
            </w:r>
            <w:r w:rsidRPr="003F7D48">
              <w:br/>
              <w:t>± 11.4</w:t>
            </w:r>
          </w:p>
        </w:tc>
        <w:tc>
          <w:tcPr>
            <w:tcW w:w="804" w:type="dxa"/>
            <w:vAlign w:val="center"/>
          </w:tcPr>
          <w:p w:rsidR="005B746F" w:rsidRPr="003F7D48" w:rsidRDefault="005B746F" w:rsidP="004B634B">
            <w:pPr>
              <w:pStyle w:val="TableBodyText"/>
            </w:pPr>
            <w:r w:rsidRPr="003F7D48">
              <w:t xml:space="preserve">103.3 </w:t>
            </w:r>
            <w:r w:rsidRPr="003F7D48">
              <w:br/>
              <w:t>± 11.3</w:t>
            </w:r>
          </w:p>
        </w:tc>
        <w:tc>
          <w:tcPr>
            <w:tcW w:w="803" w:type="dxa"/>
            <w:vAlign w:val="center"/>
          </w:tcPr>
          <w:p w:rsidR="005B746F" w:rsidRPr="003F7D48" w:rsidRDefault="005B746F" w:rsidP="004B634B">
            <w:pPr>
              <w:pStyle w:val="TableBodyText"/>
            </w:pPr>
            <w:r w:rsidRPr="003F7D48">
              <w:t xml:space="preserve">84.1 </w:t>
            </w:r>
            <w:r w:rsidRPr="003F7D48">
              <w:br/>
              <w:t>± 11.3</w:t>
            </w:r>
          </w:p>
        </w:tc>
        <w:tc>
          <w:tcPr>
            <w:tcW w:w="803" w:type="dxa"/>
            <w:vAlign w:val="center"/>
          </w:tcPr>
          <w:p w:rsidR="005B746F" w:rsidRPr="003F7D48" w:rsidRDefault="005B746F" w:rsidP="004B634B">
            <w:pPr>
              <w:pStyle w:val="TableBodyText"/>
            </w:pPr>
            <w:r w:rsidRPr="003F7D48">
              <w:t xml:space="preserve">76.2 </w:t>
            </w:r>
            <w:r w:rsidRPr="003F7D48">
              <w:br/>
              <w:t>± 12.4</w:t>
            </w:r>
          </w:p>
        </w:tc>
        <w:tc>
          <w:tcPr>
            <w:tcW w:w="804" w:type="dxa"/>
            <w:vAlign w:val="center"/>
          </w:tcPr>
          <w:p w:rsidR="005B746F" w:rsidRPr="003F7D48" w:rsidRDefault="005B746F" w:rsidP="004B634B">
            <w:pPr>
              <w:pStyle w:val="TableBodyText"/>
            </w:pPr>
            <w:r w:rsidRPr="003F7D48">
              <w:t xml:space="preserve">72.9 </w:t>
            </w:r>
            <w:r w:rsidRPr="003F7D48">
              <w:br/>
              <w:t>± 14.1</w:t>
            </w:r>
          </w:p>
        </w:tc>
        <w:tc>
          <w:tcPr>
            <w:tcW w:w="803" w:type="dxa"/>
            <w:vAlign w:val="center"/>
          </w:tcPr>
          <w:p w:rsidR="005B746F" w:rsidRPr="003F7D48" w:rsidRDefault="005B746F" w:rsidP="004B634B">
            <w:pPr>
              <w:pStyle w:val="TableBodyText"/>
            </w:pPr>
            <w:r w:rsidRPr="003F7D48">
              <w:t xml:space="preserve">79.6 </w:t>
            </w:r>
            <w:r w:rsidRPr="003F7D48">
              <w:br/>
              <w:t>± 22.1</w:t>
            </w:r>
          </w:p>
        </w:tc>
        <w:tc>
          <w:tcPr>
            <w:tcW w:w="803" w:type="dxa"/>
            <w:vAlign w:val="center"/>
          </w:tcPr>
          <w:p w:rsidR="005B746F" w:rsidRPr="003F7D48" w:rsidRDefault="005B746F" w:rsidP="004B634B">
            <w:pPr>
              <w:pStyle w:val="TableBodyText"/>
            </w:pPr>
            <w:r w:rsidRPr="003F7D48">
              <w:t xml:space="preserve">76.6 </w:t>
            </w:r>
            <w:r w:rsidRPr="003F7D48">
              <w:br/>
              <w:t>± 18.9</w:t>
            </w:r>
          </w:p>
        </w:tc>
        <w:tc>
          <w:tcPr>
            <w:tcW w:w="804" w:type="dxa"/>
            <w:vAlign w:val="center"/>
          </w:tcPr>
          <w:p w:rsidR="005B746F" w:rsidRPr="003F7D48" w:rsidRDefault="005B746F" w:rsidP="004B634B">
            <w:pPr>
              <w:pStyle w:val="TableBodyText"/>
            </w:pPr>
            <w:r w:rsidRPr="003F7D48">
              <w:t xml:space="preserve">89.3 </w:t>
            </w:r>
            <w:r w:rsidRPr="003F7D48">
              <w:br/>
              <w:t>± 9.3</w:t>
            </w:r>
          </w:p>
        </w:tc>
      </w:tr>
      <w:tr w:rsidR="005B746F" w:rsidRPr="003F7D48" w:rsidTr="004B634B">
        <w:tc>
          <w:tcPr>
            <w:tcW w:w="1560" w:type="dxa"/>
          </w:tcPr>
          <w:p w:rsidR="005B746F" w:rsidRPr="003F7D48" w:rsidRDefault="005B746F" w:rsidP="004B634B">
            <w:pPr>
              <w:keepNext/>
              <w:keepLines/>
              <w:spacing w:line="220" w:lineRule="atLeast"/>
              <w:ind w:right="113"/>
              <w:rPr>
                <w:rFonts w:ascii="Arial" w:hAnsi="Arial"/>
                <w:sz w:val="20"/>
                <w:szCs w:val="20"/>
              </w:rPr>
            </w:pPr>
            <w:r w:rsidRPr="003F7D48">
              <w:rPr>
                <w:rFonts w:ascii="Arial" w:hAnsi="Arial"/>
                <w:sz w:val="20"/>
                <w:szCs w:val="20"/>
              </w:rPr>
              <w:t>Gain 2010-2012</w:t>
            </w:r>
          </w:p>
        </w:tc>
        <w:tc>
          <w:tcPr>
            <w:tcW w:w="803" w:type="dxa"/>
            <w:vAlign w:val="center"/>
          </w:tcPr>
          <w:p w:rsidR="005B746F" w:rsidRPr="003F7D48" w:rsidRDefault="005B746F" w:rsidP="004B634B">
            <w:pPr>
              <w:pStyle w:val="TableBodyText"/>
              <w:spacing w:after="0"/>
            </w:pPr>
            <w:r w:rsidRPr="003F7D48">
              <w:t xml:space="preserve">41.6 </w:t>
            </w:r>
            <w:r w:rsidRPr="003F7D48">
              <w:br/>
              <w:t>± 7.2</w:t>
            </w:r>
          </w:p>
        </w:tc>
        <w:tc>
          <w:tcPr>
            <w:tcW w:w="803" w:type="dxa"/>
            <w:vAlign w:val="center"/>
          </w:tcPr>
          <w:p w:rsidR="005B746F" w:rsidRPr="003F7D48" w:rsidRDefault="005B746F" w:rsidP="004B634B">
            <w:pPr>
              <w:pStyle w:val="TableBodyText"/>
              <w:spacing w:after="0"/>
            </w:pPr>
            <w:r w:rsidRPr="003F7D48">
              <w:t xml:space="preserve">37.6 </w:t>
            </w:r>
            <w:r w:rsidRPr="003F7D48">
              <w:br/>
              <w:t>± 9.7</w:t>
            </w:r>
          </w:p>
        </w:tc>
        <w:tc>
          <w:tcPr>
            <w:tcW w:w="804" w:type="dxa"/>
            <w:vAlign w:val="center"/>
          </w:tcPr>
          <w:p w:rsidR="005B746F" w:rsidRPr="003F7D48" w:rsidRDefault="005B746F" w:rsidP="004B634B">
            <w:pPr>
              <w:pStyle w:val="TableBodyText"/>
              <w:spacing w:after="0"/>
            </w:pPr>
            <w:r w:rsidRPr="003F7D48">
              <w:t xml:space="preserve">56.4 </w:t>
            </w:r>
            <w:r w:rsidRPr="003F7D48">
              <w:br/>
              <w:t>± 8.2</w:t>
            </w:r>
          </w:p>
        </w:tc>
        <w:tc>
          <w:tcPr>
            <w:tcW w:w="803" w:type="dxa"/>
            <w:vAlign w:val="center"/>
          </w:tcPr>
          <w:p w:rsidR="005B746F" w:rsidRPr="003F7D48" w:rsidRDefault="005B746F" w:rsidP="004B634B">
            <w:pPr>
              <w:pStyle w:val="TableBodyText"/>
              <w:spacing w:after="0"/>
            </w:pPr>
            <w:r w:rsidRPr="003F7D48">
              <w:t xml:space="preserve">63.0 </w:t>
            </w:r>
            <w:r w:rsidRPr="003F7D48">
              <w:br/>
              <w:t>± 9.7</w:t>
            </w:r>
          </w:p>
        </w:tc>
        <w:tc>
          <w:tcPr>
            <w:tcW w:w="803" w:type="dxa"/>
            <w:vAlign w:val="center"/>
          </w:tcPr>
          <w:p w:rsidR="005B746F" w:rsidRPr="003F7D48" w:rsidRDefault="005B746F" w:rsidP="004B634B">
            <w:pPr>
              <w:pStyle w:val="TableBodyText"/>
              <w:spacing w:after="0"/>
            </w:pPr>
            <w:r w:rsidRPr="003F7D48">
              <w:t xml:space="preserve">57.9 </w:t>
            </w:r>
            <w:r w:rsidRPr="003F7D48">
              <w:br/>
              <w:t>± 10.9</w:t>
            </w:r>
          </w:p>
        </w:tc>
        <w:tc>
          <w:tcPr>
            <w:tcW w:w="804" w:type="dxa"/>
            <w:vAlign w:val="center"/>
          </w:tcPr>
          <w:p w:rsidR="005B746F" w:rsidRPr="003F7D48" w:rsidRDefault="005B746F" w:rsidP="004B634B">
            <w:pPr>
              <w:pStyle w:val="TableBodyText"/>
              <w:spacing w:after="0"/>
            </w:pPr>
            <w:r w:rsidRPr="003F7D48">
              <w:t xml:space="preserve">41.0 </w:t>
            </w:r>
            <w:r w:rsidRPr="003F7D48">
              <w:br/>
              <w:t>± 12.3</w:t>
            </w:r>
          </w:p>
        </w:tc>
        <w:tc>
          <w:tcPr>
            <w:tcW w:w="803" w:type="dxa"/>
            <w:vAlign w:val="center"/>
          </w:tcPr>
          <w:p w:rsidR="005B746F" w:rsidRPr="003F7D48" w:rsidRDefault="005B746F" w:rsidP="004B634B">
            <w:pPr>
              <w:pStyle w:val="TableBodyText"/>
              <w:spacing w:after="0"/>
            </w:pPr>
            <w:r w:rsidRPr="003F7D48">
              <w:t xml:space="preserve">58.4 </w:t>
            </w:r>
            <w:r w:rsidRPr="003F7D48">
              <w:br/>
              <w:t>± 18.6</w:t>
            </w:r>
          </w:p>
        </w:tc>
        <w:tc>
          <w:tcPr>
            <w:tcW w:w="803" w:type="dxa"/>
            <w:vAlign w:val="center"/>
          </w:tcPr>
          <w:p w:rsidR="005B746F" w:rsidRPr="003F7D48" w:rsidRDefault="005B746F" w:rsidP="004B634B">
            <w:pPr>
              <w:pStyle w:val="TableBodyText"/>
              <w:spacing w:after="0"/>
            </w:pPr>
            <w:r w:rsidRPr="003F7D48">
              <w:t xml:space="preserve">58.5 </w:t>
            </w:r>
            <w:r w:rsidRPr="003F7D48">
              <w:br/>
              <w:t>± 20.6</w:t>
            </w:r>
          </w:p>
        </w:tc>
        <w:tc>
          <w:tcPr>
            <w:tcW w:w="804" w:type="dxa"/>
            <w:vAlign w:val="center"/>
          </w:tcPr>
          <w:p w:rsidR="005B746F" w:rsidRPr="003F7D48" w:rsidRDefault="005B746F" w:rsidP="004B634B">
            <w:pPr>
              <w:pStyle w:val="TableBodyText"/>
              <w:spacing w:after="0"/>
            </w:pPr>
            <w:r w:rsidRPr="003F7D48">
              <w:t xml:space="preserve">52.5 </w:t>
            </w:r>
            <w:r w:rsidRPr="003F7D48">
              <w:br/>
              <w:t>± 7.1</w:t>
            </w:r>
          </w:p>
        </w:tc>
      </w:tr>
      <w:tr w:rsidR="005B746F" w:rsidRPr="003F7D48" w:rsidTr="004B634B">
        <w:tc>
          <w:tcPr>
            <w:tcW w:w="8790" w:type="dxa"/>
            <w:gridSpan w:val="10"/>
          </w:tcPr>
          <w:p w:rsidR="005B746F" w:rsidRPr="003F7D48" w:rsidRDefault="005B746F" w:rsidP="004B634B">
            <w:pPr>
              <w:pStyle w:val="TableBodyText"/>
              <w:spacing w:before="80"/>
              <w:jc w:val="left"/>
              <w:rPr>
                <w:b/>
              </w:rPr>
            </w:pPr>
            <w:r w:rsidRPr="003F7D48">
              <w:rPr>
                <w:b/>
              </w:rPr>
              <w:t>Non-Indigenous students</w:t>
            </w:r>
          </w:p>
        </w:tc>
      </w:tr>
      <w:tr w:rsidR="005B746F" w:rsidRPr="003F7D48" w:rsidTr="004B634B">
        <w:tc>
          <w:tcPr>
            <w:tcW w:w="1560" w:type="dxa"/>
          </w:tcPr>
          <w:p w:rsidR="005B746F" w:rsidRPr="003F7D48" w:rsidRDefault="005B746F" w:rsidP="004B634B">
            <w:pPr>
              <w:keepNext/>
              <w:keepLines/>
              <w:spacing w:after="40" w:line="220" w:lineRule="atLeast"/>
              <w:ind w:left="6" w:right="113"/>
              <w:rPr>
                <w:rFonts w:ascii="Arial" w:hAnsi="Arial"/>
                <w:sz w:val="20"/>
                <w:szCs w:val="20"/>
              </w:rPr>
            </w:pPr>
            <w:r w:rsidRPr="003F7D48">
              <w:rPr>
                <w:rFonts w:ascii="Arial" w:hAnsi="Arial"/>
                <w:sz w:val="20"/>
                <w:szCs w:val="20"/>
              </w:rPr>
              <w:t>2008 Year 3</w:t>
            </w:r>
          </w:p>
        </w:tc>
        <w:tc>
          <w:tcPr>
            <w:tcW w:w="803" w:type="dxa"/>
            <w:vAlign w:val="center"/>
          </w:tcPr>
          <w:p w:rsidR="005B746F" w:rsidRPr="003F7D48" w:rsidRDefault="005B746F" w:rsidP="004B634B">
            <w:pPr>
              <w:pStyle w:val="TableBodyText"/>
            </w:pPr>
            <w:r w:rsidRPr="003F7D48">
              <w:t xml:space="preserve">411.3 </w:t>
            </w:r>
            <w:r w:rsidRPr="003F7D48">
              <w:br/>
              <w:t>± 1.6</w:t>
            </w:r>
          </w:p>
        </w:tc>
        <w:tc>
          <w:tcPr>
            <w:tcW w:w="803" w:type="dxa"/>
            <w:vAlign w:val="center"/>
          </w:tcPr>
          <w:p w:rsidR="005B746F" w:rsidRPr="003F7D48" w:rsidRDefault="005B746F" w:rsidP="004B634B">
            <w:pPr>
              <w:pStyle w:val="TableBodyText"/>
            </w:pPr>
            <w:r w:rsidRPr="003F7D48">
              <w:t xml:space="preserve">417.5 </w:t>
            </w:r>
            <w:r w:rsidRPr="003F7D48">
              <w:br/>
              <w:t>± 1.4</w:t>
            </w:r>
          </w:p>
        </w:tc>
        <w:tc>
          <w:tcPr>
            <w:tcW w:w="804" w:type="dxa"/>
            <w:vAlign w:val="center"/>
          </w:tcPr>
          <w:p w:rsidR="005B746F" w:rsidRPr="003F7D48" w:rsidRDefault="005B746F" w:rsidP="004B634B">
            <w:pPr>
              <w:pStyle w:val="TableBodyText"/>
            </w:pPr>
            <w:r w:rsidRPr="003F7D48">
              <w:t xml:space="preserve">371.9 </w:t>
            </w:r>
            <w:r w:rsidRPr="003F7D48">
              <w:br/>
              <w:t>± 2.1</w:t>
            </w:r>
          </w:p>
        </w:tc>
        <w:tc>
          <w:tcPr>
            <w:tcW w:w="803" w:type="dxa"/>
            <w:vAlign w:val="center"/>
          </w:tcPr>
          <w:p w:rsidR="005B746F" w:rsidRPr="003F7D48" w:rsidRDefault="005B746F" w:rsidP="004B634B">
            <w:pPr>
              <w:pStyle w:val="TableBodyText"/>
            </w:pPr>
            <w:r w:rsidRPr="003F7D48">
              <w:t xml:space="preserve">387.4 </w:t>
            </w:r>
            <w:r w:rsidRPr="003F7D48">
              <w:br/>
              <w:t>± 2.2</w:t>
            </w:r>
          </w:p>
        </w:tc>
        <w:tc>
          <w:tcPr>
            <w:tcW w:w="803" w:type="dxa"/>
            <w:vAlign w:val="center"/>
          </w:tcPr>
          <w:p w:rsidR="005B746F" w:rsidRPr="003F7D48" w:rsidRDefault="005B746F" w:rsidP="004B634B">
            <w:pPr>
              <w:pStyle w:val="TableBodyText"/>
            </w:pPr>
            <w:r w:rsidRPr="003F7D48">
              <w:t xml:space="preserve">391.7 </w:t>
            </w:r>
            <w:r w:rsidRPr="003F7D48">
              <w:br/>
              <w:t>± 2.5</w:t>
            </w:r>
          </w:p>
        </w:tc>
        <w:tc>
          <w:tcPr>
            <w:tcW w:w="804" w:type="dxa"/>
            <w:vAlign w:val="center"/>
          </w:tcPr>
          <w:p w:rsidR="005B746F" w:rsidRPr="003F7D48" w:rsidRDefault="005B746F" w:rsidP="004B634B">
            <w:pPr>
              <w:pStyle w:val="TableBodyText"/>
            </w:pPr>
            <w:r w:rsidRPr="003F7D48">
              <w:t xml:space="preserve">401.6 </w:t>
            </w:r>
            <w:r w:rsidRPr="003F7D48">
              <w:br/>
              <w:t>± 4.5</w:t>
            </w:r>
          </w:p>
        </w:tc>
        <w:tc>
          <w:tcPr>
            <w:tcW w:w="803" w:type="dxa"/>
            <w:vAlign w:val="center"/>
          </w:tcPr>
          <w:p w:rsidR="005B746F" w:rsidRPr="003F7D48" w:rsidRDefault="005B746F" w:rsidP="004B634B">
            <w:pPr>
              <w:pStyle w:val="TableBodyText"/>
            </w:pPr>
            <w:r w:rsidRPr="003F7D48">
              <w:t xml:space="preserve">413.1 </w:t>
            </w:r>
            <w:r w:rsidRPr="003F7D48">
              <w:br/>
              <w:t>± 5.0</w:t>
            </w:r>
          </w:p>
        </w:tc>
        <w:tc>
          <w:tcPr>
            <w:tcW w:w="803" w:type="dxa"/>
            <w:vAlign w:val="center"/>
          </w:tcPr>
          <w:p w:rsidR="005B746F" w:rsidRPr="003F7D48" w:rsidRDefault="005B746F" w:rsidP="004B634B">
            <w:pPr>
              <w:pStyle w:val="TableBodyText"/>
            </w:pPr>
            <w:r w:rsidRPr="003F7D48">
              <w:t xml:space="preserve">386.9 </w:t>
            </w:r>
            <w:r w:rsidRPr="003F7D48">
              <w:br/>
              <w:t>± 5.9</w:t>
            </w:r>
          </w:p>
        </w:tc>
        <w:tc>
          <w:tcPr>
            <w:tcW w:w="804" w:type="dxa"/>
            <w:vAlign w:val="center"/>
          </w:tcPr>
          <w:p w:rsidR="005B746F" w:rsidRPr="003F7D48" w:rsidRDefault="005B746F" w:rsidP="004B634B">
            <w:pPr>
              <w:pStyle w:val="TableBodyText"/>
            </w:pPr>
            <w:r w:rsidRPr="003F7D48">
              <w:t xml:space="preserve">400.5 </w:t>
            </w:r>
            <w:r w:rsidRPr="003F7D48">
              <w:br/>
              <w:t>± 1.0</w:t>
            </w:r>
          </w:p>
        </w:tc>
      </w:tr>
      <w:tr w:rsidR="005B746F" w:rsidRPr="003F7D48" w:rsidTr="004B634B">
        <w:tc>
          <w:tcPr>
            <w:tcW w:w="1560" w:type="dxa"/>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2010 Year 5</w:t>
            </w:r>
          </w:p>
        </w:tc>
        <w:tc>
          <w:tcPr>
            <w:tcW w:w="803" w:type="dxa"/>
            <w:vAlign w:val="center"/>
          </w:tcPr>
          <w:p w:rsidR="005B746F" w:rsidRPr="003F7D48" w:rsidRDefault="005B746F" w:rsidP="004B634B">
            <w:pPr>
              <w:pStyle w:val="TableBodyText"/>
            </w:pPr>
            <w:r w:rsidRPr="003F7D48">
              <w:t xml:space="preserve">501.0 </w:t>
            </w:r>
            <w:r w:rsidRPr="003F7D48">
              <w:br/>
              <w:t>± 1.9</w:t>
            </w:r>
          </w:p>
        </w:tc>
        <w:tc>
          <w:tcPr>
            <w:tcW w:w="803" w:type="dxa"/>
            <w:vAlign w:val="center"/>
          </w:tcPr>
          <w:p w:rsidR="005B746F" w:rsidRPr="003F7D48" w:rsidRDefault="005B746F" w:rsidP="004B634B">
            <w:pPr>
              <w:pStyle w:val="TableBodyText"/>
            </w:pPr>
            <w:r w:rsidRPr="003F7D48">
              <w:t xml:space="preserve">503.2 </w:t>
            </w:r>
            <w:r w:rsidRPr="003F7D48">
              <w:br/>
              <w:t>± 1.6</w:t>
            </w:r>
          </w:p>
        </w:tc>
        <w:tc>
          <w:tcPr>
            <w:tcW w:w="804" w:type="dxa"/>
            <w:vAlign w:val="center"/>
          </w:tcPr>
          <w:p w:rsidR="005B746F" w:rsidRPr="003F7D48" w:rsidRDefault="005B746F" w:rsidP="004B634B">
            <w:pPr>
              <w:pStyle w:val="TableBodyText"/>
            </w:pPr>
            <w:r w:rsidRPr="003F7D48">
              <w:t xml:space="preserve">478.5 </w:t>
            </w:r>
            <w:r w:rsidRPr="003F7D48">
              <w:br/>
              <w:t>± 1.8</w:t>
            </w:r>
          </w:p>
        </w:tc>
        <w:tc>
          <w:tcPr>
            <w:tcW w:w="803" w:type="dxa"/>
            <w:vAlign w:val="center"/>
          </w:tcPr>
          <w:p w:rsidR="005B746F" w:rsidRPr="003F7D48" w:rsidRDefault="005B746F" w:rsidP="004B634B">
            <w:pPr>
              <w:pStyle w:val="TableBodyText"/>
            </w:pPr>
            <w:r w:rsidRPr="003F7D48">
              <w:t xml:space="preserve">483.0 </w:t>
            </w:r>
            <w:r w:rsidRPr="003F7D48">
              <w:br/>
              <w:t>± 2.4</w:t>
            </w:r>
          </w:p>
        </w:tc>
        <w:tc>
          <w:tcPr>
            <w:tcW w:w="803" w:type="dxa"/>
            <w:vAlign w:val="center"/>
          </w:tcPr>
          <w:p w:rsidR="005B746F" w:rsidRPr="003F7D48" w:rsidRDefault="005B746F" w:rsidP="004B634B">
            <w:pPr>
              <w:pStyle w:val="TableBodyText"/>
            </w:pPr>
            <w:r w:rsidRPr="003F7D48">
              <w:t xml:space="preserve">475.2 </w:t>
            </w:r>
            <w:r w:rsidRPr="003F7D48">
              <w:br/>
              <w:t>± 2.7</w:t>
            </w:r>
          </w:p>
        </w:tc>
        <w:tc>
          <w:tcPr>
            <w:tcW w:w="804" w:type="dxa"/>
            <w:vAlign w:val="center"/>
          </w:tcPr>
          <w:p w:rsidR="005B746F" w:rsidRPr="003F7D48" w:rsidRDefault="005B746F" w:rsidP="004B634B">
            <w:pPr>
              <w:pStyle w:val="TableBodyText"/>
            </w:pPr>
            <w:r w:rsidRPr="003F7D48">
              <w:t xml:space="preserve">482.8 </w:t>
            </w:r>
            <w:r w:rsidRPr="003F7D48">
              <w:br/>
              <w:t>± 4.6</w:t>
            </w:r>
          </w:p>
        </w:tc>
        <w:tc>
          <w:tcPr>
            <w:tcW w:w="803" w:type="dxa"/>
            <w:vAlign w:val="center"/>
          </w:tcPr>
          <w:p w:rsidR="005B746F" w:rsidRPr="003F7D48" w:rsidRDefault="005B746F" w:rsidP="004B634B">
            <w:pPr>
              <w:pStyle w:val="TableBodyText"/>
            </w:pPr>
            <w:r w:rsidRPr="003F7D48">
              <w:t xml:space="preserve">500.2 </w:t>
            </w:r>
            <w:r w:rsidRPr="003F7D48">
              <w:br/>
              <w:t>± 5.0</w:t>
            </w:r>
          </w:p>
        </w:tc>
        <w:tc>
          <w:tcPr>
            <w:tcW w:w="803" w:type="dxa"/>
            <w:vAlign w:val="center"/>
          </w:tcPr>
          <w:p w:rsidR="005B746F" w:rsidRPr="003F7D48" w:rsidRDefault="005B746F" w:rsidP="004B634B">
            <w:pPr>
              <w:pStyle w:val="TableBodyText"/>
            </w:pPr>
            <w:r w:rsidRPr="003F7D48">
              <w:t xml:space="preserve">472.7 </w:t>
            </w:r>
            <w:r w:rsidRPr="003F7D48">
              <w:br/>
              <w:t>± 5.0</w:t>
            </w:r>
          </w:p>
        </w:tc>
        <w:tc>
          <w:tcPr>
            <w:tcW w:w="804" w:type="dxa"/>
            <w:vAlign w:val="center"/>
          </w:tcPr>
          <w:p w:rsidR="005B746F" w:rsidRPr="003F7D48" w:rsidRDefault="005B746F" w:rsidP="004B634B">
            <w:pPr>
              <w:pStyle w:val="TableBodyText"/>
            </w:pPr>
            <w:r w:rsidRPr="003F7D48">
              <w:t xml:space="preserve">492.6 </w:t>
            </w:r>
            <w:r w:rsidRPr="003F7D48">
              <w:br/>
              <w:t>± 1.0</w:t>
            </w:r>
          </w:p>
        </w:tc>
      </w:tr>
      <w:tr w:rsidR="005B746F" w:rsidRPr="003F7D48" w:rsidTr="004B634B">
        <w:tc>
          <w:tcPr>
            <w:tcW w:w="1560" w:type="dxa"/>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2012 Year 7</w:t>
            </w:r>
          </w:p>
        </w:tc>
        <w:tc>
          <w:tcPr>
            <w:tcW w:w="803" w:type="dxa"/>
            <w:vAlign w:val="center"/>
          </w:tcPr>
          <w:p w:rsidR="005B746F" w:rsidRPr="003F7D48" w:rsidRDefault="005B746F" w:rsidP="004B634B">
            <w:pPr>
              <w:pStyle w:val="TableBodyText"/>
            </w:pPr>
            <w:r w:rsidRPr="003F7D48">
              <w:t xml:space="preserve">546.6 </w:t>
            </w:r>
            <w:r w:rsidRPr="003F7D48">
              <w:br/>
              <w:t>± 3.8</w:t>
            </w:r>
          </w:p>
        </w:tc>
        <w:tc>
          <w:tcPr>
            <w:tcW w:w="803" w:type="dxa"/>
            <w:vAlign w:val="center"/>
          </w:tcPr>
          <w:p w:rsidR="005B746F" w:rsidRPr="003F7D48" w:rsidRDefault="005B746F" w:rsidP="004B634B">
            <w:pPr>
              <w:pStyle w:val="TableBodyText"/>
            </w:pPr>
            <w:r w:rsidRPr="003F7D48">
              <w:t xml:space="preserve">545.3 </w:t>
            </w:r>
            <w:r w:rsidRPr="003F7D48">
              <w:br/>
              <w:t>± 3.1</w:t>
            </w:r>
          </w:p>
        </w:tc>
        <w:tc>
          <w:tcPr>
            <w:tcW w:w="804" w:type="dxa"/>
            <w:vAlign w:val="center"/>
          </w:tcPr>
          <w:p w:rsidR="005B746F" w:rsidRPr="003F7D48" w:rsidRDefault="005B746F" w:rsidP="004B634B">
            <w:pPr>
              <w:pStyle w:val="TableBodyText"/>
            </w:pPr>
            <w:r w:rsidRPr="003F7D48">
              <w:t xml:space="preserve">536.1 </w:t>
            </w:r>
            <w:r w:rsidRPr="003F7D48">
              <w:br/>
              <w:t>± 2.0</w:t>
            </w:r>
          </w:p>
        </w:tc>
        <w:tc>
          <w:tcPr>
            <w:tcW w:w="803" w:type="dxa"/>
            <w:vAlign w:val="center"/>
          </w:tcPr>
          <w:p w:rsidR="005B746F" w:rsidRPr="003F7D48" w:rsidRDefault="005B746F" w:rsidP="004B634B">
            <w:pPr>
              <w:pStyle w:val="TableBodyText"/>
            </w:pPr>
            <w:r w:rsidRPr="003F7D48">
              <w:t xml:space="preserve">540.3 </w:t>
            </w:r>
            <w:r w:rsidRPr="003F7D48">
              <w:br/>
              <w:t>± 3.2</w:t>
            </w:r>
          </w:p>
        </w:tc>
        <w:tc>
          <w:tcPr>
            <w:tcW w:w="803" w:type="dxa"/>
            <w:vAlign w:val="center"/>
          </w:tcPr>
          <w:p w:rsidR="005B746F" w:rsidRPr="003F7D48" w:rsidRDefault="005B746F" w:rsidP="004B634B">
            <w:pPr>
              <w:pStyle w:val="TableBodyText"/>
            </w:pPr>
            <w:r w:rsidRPr="003F7D48">
              <w:t xml:space="preserve">531.8 </w:t>
            </w:r>
            <w:r w:rsidRPr="003F7D48">
              <w:br/>
              <w:t>± 3.1</w:t>
            </w:r>
          </w:p>
        </w:tc>
        <w:tc>
          <w:tcPr>
            <w:tcW w:w="804" w:type="dxa"/>
            <w:vAlign w:val="center"/>
          </w:tcPr>
          <w:p w:rsidR="005B746F" w:rsidRPr="003F7D48" w:rsidRDefault="005B746F" w:rsidP="004B634B">
            <w:pPr>
              <w:pStyle w:val="TableBodyText"/>
            </w:pPr>
            <w:r w:rsidRPr="003F7D48">
              <w:t xml:space="preserve">528.6 </w:t>
            </w:r>
            <w:r w:rsidRPr="003F7D48">
              <w:br/>
              <w:t>± 6.6</w:t>
            </w:r>
          </w:p>
        </w:tc>
        <w:tc>
          <w:tcPr>
            <w:tcW w:w="803" w:type="dxa"/>
            <w:vAlign w:val="center"/>
          </w:tcPr>
          <w:p w:rsidR="005B746F" w:rsidRPr="003F7D48" w:rsidRDefault="005B746F" w:rsidP="004B634B">
            <w:pPr>
              <w:pStyle w:val="TableBodyText"/>
            </w:pPr>
            <w:r w:rsidRPr="003F7D48">
              <w:t xml:space="preserve">547.2 </w:t>
            </w:r>
            <w:r w:rsidRPr="003F7D48">
              <w:br/>
              <w:t>± 9.7</w:t>
            </w:r>
          </w:p>
        </w:tc>
        <w:tc>
          <w:tcPr>
            <w:tcW w:w="803" w:type="dxa"/>
            <w:vAlign w:val="center"/>
          </w:tcPr>
          <w:p w:rsidR="005B746F" w:rsidRPr="003F7D48" w:rsidRDefault="005B746F" w:rsidP="004B634B">
            <w:pPr>
              <w:pStyle w:val="TableBodyText"/>
            </w:pPr>
            <w:r w:rsidRPr="003F7D48">
              <w:t xml:space="preserve">522.7 </w:t>
            </w:r>
            <w:r w:rsidRPr="003F7D48">
              <w:br/>
              <w:t>± 13.2</w:t>
            </w:r>
          </w:p>
        </w:tc>
        <w:tc>
          <w:tcPr>
            <w:tcW w:w="804" w:type="dxa"/>
            <w:vAlign w:val="center"/>
          </w:tcPr>
          <w:p w:rsidR="005B746F" w:rsidRPr="003F7D48" w:rsidRDefault="005B746F" w:rsidP="004B634B">
            <w:pPr>
              <w:pStyle w:val="TableBodyText"/>
            </w:pPr>
            <w:r w:rsidRPr="003F7D48">
              <w:t xml:space="preserve">541.8 </w:t>
            </w:r>
            <w:r w:rsidRPr="003F7D48">
              <w:br/>
              <w:t>± 1.6</w:t>
            </w:r>
          </w:p>
        </w:tc>
      </w:tr>
      <w:tr w:rsidR="005B746F" w:rsidRPr="003F7D48" w:rsidTr="004B634B">
        <w:tc>
          <w:tcPr>
            <w:tcW w:w="1560" w:type="dxa"/>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Gain 2008-2010</w:t>
            </w:r>
          </w:p>
        </w:tc>
        <w:tc>
          <w:tcPr>
            <w:tcW w:w="803" w:type="dxa"/>
            <w:vAlign w:val="center"/>
          </w:tcPr>
          <w:p w:rsidR="005B746F" w:rsidRPr="003F7D48" w:rsidRDefault="005B746F" w:rsidP="004B634B">
            <w:pPr>
              <w:pStyle w:val="TableBodyText"/>
            </w:pPr>
            <w:r w:rsidRPr="003F7D48">
              <w:t xml:space="preserve">89.7 </w:t>
            </w:r>
            <w:r w:rsidRPr="003F7D48">
              <w:br/>
              <w:t>± 8.5</w:t>
            </w:r>
          </w:p>
        </w:tc>
        <w:tc>
          <w:tcPr>
            <w:tcW w:w="803" w:type="dxa"/>
            <w:vAlign w:val="center"/>
          </w:tcPr>
          <w:p w:rsidR="005B746F" w:rsidRPr="003F7D48" w:rsidRDefault="005B746F" w:rsidP="004B634B">
            <w:pPr>
              <w:pStyle w:val="TableBodyText"/>
            </w:pPr>
            <w:r w:rsidRPr="003F7D48">
              <w:t xml:space="preserve">85.7 </w:t>
            </w:r>
            <w:r w:rsidRPr="003F7D48">
              <w:br/>
              <w:t>± 8.4</w:t>
            </w:r>
          </w:p>
        </w:tc>
        <w:tc>
          <w:tcPr>
            <w:tcW w:w="804" w:type="dxa"/>
            <w:vAlign w:val="center"/>
          </w:tcPr>
          <w:p w:rsidR="005B746F" w:rsidRPr="003F7D48" w:rsidRDefault="005B746F" w:rsidP="004B634B">
            <w:pPr>
              <w:pStyle w:val="TableBodyText"/>
            </w:pPr>
            <w:r w:rsidRPr="003F7D48">
              <w:t xml:space="preserve">106.6 </w:t>
            </w:r>
            <w:r w:rsidRPr="003F7D48">
              <w:br/>
              <w:t>± 8.6</w:t>
            </w:r>
          </w:p>
        </w:tc>
        <w:tc>
          <w:tcPr>
            <w:tcW w:w="803" w:type="dxa"/>
            <w:vAlign w:val="center"/>
          </w:tcPr>
          <w:p w:rsidR="005B746F" w:rsidRPr="003F7D48" w:rsidRDefault="005B746F" w:rsidP="004B634B">
            <w:pPr>
              <w:pStyle w:val="TableBodyText"/>
            </w:pPr>
            <w:r w:rsidRPr="003F7D48">
              <w:t xml:space="preserve">95.6 </w:t>
            </w:r>
            <w:r w:rsidRPr="003F7D48">
              <w:br/>
              <w:t>± 8.8</w:t>
            </w:r>
          </w:p>
        </w:tc>
        <w:tc>
          <w:tcPr>
            <w:tcW w:w="803" w:type="dxa"/>
            <w:vAlign w:val="center"/>
          </w:tcPr>
          <w:p w:rsidR="005B746F" w:rsidRPr="003F7D48" w:rsidRDefault="005B746F" w:rsidP="004B634B">
            <w:pPr>
              <w:pStyle w:val="TableBodyText"/>
            </w:pPr>
            <w:r w:rsidRPr="003F7D48">
              <w:t xml:space="preserve">83.5 </w:t>
            </w:r>
            <w:r w:rsidRPr="003F7D48">
              <w:br/>
              <w:t>± 9.0</w:t>
            </w:r>
          </w:p>
        </w:tc>
        <w:tc>
          <w:tcPr>
            <w:tcW w:w="804" w:type="dxa"/>
            <w:vAlign w:val="center"/>
          </w:tcPr>
          <w:p w:rsidR="005B746F" w:rsidRPr="003F7D48" w:rsidRDefault="005B746F" w:rsidP="004B634B">
            <w:pPr>
              <w:pStyle w:val="TableBodyText"/>
            </w:pPr>
            <w:r w:rsidRPr="003F7D48">
              <w:t xml:space="preserve">81.2 </w:t>
            </w:r>
            <w:r w:rsidRPr="003F7D48">
              <w:br/>
              <w:t>± 10.4</w:t>
            </w:r>
          </w:p>
        </w:tc>
        <w:tc>
          <w:tcPr>
            <w:tcW w:w="803" w:type="dxa"/>
            <w:vAlign w:val="center"/>
          </w:tcPr>
          <w:p w:rsidR="005B746F" w:rsidRPr="003F7D48" w:rsidRDefault="005B746F" w:rsidP="004B634B">
            <w:pPr>
              <w:pStyle w:val="TableBodyText"/>
            </w:pPr>
            <w:r w:rsidRPr="003F7D48">
              <w:t xml:space="preserve">87.1 </w:t>
            </w:r>
            <w:r w:rsidRPr="003F7D48">
              <w:br/>
              <w:t>± 10.7</w:t>
            </w:r>
          </w:p>
        </w:tc>
        <w:tc>
          <w:tcPr>
            <w:tcW w:w="803" w:type="dxa"/>
            <w:vAlign w:val="center"/>
          </w:tcPr>
          <w:p w:rsidR="005B746F" w:rsidRPr="003F7D48" w:rsidRDefault="005B746F" w:rsidP="004B634B">
            <w:pPr>
              <w:pStyle w:val="TableBodyText"/>
            </w:pPr>
            <w:r w:rsidRPr="003F7D48">
              <w:t xml:space="preserve">85.8 </w:t>
            </w:r>
            <w:r w:rsidRPr="003F7D48">
              <w:br/>
              <w:t>± 11.2</w:t>
            </w:r>
          </w:p>
        </w:tc>
        <w:tc>
          <w:tcPr>
            <w:tcW w:w="804" w:type="dxa"/>
            <w:vAlign w:val="center"/>
          </w:tcPr>
          <w:p w:rsidR="005B746F" w:rsidRPr="003F7D48" w:rsidRDefault="005B746F" w:rsidP="004B634B">
            <w:pPr>
              <w:pStyle w:val="TableBodyText"/>
            </w:pPr>
            <w:r w:rsidRPr="003F7D48">
              <w:t xml:space="preserve">92.1 </w:t>
            </w:r>
            <w:r w:rsidRPr="003F7D48">
              <w:br/>
              <w:t>± 8.3</w:t>
            </w:r>
          </w:p>
        </w:tc>
      </w:tr>
      <w:tr w:rsidR="005B746F" w:rsidRPr="003F7D48" w:rsidTr="004B634B">
        <w:tc>
          <w:tcPr>
            <w:tcW w:w="1560" w:type="dxa"/>
          </w:tcPr>
          <w:p w:rsidR="005B746F" w:rsidRPr="003F7D48" w:rsidRDefault="005B746F" w:rsidP="004B634B">
            <w:pPr>
              <w:keepNext/>
              <w:keepLines/>
              <w:spacing w:line="220" w:lineRule="atLeast"/>
              <w:ind w:right="113"/>
              <w:rPr>
                <w:rFonts w:ascii="Arial" w:hAnsi="Arial"/>
                <w:sz w:val="20"/>
                <w:szCs w:val="20"/>
              </w:rPr>
            </w:pPr>
            <w:r w:rsidRPr="003F7D48">
              <w:rPr>
                <w:rFonts w:ascii="Arial" w:hAnsi="Arial"/>
                <w:sz w:val="20"/>
                <w:szCs w:val="20"/>
              </w:rPr>
              <w:t>Gain 2010-2012</w:t>
            </w:r>
          </w:p>
        </w:tc>
        <w:tc>
          <w:tcPr>
            <w:tcW w:w="803" w:type="dxa"/>
            <w:vAlign w:val="center"/>
          </w:tcPr>
          <w:p w:rsidR="005B746F" w:rsidRPr="003F7D48" w:rsidRDefault="005B746F" w:rsidP="004B634B">
            <w:pPr>
              <w:pStyle w:val="TableBodyText"/>
              <w:spacing w:after="0"/>
            </w:pPr>
            <w:r w:rsidRPr="003F7D48">
              <w:t xml:space="preserve">45.6 </w:t>
            </w:r>
            <w:r w:rsidRPr="003F7D48">
              <w:br/>
              <w:t>± 7.2</w:t>
            </w:r>
          </w:p>
        </w:tc>
        <w:tc>
          <w:tcPr>
            <w:tcW w:w="803" w:type="dxa"/>
            <w:vAlign w:val="center"/>
          </w:tcPr>
          <w:p w:rsidR="005B746F" w:rsidRPr="003F7D48" w:rsidRDefault="005B746F" w:rsidP="004B634B">
            <w:pPr>
              <w:pStyle w:val="TableBodyText"/>
              <w:spacing w:after="0"/>
            </w:pPr>
            <w:r w:rsidRPr="003F7D48">
              <w:t xml:space="preserve">42.1 </w:t>
            </w:r>
            <w:r w:rsidRPr="003F7D48">
              <w:br/>
              <w:t>± 6.7</w:t>
            </w:r>
          </w:p>
        </w:tc>
        <w:tc>
          <w:tcPr>
            <w:tcW w:w="804" w:type="dxa"/>
            <w:vAlign w:val="center"/>
          </w:tcPr>
          <w:p w:rsidR="005B746F" w:rsidRPr="003F7D48" w:rsidRDefault="005B746F" w:rsidP="004B634B">
            <w:pPr>
              <w:pStyle w:val="TableBodyText"/>
              <w:spacing w:after="0"/>
            </w:pPr>
            <w:r w:rsidRPr="003F7D48">
              <w:t xml:space="preserve">57.6 </w:t>
            </w:r>
            <w:r w:rsidRPr="003F7D48">
              <w:br/>
              <w:t>± 6.3</w:t>
            </w:r>
          </w:p>
        </w:tc>
        <w:tc>
          <w:tcPr>
            <w:tcW w:w="803" w:type="dxa"/>
            <w:vAlign w:val="center"/>
          </w:tcPr>
          <w:p w:rsidR="005B746F" w:rsidRPr="003F7D48" w:rsidRDefault="005B746F" w:rsidP="004B634B">
            <w:pPr>
              <w:pStyle w:val="TableBodyText"/>
              <w:spacing w:after="0"/>
            </w:pPr>
            <w:r w:rsidRPr="003F7D48">
              <w:t xml:space="preserve">57.3 </w:t>
            </w:r>
            <w:r w:rsidRPr="003F7D48">
              <w:br/>
              <w:t>± 7.0</w:t>
            </w:r>
          </w:p>
        </w:tc>
        <w:tc>
          <w:tcPr>
            <w:tcW w:w="803" w:type="dxa"/>
            <w:vAlign w:val="center"/>
          </w:tcPr>
          <w:p w:rsidR="005B746F" w:rsidRPr="003F7D48" w:rsidRDefault="005B746F" w:rsidP="004B634B">
            <w:pPr>
              <w:pStyle w:val="TableBodyText"/>
              <w:spacing w:after="0"/>
            </w:pPr>
            <w:r w:rsidRPr="003F7D48">
              <w:t xml:space="preserve">56.6 </w:t>
            </w:r>
            <w:r w:rsidRPr="003F7D48">
              <w:br/>
              <w:t>± 7.1</w:t>
            </w:r>
          </w:p>
        </w:tc>
        <w:tc>
          <w:tcPr>
            <w:tcW w:w="804" w:type="dxa"/>
            <w:vAlign w:val="center"/>
          </w:tcPr>
          <w:p w:rsidR="005B746F" w:rsidRPr="003F7D48" w:rsidRDefault="005B746F" w:rsidP="004B634B">
            <w:pPr>
              <w:pStyle w:val="TableBodyText"/>
              <w:spacing w:after="0"/>
            </w:pPr>
            <w:r w:rsidRPr="003F7D48">
              <w:t xml:space="preserve">45.8 </w:t>
            </w:r>
            <w:r w:rsidRPr="003F7D48">
              <w:br/>
              <w:t>± 9.9</w:t>
            </w:r>
          </w:p>
        </w:tc>
        <w:tc>
          <w:tcPr>
            <w:tcW w:w="803" w:type="dxa"/>
            <w:vAlign w:val="center"/>
          </w:tcPr>
          <w:p w:rsidR="005B746F" w:rsidRPr="003F7D48" w:rsidRDefault="005B746F" w:rsidP="004B634B">
            <w:pPr>
              <w:pStyle w:val="TableBodyText"/>
              <w:spacing w:after="0"/>
            </w:pPr>
            <w:r w:rsidRPr="003F7D48">
              <w:t xml:space="preserve">47.0 </w:t>
            </w:r>
            <w:r w:rsidRPr="003F7D48">
              <w:br/>
              <w:t>± 12.3</w:t>
            </w:r>
          </w:p>
        </w:tc>
        <w:tc>
          <w:tcPr>
            <w:tcW w:w="803" w:type="dxa"/>
            <w:vAlign w:val="center"/>
          </w:tcPr>
          <w:p w:rsidR="005B746F" w:rsidRPr="003F7D48" w:rsidRDefault="005B746F" w:rsidP="004B634B">
            <w:pPr>
              <w:pStyle w:val="TableBodyText"/>
              <w:spacing w:after="0"/>
            </w:pPr>
            <w:r w:rsidRPr="003F7D48">
              <w:t xml:space="preserve">50.0 </w:t>
            </w:r>
            <w:r w:rsidRPr="003F7D48">
              <w:br/>
              <w:t>± 15.2</w:t>
            </w:r>
          </w:p>
        </w:tc>
        <w:tc>
          <w:tcPr>
            <w:tcW w:w="804" w:type="dxa"/>
            <w:vAlign w:val="center"/>
          </w:tcPr>
          <w:p w:rsidR="005B746F" w:rsidRPr="003F7D48" w:rsidRDefault="005B746F" w:rsidP="004B634B">
            <w:pPr>
              <w:pStyle w:val="TableBodyText"/>
              <w:spacing w:after="0"/>
            </w:pPr>
            <w:r w:rsidRPr="003F7D48">
              <w:t xml:space="preserve">49.2 </w:t>
            </w:r>
            <w:r w:rsidRPr="003F7D48">
              <w:br/>
              <w:t>± 6.0</w:t>
            </w:r>
          </w:p>
        </w:tc>
      </w:tr>
      <w:tr w:rsidR="005B746F" w:rsidRPr="003F7D48" w:rsidTr="004B634B">
        <w:tc>
          <w:tcPr>
            <w:tcW w:w="8790" w:type="dxa"/>
            <w:gridSpan w:val="10"/>
          </w:tcPr>
          <w:p w:rsidR="005B746F" w:rsidRPr="003F7D48" w:rsidRDefault="005B746F" w:rsidP="004B634B">
            <w:pPr>
              <w:pStyle w:val="TableBodyText"/>
              <w:spacing w:before="80"/>
              <w:jc w:val="left"/>
              <w:rPr>
                <w:b/>
              </w:rPr>
            </w:pPr>
            <w:r w:rsidRPr="003F7D48">
              <w:rPr>
                <w:b/>
              </w:rPr>
              <w:t>All students</w:t>
            </w:r>
          </w:p>
        </w:tc>
      </w:tr>
      <w:tr w:rsidR="005B746F" w:rsidRPr="003F7D48" w:rsidTr="004B634B">
        <w:tc>
          <w:tcPr>
            <w:tcW w:w="1560" w:type="dxa"/>
          </w:tcPr>
          <w:p w:rsidR="005B746F" w:rsidRPr="003F7D48" w:rsidRDefault="005B746F" w:rsidP="004B634B">
            <w:pPr>
              <w:keepNext/>
              <w:keepLines/>
              <w:spacing w:after="40" w:line="220" w:lineRule="atLeast"/>
              <w:ind w:left="6" w:right="113"/>
              <w:rPr>
                <w:rFonts w:ascii="Arial" w:hAnsi="Arial"/>
                <w:sz w:val="20"/>
                <w:szCs w:val="20"/>
              </w:rPr>
            </w:pPr>
            <w:r w:rsidRPr="003F7D48">
              <w:rPr>
                <w:rFonts w:ascii="Arial" w:hAnsi="Arial"/>
                <w:sz w:val="20"/>
                <w:szCs w:val="20"/>
              </w:rPr>
              <w:t>2008 Year 3</w:t>
            </w:r>
          </w:p>
        </w:tc>
        <w:tc>
          <w:tcPr>
            <w:tcW w:w="803" w:type="dxa"/>
            <w:vAlign w:val="center"/>
          </w:tcPr>
          <w:p w:rsidR="005B746F" w:rsidRPr="003F7D48" w:rsidRDefault="005B746F" w:rsidP="004B634B">
            <w:pPr>
              <w:pStyle w:val="TableBodyText"/>
            </w:pPr>
            <w:r w:rsidRPr="003F7D48">
              <w:t xml:space="preserve">408.9 </w:t>
            </w:r>
            <w:r w:rsidRPr="003F7D48">
              <w:br/>
              <w:t>± 1.6</w:t>
            </w:r>
          </w:p>
        </w:tc>
        <w:tc>
          <w:tcPr>
            <w:tcW w:w="803" w:type="dxa"/>
            <w:vAlign w:val="center"/>
          </w:tcPr>
          <w:p w:rsidR="005B746F" w:rsidRPr="003F7D48" w:rsidRDefault="005B746F" w:rsidP="004B634B">
            <w:pPr>
              <w:pStyle w:val="TableBodyText"/>
            </w:pPr>
            <w:r w:rsidRPr="003F7D48">
              <w:t xml:space="preserve">416.9 </w:t>
            </w:r>
            <w:r w:rsidRPr="003F7D48">
              <w:br/>
              <w:t>± 1.4</w:t>
            </w:r>
          </w:p>
        </w:tc>
        <w:tc>
          <w:tcPr>
            <w:tcW w:w="804" w:type="dxa"/>
            <w:vAlign w:val="center"/>
          </w:tcPr>
          <w:p w:rsidR="005B746F" w:rsidRPr="003F7D48" w:rsidRDefault="005B746F" w:rsidP="004B634B">
            <w:pPr>
              <w:pStyle w:val="TableBodyText"/>
            </w:pPr>
            <w:r w:rsidRPr="003F7D48">
              <w:t xml:space="preserve">367.9 </w:t>
            </w:r>
            <w:r w:rsidRPr="003F7D48">
              <w:br/>
              <w:t>± 2.2</w:t>
            </w:r>
          </w:p>
        </w:tc>
        <w:tc>
          <w:tcPr>
            <w:tcW w:w="803" w:type="dxa"/>
            <w:vAlign w:val="center"/>
          </w:tcPr>
          <w:p w:rsidR="005B746F" w:rsidRPr="003F7D48" w:rsidRDefault="005B746F" w:rsidP="004B634B">
            <w:pPr>
              <w:pStyle w:val="TableBodyText"/>
            </w:pPr>
            <w:r w:rsidRPr="003F7D48">
              <w:t xml:space="preserve">381.9 </w:t>
            </w:r>
            <w:r w:rsidRPr="003F7D48">
              <w:br/>
              <w:t>± 2.4</w:t>
            </w:r>
          </w:p>
        </w:tc>
        <w:tc>
          <w:tcPr>
            <w:tcW w:w="803" w:type="dxa"/>
            <w:vAlign w:val="center"/>
          </w:tcPr>
          <w:p w:rsidR="005B746F" w:rsidRPr="003F7D48" w:rsidRDefault="005B746F" w:rsidP="004B634B">
            <w:pPr>
              <w:pStyle w:val="TableBodyText"/>
            </w:pPr>
            <w:r w:rsidRPr="003F7D48">
              <w:t xml:space="preserve">388.8 </w:t>
            </w:r>
            <w:r w:rsidRPr="003F7D48">
              <w:br/>
              <w:t>± 2.7</w:t>
            </w:r>
          </w:p>
        </w:tc>
        <w:tc>
          <w:tcPr>
            <w:tcW w:w="804" w:type="dxa"/>
            <w:vAlign w:val="center"/>
          </w:tcPr>
          <w:p w:rsidR="005B746F" w:rsidRPr="003F7D48" w:rsidRDefault="005B746F" w:rsidP="004B634B">
            <w:pPr>
              <w:pStyle w:val="TableBodyText"/>
            </w:pPr>
            <w:r w:rsidRPr="003F7D48">
              <w:t xml:space="preserve">399.9 </w:t>
            </w:r>
            <w:r w:rsidRPr="003F7D48">
              <w:br/>
              <w:t>± 4.2</w:t>
            </w:r>
          </w:p>
        </w:tc>
        <w:tc>
          <w:tcPr>
            <w:tcW w:w="803" w:type="dxa"/>
            <w:vAlign w:val="center"/>
          </w:tcPr>
          <w:p w:rsidR="005B746F" w:rsidRPr="003F7D48" w:rsidRDefault="005B746F" w:rsidP="004B634B">
            <w:pPr>
              <w:pStyle w:val="TableBodyText"/>
            </w:pPr>
            <w:r w:rsidRPr="003F7D48">
              <w:t xml:space="preserve">411.5 </w:t>
            </w:r>
            <w:r w:rsidRPr="003F7D48">
              <w:br/>
              <w:t>± 5.1</w:t>
            </w:r>
          </w:p>
        </w:tc>
        <w:tc>
          <w:tcPr>
            <w:tcW w:w="803" w:type="dxa"/>
            <w:vAlign w:val="center"/>
          </w:tcPr>
          <w:p w:rsidR="005B746F" w:rsidRPr="003F7D48" w:rsidRDefault="005B746F" w:rsidP="004B634B">
            <w:pPr>
              <w:pStyle w:val="TableBodyText"/>
            </w:pPr>
            <w:r w:rsidRPr="003F7D48">
              <w:t xml:space="preserve">338.4 </w:t>
            </w:r>
            <w:r w:rsidRPr="003F7D48">
              <w:br/>
              <w:t>± 12.4</w:t>
            </w:r>
          </w:p>
        </w:tc>
        <w:tc>
          <w:tcPr>
            <w:tcW w:w="804" w:type="dxa"/>
            <w:vAlign w:val="center"/>
          </w:tcPr>
          <w:p w:rsidR="005B746F" w:rsidRPr="003F7D48" w:rsidRDefault="005B746F" w:rsidP="004B634B">
            <w:pPr>
              <w:pStyle w:val="TableBodyText"/>
            </w:pPr>
            <w:r w:rsidRPr="003F7D48">
              <w:t xml:space="preserve">396.9 </w:t>
            </w:r>
            <w:r w:rsidRPr="003F7D48">
              <w:br/>
              <w:t>± 1.0</w:t>
            </w:r>
          </w:p>
        </w:tc>
      </w:tr>
      <w:tr w:rsidR="005B746F" w:rsidRPr="003F7D48" w:rsidTr="004B634B">
        <w:tc>
          <w:tcPr>
            <w:tcW w:w="1560" w:type="dxa"/>
            <w:shd w:val="clear" w:color="auto" w:fill="auto"/>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2010 Year 5</w:t>
            </w:r>
          </w:p>
        </w:tc>
        <w:tc>
          <w:tcPr>
            <w:tcW w:w="803" w:type="dxa"/>
            <w:shd w:val="clear" w:color="auto" w:fill="auto"/>
            <w:vAlign w:val="center"/>
          </w:tcPr>
          <w:p w:rsidR="005B746F" w:rsidRPr="003F7D48" w:rsidRDefault="005B746F" w:rsidP="004B634B">
            <w:pPr>
              <w:pStyle w:val="TableBodyText"/>
            </w:pPr>
            <w:r w:rsidRPr="003F7D48">
              <w:t xml:space="preserve">498.4 </w:t>
            </w:r>
            <w:r w:rsidRPr="003F7D48">
              <w:br/>
              <w:t>± 2.0</w:t>
            </w:r>
          </w:p>
        </w:tc>
        <w:tc>
          <w:tcPr>
            <w:tcW w:w="803" w:type="dxa"/>
            <w:shd w:val="clear" w:color="auto" w:fill="auto"/>
            <w:vAlign w:val="center"/>
          </w:tcPr>
          <w:p w:rsidR="005B746F" w:rsidRPr="003F7D48" w:rsidRDefault="005B746F" w:rsidP="004B634B">
            <w:pPr>
              <w:pStyle w:val="TableBodyText"/>
            </w:pPr>
            <w:r w:rsidRPr="003F7D48">
              <w:t xml:space="preserve">502.7 </w:t>
            </w:r>
            <w:r w:rsidRPr="003F7D48">
              <w:br/>
              <w:t>± 1.6</w:t>
            </w:r>
          </w:p>
        </w:tc>
        <w:tc>
          <w:tcPr>
            <w:tcW w:w="804" w:type="dxa"/>
            <w:shd w:val="clear" w:color="auto" w:fill="auto"/>
            <w:vAlign w:val="center"/>
          </w:tcPr>
          <w:p w:rsidR="005B746F" w:rsidRPr="003F7D48" w:rsidRDefault="005B746F" w:rsidP="004B634B">
            <w:pPr>
              <w:pStyle w:val="TableBodyText"/>
            </w:pPr>
            <w:r w:rsidRPr="003F7D48">
              <w:t xml:space="preserve">474.1 </w:t>
            </w:r>
            <w:r w:rsidRPr="003F7D48">
              <w:br/>
              <w:t>± 1.9</w:t>
            </w:r>
          </w:p>
        </w:tc>
        <w:tc>
          <w:tcPr>
            <w:tcW w:w="803" w:type="dxa"/>
            <w:shd w:val="clear" w:color="auto" w:fill="auto"/>
            <w:vAlign w:val="center"/>
          </w:tcPr>
          <w:p w:rsidR="005B746F" w:rsidRPr="003F7D48" w:rsidRDefault="005B746F" w:rsidP="004B634B">
            <w:pPr>
              <w:pStyle w:val="TableBodyText"/>
            </w:pPr>
            <w:r w:rsidRPr="003F7D48">
              <w:t xml:space="preserve">476.8 </w:t>
            </w:r>
            <w:r w:rsidRPr="003F7D48">
              <w:br/>
              <w:t>± 2.6</w:t>
            </w:r>
          </w:p>
        </w:tc>
        <w:tc>
          <w:tcPr>
            <w:tcW w:w="803" w:type="dxa"/>
            <w:shd w:val="clear" w:color="auto" w:fill="auto"/>
            <w:vAlign w:val="center"/>
          </w:tcPr>
          <w:p w:rsidR="005B746F" w:rsidRPr="003F7D48" w:rsidRDefault="005B746F" w:rsidP="004B634B">
            <w:pPr>
              <w:pStyle w:val="TableBodyText"/>
            </w:pPr>
            <w:r w:rsidRPr="003F7D48">
              <w:t xml:space="preserve">472.6 </w:t>
            </w:r>
            <w:r w:rsidRPr="003F7D48">
              <w:br/>
              <w:t>± 2.8</w:t>
            </w:r>
          </w:p>
        </w:tc>
        <w:tc>
          <w:tcPr>
            <w:tcW w:w="804" w:type="dxa"/>
            <w:shd w:val="clear" w:color="auto" w:fill="auto"/>
            <w:vAlign w:val="center"/>
          </w:tcPr>
          <w:p w:rsidR="005B746F" w:rsidRPr="003F7D48" w:rsidRDefault="005B746F" w:rsidP="004B634B">
            <w:pPr>
              <w:pStyle w:val="TableBodyText"/>
            </w:pPr>
            <w:r w:rsidRPr="003F7D48">
              <w:t xml:space="preserve">479.4 </w:t>
            </w:r>
            <w:r w:rsidRPr="003F7D48">
              <w:br/>
              <w:t>± 4.8</w:t>
            </w:r>
          </w:p>
        </w:tc>
        <w:tc>
          <w:tcPr>
            <w:tcW w:w="803" w:type="dxa"/>
            <w:shd w:val="clear" w:color="auto" w:fill="auto"/>
            <w:vAlign w:val="center"/>
          </w:tcPr>
          <w:p w:rsidR="005B746F" w:rsidRPr="003F7D48" w:rsidRDefault="005B746F" w:rsidP="004B634B">
            <w:pPr>
              <w:pStyle w:val="TableBodyText"/>
            </w:pPr>
            <w:r w:rsidRPr="003F7D48">
              <w:t xml:space="preserve">498.7 </w:t>
            </w:r>
            <w:r w:rsidRPr="003F7D48">
              <w:br/>
              <w:t>± 5.1</w:t>
            </w:r>
          </w:p>
        </w:tc>
        <w:tc>
          <w:tcPr>
            <w:tcW w:w="803" w:type="dxa"/>
            <w:shd w:val="clear" w:color="auto" w:fill="auto"/>
            <w:vAlign w:val="center"/>
          </w:tcPr>
          <w:p w:rsidR="005B746F" w:rsidRPr="003F7D48" w:rsidRDefault="005B746F" w:rsidP="004B634B">
            <w:pPr>
              <w:pStyle w:val="TableBodyText"/>
            </w:pPr>
            <w:r w:rsidRPr="003F7D48">
              <w:t xml:space="preserve">421.5 </w:t>
            </w:r>
            <w:r w:rsidRPr="003F7D48">
              <w:br/>
              <w:t>± 14.4</w:t>
            </w:r>
          </w:p>
        </w:tc>
        <w:tc>
          <w:tcPr>
            <w:tcW w:w="804" w:type="dxa"/>
            <w:shd w:val="clear" w:color="auto" w:fill="auto"/>
            <w:vAlign w:val="center"/>
          </w:tcPr>
          <w:p w:rsidR="005B746F" w:rsidRPr="003F7D48" w:rsidRDefault="005B746F" w:rsidP="004B634B">
            <w:pPr>
              <w:pStyle w:val="TableBodyText"/>
            </w:pPr>
            <w:r w:rsidRPr="003F7D48">
              <w:t xml:space="preserve">488.8 </w:t>
            </w:r>
            <w:r w:rsidRPr="003F7D48">
              <w:br/>
              <w:t>± 1.0</w:t>
            </w:r>
          </w:p>
        </w:tc>
      </w:tr>
      <w:tr w:rsidR="005B746F" w:rsidRPr="003F7D48" w:rsidTr="004B634B">
        <w:tc>
          <w:tcPr>
            <w:tcW w:w="1560" w:type="dxa"/>
            <w:shd w:val="clear" w:color="auto" w:fill="auto"/>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2012 Year 7</w:t>
            </w:r>
          </w:p>
        </w:tc>
        <w:tc>
          <w:tcPr>
            <w:tcW w:w="803" w:type="dxa"/>
            <w:shd w:val="clear" w:color="auto" w:fill="auto"/>
            <w:vAlign w:val="center"/>
          </w:tcPr>
          <w:p w:rsidR="005B746F" w:rsidRPr="003F7D48" w:rsidRDefault="005B746F" w:rsidP="004B634B">
            <w:pPr>
              <w:pStyle w:val="TableBodyText"/>
            </w:pPr>
            <w:r w:rsidRPr="003F7D48">
              <w:t xml:space="preserve">543.4 </w:t>
            </w:r>
            <w:r w:rsidRPr="003F7D48">
              <w:br/>
              <w:t>± 3.8</w:t>
            </w:r>
          </w:p>
        </w:tc>
        <w:tc>
          <w:tcPr>
            <w:tcW w:w="803" w:type="dxa"/>
            <w:shd w:val="clear" w:color="auto" w:fill="auto"/>
            <w:vAlign w:val="center"/>
          </w:tcPr>
          <w:p w:rsidR="005B746F" w:rsidRPr="003F7D48" w:rsidRDefault="005B746F" w:rsidP="004B634B">
            <w:pPr>
              <w:pStyle w:val="TableBodyText"/>
            </w:pPr>
            <w:r w:rsidRPr="003F7D48">
              <w:t xml:space="preserve">544.3 </w:t>
            </w:r>
            <w:r w:rsidRPr="003F7D48">
              <w:br/>
              <w:t>± 3.1</w:t>
            </w:r>
          </w:p>
        </w:tc>
        <w:tc>
          <w:tcPr>
            <w:tcW w:w="804" w:type="dxa"/>
            <w:shd w:val="clear" w:color="auto" w:fill="auto"/>
            <w:vAlign w:val="center"/>
          </w:tcPr>
          <w:p w:rsidR="005B746F" w:rsidRPr="003F7D48" w:rsidRDefault="005B746F" w:rsidP="004B634B">
            <w:pPr>
              <w:pStyle w:val="TableBodyText"/>
            </w:pPr>
            <w:r w:rsidRPr="003F7D48">
              <w:t xml:space="preserve">532.0 </w:t>
            </w:r>
            <w:r w:rsidRPr="003F7D48">
              <w:br/>
              <w:t>± 2.1</w:t>
            </w:r>
          </w:p>
        </w:tc>
        <w:tc>
          <w:tcPr>
            <w:tcW w:w="803" w:type="dxa"/>
            <w:shd w:val="clear" w:color="auto" w:fill="auto"/>
            <w:vAlign w:val="center"/>
          </w:tcPr>
          <w:p w:rsidR="005B746F" w:rsidRPr="003F7D48" w:rsidRDefault="005B746F" w:rsidP="004B634B">
            <w:pPr>
              <w:pStyle w:val="TableBodyText"/>
            </w:pPr>
            <w:r w:rsidRPr="003F7D48">
              <w:t xml:space="preserve">534.9 </w:t>
            </w:r>
            <w:r w:rsidRPr="003F7D48">
              <w:br/>
              <w:t>± 3.3</w:t>
            </w:r>
          </w:p>
        </w:tc>
        <w:tc>
          <w:tcPr>
            <w:tcW w:w="803" w:type="dxa"/>
            <w:shd w:val="clear" w:color="auto" w:fill="auto"/>
            <w:vAlign w:val="center"/>
          </w:tcPr>
          <w:p w:rsidR="005B746F" w:rsidRPr="003F7D48" w:rsidRDefault="005B746F" w:rsidP="004B634B">
            <w:pPr>
              <w:pStyle w:val="TableBodyText"/>
            </w:pPr>
            <w:r w:rsidRPr="003F7D48">
              <w:t xml:space="preserve">529.1 </w:t>
            </w:r>
            <w:r w:rsidRPr="003F7D48">
              <w:br/>
              <w:t>± 3.1</w:t>
            </w:r>
          </w:p>
        </w:tc>
        <w:tc>
          <w:tcPr>
            <w:tcW w:w="804" w:type="dxa"/>
            <w:shd w:val="clear" w:color="auto" w:fill="auto"/>
            <w:vAlign w:val="center"/>
          </w:tcPr>
          <w:p w:rsidR="005B746F" w:rsidRPr="003F7D48" w:rsidRDefault="005B746F" w:rsidP="004B634B">
            <w:pPr>
              <w:pStyle w:val="TableBodyText"/>
            </w:pPr>
            <w:r w:rsidRPr="003F7D48">
              <w:t xml:space="preserve">526.0 </w:t>
            </w:r>
            <w:r w:rsidRPr="003F7D48">
              <w:br/>
              <w:t>± 7.1</w:t>
            </w:r>
          </w:p>
        </w:tc>
        <w:tc>
          <w:tcPr>
            <w:tcW w:w="803" w:type="dxa"/>
            <w:shd w:val="clear" w:color="auto" w:fill="auto"/>
            <w:vAlign w:val="center"/>
          </w:tcPr>
          <w:p w:rsidR="005B746F" w:rsidRPr="003F7D48" w:rsidRDefault="005B746F" w:rsidP="004B634B">
            <w:pPr>
              <w:pStyle w:val="TableBodyText"/>
            </w:pPr>
            <w:r w:rsidRPr="003F7D48">
              <w:t xml:space="preserve">545.9 </w:t>
            </w:r>
            <w:r w:rsidRPr="003F7D48">
              <w:br/>
              <w:t>± 9.7</w:t>
            </w:r>
          </w:p>
        </w:tc>
        <w:tc>
          <w:tcPr>
            <w:tcW w:w="803" w:type="dxa"/>
            <w:shd w:val="clear" w:color="auto" w:fill="auto"/>
            <w:vAlign w:val="center"/>
          </w:tcPr>
          <w:p w:rsidR="005B746F" w:rsidRPr="003F7D48" w:rsidRDefault="005B746F" w:rsidP="004B634B">
            <w:pPr>
              <w:pStyle w:val="TableBodyText"/>
            </w:pPr>
            <w:r w:rsidRPr="003F7D48">
              <w:t xml:space="preserve">474.7 </w:t>
            </w:r>
            <w:r w:rsidRPr="003F7D48">
              <w:br/>
              <w:t>± 18.4</w:t>
            </w:r>
          </w:p>
        </w:tc>
        <w:tc>
          <w:tcPr>
            <w:tcW w:w="804" w:type="dxa"/>
            <w:shd w:val="clear" w:color="auto" w:fill="auto"/>
            <w:vAlign w:val="center"/>
          </w:tcPr>
          <w:p w:rsidR="005B746F" w:rsidRPr="003F7D48" w:rsidRDefault="005B746F" w:rsidP="004B634B">
            <w:pPr>
              <w:pStyle w:val="TableBodyText"/>
            </w:pPr>
            <w:r w:rsidRPr="003F7D48">
              <w:t xml:space="preserve">538.1 </w:t>
            </w:r>
            <w:r w:rsidRPr="003F7D48">
              <w:br/>
              <w:t>± 1.6</w:t>
            </w:r>
          </w:p>
        </w:tc>
      </w:tr>
      <w:tr w:rsidR="005B746F" w:rsidRPr="003F7D48" w:rsidTr="004B634B">
        <w:tc>
          <w:tcPr>
            <w:tcW w:w="1560" w:type="dxa"/>
            <w:shd w:val="clear" w:color="auto" w:fill="auto"/>
          </w:tcPr>
          <w:p w:rsidR="005B746F" w:rsidRPr="003F7D48" w:rsidRDefault="005B746F" w:rsidP="004B634B">
            <w:pPr>
              <w:keepNext/>
              <w:keepLines/>
              <w:spacing w:after="40" w:line="220" w:lineRule="atLeast"/>
              <w:ind w:right="113"/>
              <w:rPr>
                <w:rFonts w:ascii="Arial" w:hAnsi="Arial"/>
                <w:sz w:val="20"/>
                <w:szCs w:val="20"/>
              </w:rPr>
            </w:pPr>
            <w:r w:rsidRPr="003F7D48">
              <w:rPr>
                <w:rFonts w:ascii="Arial" w:hAnsi="Arial"/>
                <w:sz w:val="20"/>
                <w:szCs w:val="20"/>
              </w:rPr>
              <w:t>Gain 2008-2010</w:t>
            </w:r>
          </w:p>
        </w:tc>
        <w:tc>
          <w:tcPr>
            <w:tcW w:w="803" w:type="dxa"/>
            <w:shd w:val="clear" w:color="auto" w:fill="auto"/>
            <w:vAlign w:val="center"/>
          </w:tcPr>
          <w:p w:rsidR="005B746F" w:rsidRPr="003F7D48" w:rsidRDefault="005B746F" w:rsidP="004B634B">
            <w:pPr>
              <w:pStyle w:val="TableBodyText"/>
            </w:pPr>
            <w:r w:rsidRPr="003F7D48">
              <w:t xml:space="preserve">89.5 </w:t>
            </w:r>
            <w:r w:rsidRPr="003F7D48">
              <w:br/>
              <w:t>± 8.5</w:t>
            </w:r>
          </w:p>
        </w:tc>
        <w:tc>
          <w:tcPr>
            <w:tcW w:w="803" w:type="dxa"/>
            <w:shd w:val="clear" w:color="auto" w:fill="auto"/>
            <w:vAlign w:val="center"/>
          </w:tcPr>
          <w:p w:rsidR="005B746F" w:rsidRPr="003F7D48" w:rsidRDefault="005B746F" w:rsidP="004B634B">
            <w:pPr>
              <w:pStyle w:val="TableBodyText"/>
            </w:pPr>
            <w:r w:rsidRPr="003F7D48">
              <w:t xml:space="preserve">85.8 </w:t>
            </w:r>
            <w:r w:rsidRPr="003F7D48">
              <w:br/>
              <w:t>± 8.4</w:t>
            </w:r>
          </w:p>
        </w:tc>
        <w:tc>
          <w:tcPr>
            <w:tcW w:w="804" w:type="dxa"/>
            <w:shd w:val="clear" w:color="auto" w:fill="auto"/>
            <w:vAlign w:val="center"/>
          </w:tcPr>
          <w:p w:rsidR="005B746F" w:rsidRPr="003F7D48" w:rsidRDefault="005B746F" w:rsidP="004B634B">
            <w:pPr>
              <w:pStyle w:val="TableBodyText"/>
            </w:pPr>
            <w:r w:rsidRPr="003F7D48">
              <w:t xml:space="preserve">106.2 </w:t>
            </w:r>
            <w:r w:rsidRPr="003F7D48">
              <w:br/>
              <w:t>± 8.6</w:t>
            </w:r>
          </w:p>
        </w:tc>
        <w:tc>
          <w:tcPr>
            <w:tcW w:w="803" w:type="dxa"/>
            <w:shd w:val="clear" w:color="auto" w:fill="auto"/>
            <w:vAlign w:val="center"/>
          </w:tcPr>
          <w:p w:rsidR="005B746F" w:rsidRPr="003F7D48" w:rsidRDefault="005B746F" w:rsidP="004B634B">
            <w:pPr>
              <w:pStyle w:val="TableBodyText"/>
            </w:pPr>
            <w:r w:rsidRPr="003F7D48">
              <w:t xml:space="preserve">94.9 </w:t>
            </w:r>
            <w:r w:rsidRPr="003F7D48">
              <w:br/>
              <w:t>± 8.9</w:t>
            </w:r>
          </w:p>
        </w:tc>
        <w:tc>
          <w:tcPr>
            <w:tcW w:w="803" w:type="dxa"/>
            <w:shd w:val="clear" w:color="auto" w:fill="auto"/>
            <w:vAlign w:val="center"/>
          </w:tcPr>
          <w:p w:rsidR="005B746F" w:rsidRPr="003F7D48" w:rsidRDefault="005B746F" w:rsidP="004B634B">
            <w:pPr>
              <w:pStyle w:val="TableBodyText"/>
            </w:pPr>
            <w:r w:rsidRPr="003F7D48">
              <w:t xml:space="preserve">83.8 </w:t>
            </w:r>
            <w:r w:rsidRPr="003F7D48">
              <w:br/>
              <w:t>± 9.0</w:t>
            </w:r>
          </w:p>
        </w:tc>
        <w:tc>
          <w:tcPr>
            <w:tcW w:w="804" w:type="dxa"/>
            <w:shd w:val="clear" w:color="auto" w:fill="auto"/>
            <w:vAlign w:val="center"/>
          </w:tcPr>
          <w:p w:rsidR="005B746F" w:rsidRPr="003F7D48" w:rsidRDefault="005B746F" w:rsidP="004B634B">
            <w:pPr>
              <w:pStyle w:val="TableBodyText"/>
            </w:pPr>
            <w:r w:rsidRPr="003F7D48">
              <w:t xml:space="preserve">79.5 </w:t>
            </w:r>
            <w:r w:rsidRPr="003F7D48">
              <w:br/>
              <w:t>± 10.3</w:t>
            </w:r>
          </w:p>
        </w:tc>
        <w:tc>
          <w:tcPr>
            <w:tcW w:w="803" w:type="dxa"/>
            <w:shd w:val="clear" w:color="auto" w:fill="auto"/>
            <w:vAlign w:val="center"/>
          </w:tcPr>
          <w:p w:rsidR="005B746F" w:rsidRPr="003F7D48" w:rsidRDefault="005B746F" w:rsidP="004B634B">
            <w:pPr>
              <w:pStyle w:val="TableBodyText"/>
            </w:pPr>
            <w:r w:rsidRPr="003F7D48">
              <w:t xml:space="preserve">87.2 </w:t>
            </w:r>
            <w:r w:rsidRPr="003F7D48">
              <w:br/>
              <w:t>± 10.8</w:t>
            </w:r>
          </w:p>
        </w:tc>
        <w:tc>
          <w:tcPr>
            <w:tcW w:w="803" w:type="dxa"/>
            <w:shd w:val="clear" w:color="auto" w:fill="auto"/>
            <w:vAlign w:val="center"/>
          </w:tcPr>
          <w:p w:rsidR="005B746F" w:rsidRPr="003F7D48" w:rsidRDefault="005B746F" w:rsidP="004B634B">
            <w:pPr>
              <w:pStyle w:val="TableBodyText"/>
            </w:pPr>
            <w:r w:rsidRPr="003F7D48">
              <w:t xml:space="preserve">83.1 </w:t>
            </w:r>
            <w:r w:rsidRPr="003F7D48">
              <w:br/>
              <w:t>± 20.5</w:t>
            </w:r>
          </w:p>
        </w:tc>
        <w:tc>
          <w:tcPr>
            <w:tcW w:w="804" w:type="dxa"/>
            <w:shd w:val="clear" w:color="auto" w:fill="auto"/>
            <w:vAlign w:val="center"/>
          </w:tcPr>
          <w:p w:rsidR="005B746F" w:rsidRPr="003F7D48" w:rsidRDefault="005B746F" w:rsidP="004B634B">
            <w:pPr>
              <w:pStyle w:val="TableBodyText"/>
            </w:pPr>
            <w:r w:rsidRPr="003F7D48">
              <w:t xml:space="preserve">91.9 </w:t>
            </w:r>
            <w:r w:rsidRPr="003F7D48">
              <w:br/>
              <w:t>± 8.3</w:t>
            </w:r>
          </w:p>
        </w:tc>
      </w:tr>
      <w:tr w:rsidR="005B746F" w:rsidRPr="003F7D48" w:rsidTr="004B634B">
        <w:tc>
          <w:tcPr>
            <w:tcW w:w="1560" w:type="dxa"/>
            <w:tcBorders>
              <w:bottom w:val="single" w:sz="6" w:space="0" w:color="auto"/>
            </w:tcBorders>
            <w:shd w:val="clear" w:color="auto" w:fill="auto"/>
          </w:tcPr>
          <w:p w:rsidR="005B746F" w:rsidRPr="003F7D48" w:rsidRDefault="005B746F" w:rsidP="004B634B">
            <w:pPr>
              <w:keepNext/>
              <w:keepLines/>
              <w:spacing w:line="220" w:lineRule="atLeast"/>
              <w:ind w:right="113"/>
              <w:rPr>
                <w:rFonts w:ascii="Arial" w:hAnsi="Arial"/>
                <w:sz w:val="20"/>
                <w:szCs w:val="20"/>
              </w:rPr>
            </w:pPr>
            <w:r w:rsidRPr="003F7D48">
              <w:rPr>
                <w:rFonts w:ascii="Arial" w:hAnsi="Arial"/>
                <w:sz w:val="20"/>
                <w:szCs w:val="20"/>
              </w:rPr>
              <w:t>Gain 2010-2012</w:t>
            </w:r>
          </w:p>
        </w:tc>
        <w:tc>
          <w:tcPr>
            <w:tcW w:w="803"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45.0 </w:t>
            </w:r>
            <w:r w:rsidRPr="003F7D48">
              <w:br/>
              <w:t>± 7.2</w:t>
            </w:r>
          </w:p>
        </w:tc>
        <w:tc>
          <w:tcPr>
            <w:tcW w:w="803"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41.6 </w:t>
            </w:r>
            <w:r w:rsidRPr="003F7D48">
              <w:br/>
              <w:t>± 6.7</w:t>
            </w:r>
          </w:p>
        </w:tc>
        <w:tc>
          <w:tcPr>
            <w:tcW w:w="804"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57.9 </w:t>
            </w:r>
            <w:r w:rsidRPr="003F7D48">
              <w:br/>
              <w:t>± 6.4</w:t>
            </w:r>
          </w:p>
        </w:tc>
        <w:tc>
          <w:tcPr>
            <w:tcW w:w="803"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58.1 </w:t>
            </w:r>
            <w:r w:rsidRPr="003F7D48">
              <w:br/>
              <w:t>± 7.1</w:t>
            </w:r>
          </w:p>
        </w:tc>
        <w:tc>
          <w:tcPr>
            <w:tcW w:w="803"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56.5 </w:t>
            </w:r>
            <w:r w:rsidRPr="003F7D48">
              <w:br/>
              <w:t>± 7.1</w:t>
            </w:r>
          </w:p>
        </w:tc>
        <w:tc>
          <w:tcPr>
            <w:tcW w:w="804"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46.6 </w:t>
            </w:r>
            <w:r w:rsidRPr="003F7D48">
              <w:br/>
              <w:t>± 10.3</w:t>
            </w:r>
          </w:p>
        </w:tc>
        <w:tc>
          <w:tcPr>
            <w:tcW w:w="803"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47.2 </w:t>
            </w:r>
            <w:r w:rsidRPr="003F7D48">
              <w:br/>
              <w:t>± 12.4</w:t>
            </w:r>
          </w:p>
        </w:tc>
        <w:tc>
          <w:tcPr>
            <w:tcW w:w="803"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53.2 </w:t>
            </w:r>
            <w:r w:rsidRPr="003F7D48">
              <w:br/>
              <w:t>± 24.1</w:t>
            </w:r>
          </w:p>
        </w:tc>
        <w:tc>
          <w:tcPr>
            <w:tcW w:w="804" w:type="dxa"/>
            <w:tcBorders>
              <w:bottom w:val="single" w:sz="6" w:space="0" w:color="auto"/>
            </w:tcBorders>
            <w:shd w:val="clear" w:color="auto" w:fill="auto"/>
            <w:vAlign w:val="center"/>
          </w:tcPr>
          <w:p w:rsidR="005B746F" w:rsidRPr="003F7D48" w:rsidRDefault="005B746F" w:rsidP="004B634B">
            <w:pPr>
              <w:pStyle w:val="TableBodyText"/>
              <w:spacing w:after="0"/>
            </w:pPr>
            <w:r w:rsidRPr="003F7D48">
              <w:t xml:space="preserve">49.3 </w:t>
            </w:r>
            <w:r w:rsidRPr="003F7D48">
              <w:br/>
              <w:t>± 6.0</w:t>
            </w:r>
          </w:p>
        </w:tc>
      </w:tr>
    </w:tbl>
    <w:p w:rsidR="005B746F" w:rsidRPr="003F7D48" w:rsidRDefault="005B746F" w:rsidP="005B746F">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The mean scale scores for 2008, 2010 and 2012 reported in this table include 95 per cent confidence intervals (for example, a mean scale score of 400.0 ± 2.7, or a gain from 2010 to 2012 of 80.1 ± 2.7). Confidence intervals for the gain provide an indication of the level of uncertainty of the gain over the two year period. </w:t>
      </w:r>
      <w:r w:rsidRPr="003F7D48">
        <w:rPr>
          <w:rStyle w:val="NoteLabel"/>
        </w:rPr>
        <w:t>b</w:t>
      </w:r>
      <w:r w:rsidRPr="003F7D48">
        <w:rPr>
          <w:rFonts w:ascii="Arial" w:hAnsi="Arial"/>
          <w:sz w:val="18"/>
          <w:szCs w:val="20"/>
        </w:rPr>
        <w:t xml:space="preserve"> The confidence interval provided is for the specific jurisdictional gain and should not be used for comparisons between jurisdictions or between subgroups.</w:t>
      </w:r>
    </w:p>
    <w:p w:rsidR="005B746F" w:rsidRPr="003F7D48" w:rsidRDefault="005B746F" w:rsidP="005B746F">
      <w:pPr>
        <w:keepLines/>
        <w:spacing w:before="8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2012 National Assessment Program — Literacy and Numeracy: Achievement in Numeracy, Writing, Language Conventions and Numeracy</w:t>
      </w:r>
      <w:r w:rsidRPr="003F7D48">
        <w:rPr>
          <w:rFonts w:ascii="Arial" w:hAnsi="Arial"/>
          <w:sz w:val="18"/>
          <w:szCs w:val="20"/>
        </w:rPr>
        <w:t>; table 4A.88; 2014 Report, table 4.10, p. 4.73.</w:t>
      </w:r>
    </w:p>
    <w:p w:rsidR="005B746F" w:rsidRPr="003F7D48" w:rsidRDefault="005B746F" w:rsidP="005B746F">
      <w:pPr>
        <w:keepNext/>
        <w:spacing w:before="480" w:line="320" w:lineRule="exact"/>
        <w:outlineLvl w:val="4"/>
        <w:rPr>
          <w:b/>
          <w:i/>
        </w:rPr>
      </w:pPr>
      <w:r w:rsidRPr="003F7D48">
        <w:rPr>
          <w:b/>
          <w:i/>
        </w:rPr>
        <w:t>NAPLAN Persuasive Writing</w:t>
      </w:r>
    </w:p>
    <w:p w:rsidR="005B746F" w:rsidRPr="003F7D48" w:rsidRDefault="005B746F" w:rsidP="005B746F">
      <w:pPr>
        <w:spacing w:before="240" w:line="320" w:lineRule="atLeast"/>
        <w:jc w:val="both"/>
        <w:rPr>
          <w:szCs w:val="20"/>
        </w:rPr>
      </w:pPr>
      <w:r w:rsidRPr="003F7D48">
        <w:rPr>
          <w:szCs w:val="20"/>
        </w:rPr>
        <w:t xml:space="preserve">This section of the learning outcomes indicator provides key outcomes for NAPLAN testing (years 3, 5, 7 and 9) in the persuasive writing domain. Indigenous </w:t>
      </w:r>
      <w:r w:rsidRPr="003F7D48">
        <w:rPr>
          <w:szCs w:val="20"/>
        </w:rPr>
        <w:lastRenderedPageBreak/>
        <w:t>outcomes are highlighted, but outcomes for a range of other equity groups including male, female, LBOTE, geolocation and socio-economic status (parental education and parental occupation) for 2012 are included in 2014 Report, tables 4A.54–70.</w:t>
      </w:r>
    </w:p>
    <w:p w:rsidR="005B746F" w:rsidRPr="003F7D48" w:rsidRDefault="005B746F" w:rsidP="005B746F">
      <w:pPr>
        <w:spacing w:before="240" w:line="320" w:lineRule="atLeast"/>
        <w:jc w:val="both"/>
        <w:rPr>
          <w:szCs w:val="20"/>
        </w:rPr>
      </w:pPr>
      <w:r w:rsidRPr="003F7D48">
        <w:rPr>
          <w:szCs w:val="20"/>
        </w:rPr>
        <w:t>The proportion of year 3 students who achieved at or above the persuasive writing national minimum standard in 2012 was 95.1–95.5 per cent nationally. The proportion of Indigenous students (76.6–80.0 per cent) was significantly lower than for non</w:t>
      </w:r>
      <w:r w:rsidRPr="003F7D48">
        <w:rPr>
          <w:szCs w:val="20"/>
        </w:rPr>
        <w:noBreakHyphen/>
        <w:t>Indigenous students (96.3–96.5 per cent). These proportions varied across jurisdictions (figure 4.23).</w:t>
      </w:r>
    </w:p>
    <w:p w:rsidR="005B746F" w:rsidRPr="003F7D48" w:rsidRDefault="005B746F" w:rsidP="005B746F">
      <w:pPr>
        <w:pStyle w:val="FigureTitle"/>
        <w:rPr>
          <w:position w:val="6"/>
          <w:sz w:val="18"/>
        </w:rPr>
      </w:pPr>
      <w:r w:rsidRPr="003F7D48">
        <w:rPr>
          <w:b w:val="0"/>
        </w:rPr>
        <w:t>Figure 4.</w:t>
      </w:r>
      <w:r w:rsidRPr="003F7D48">
        <w:rPr>
          <w:b w:val="0"/>
          <w:noProof/>
        </w:rPr>
        <w:t>23</w:t>
      </w:r>
      <w:r w:rsidRPr="003F7D48">
        <w:tab/>
        <w:t>Proportion of year 3 students achieving at or above the persuasive writing national minimum standard, 2012</w:t>
      </w:r>
      <w:r w:rsidRPr="003F7D48">
        <w:rPr>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B746F" w:rsidRPr="003F7D48" w:rsidTr="004B634B">
        <w:tc>
          <w:tcPr>
            <w:tcW w:w="8777" w:type="dxa"/>
          </w:tcPr>
          <w:p w:rsidR="005B746F" w:rsidRPr="003F7D48" w:rsidRDefault="005B746F" w:rsidP="004B634B">
            <w:pPr>
              <w:keepNext/>
              <w:spacing w:before="120" w:after="120" w:line="240" w:lineRule="atLeast"/>
              <w:jc w:val="center"/>
              <w:rPr>
                <w:szCs w:val="20"/>
              </w:rPr>
            </w:pPr>
            <w:r w:rsidRPr="003F7D48">
              <w:rPr>
                <w:noProof/>
                <w:szCs w:val="20"/>
              </w:rPr>
              <w:drawing>
                <wp:inline distT="0" distB="0" distL="0" distR="0" wp14:anchorId="65D8C939" wp14:editId="48AC7A41">
                  <wp:extent cx="5391150" cy="2695575"/>
                  <wp:effectExtent l="0" t="0" r="0" b="9525"/>
                  <wp:docPr id="44" name="Picture 44" descr="Figure 4.23 Proportion of year 3 students achieving at or above the persuasive writing national minimum standard,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5B746F" w:rsidRPr="003F7D48" w:rsidRDefault="005B746F" w:rsidP="005B746F">
      <w:pPr>
        <w:keepLines/>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4A.54.</w:t>
      </w:r>
    </w:p>
    <w:p w:rsidR="005B746F" w:rsidRPr="003F7D48" w:rsidRDefault="005B746F" w:rsidP="005B746F">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4A.54; 2014 Report, figure 4.41, p. 4.74.</w:t>
      </w:r>
    </w:p>
    <w:p w:rsidR="005B746F" w:rsidRPr="003F7D48" w:rsidRDefault="005B746F" w:rsidP="005B746F">
      <w:pPr>
        <w:spacing w:before="240" w:line="320" w:lineRule="atLeast"/>
        <w:jc w:val="both"/>
        <w:rPr>
          <w:szCs w:val="20"/>
        </w:rPr>
      </w:pPr>
      <w:r w:rsidRPr="003F7D48">
        <w:rPr>
          <w:szCs w:val="20"/>
        </w:rPr>
        <w:t xml:space="preserve">Nationally in 2012, the mean scale score for year 3 persuasive writing for all students was 414.9–416.7. The mean scale score for Indigenous students </w:t>
      </w:r>
      <w:r w:rsidRPr="003F7D48">
        <w:rPr>
          <w:szCs w:val="20"/>
        </w:rPr>
        <w:br/>
        <w:t xml:space="preserve">(335.0–344.6) was significantly lower than for non-Indigenous students </w:t>
      </w:r>
      <w:r w:rsidRPr="003F7D48">
        <w:rPr>
          <w:szCs w:val="20"/>
        </w:rPr>
        <w:br/>
        <w:t>(419.3–420.9). Mean scale scores varied across jurisdictions (figure 4.24).</w:t>
      </w:r>
    </w:p>
    <w:p w:rsidR="005B746F" w:rsidRPr="003F7D48" w:rsidRDefault="005B746F" w:rsidP="005B746F">
      <w:pPr>
        <w:pStyle w:val="FigureTitle"/>
      </w:pPr>
      <w:r w:rsidRPr="003F7D48">
        <w:rPr>
          <w:b w:val="0"/>
        </w:rPr>
        <w:lastRenderedPageBreak/>
        <w:t>Figure 4.</w:t>
      </w:r>
      <w:r w:rsidRPr="003F7D48">
        <w:rPr>
          <w:b w:val="0"/>
          <w:noProof/>
        </w:rPr>
        <w:t>24</w:t>
      </w:r>
      <w:r w:rsidRPr="003F7D48">
        <w:tab/>
        <w:t>Mean scale scores for year 3 students, persuasive writing, 2012</w:t>
      </w:r>
      <w:r w:rsidRPr="003F7D48">
        <w:rPr>
          <w:position w:val="6"/>
          <w:sz w:val="18"/>
        </w:rPr>
        <w:t>a, b</w:t>
      </w:r>
      <w:r w:rsidRPr="003F7D48">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B746F" w:rsidRPr="003F7D48" w:rsidTr="004B634B">
        <w:tc>
          <w:tcPr>
            <w:tcW w:w="8777" w:type="dxa"/>
          </w:tcPr>
          <w:p w:rsidR="005B746F" w:rsidRPr="003F7D48" w:rsidRDefault="005B746F" w:rsidP="004B634B">
            <w:pPr>
              <w:keepNext/>
              <w:spacing w:before="120" w:after="120" w:line="240" w:lineRule="atLeast"/>
              <w:jc w:val="center"/>
              <w:rPr>
                <w:szCs w:val="20"/>
              </w:rPr>
            </w:pPr>
            <w:r w:rsidRPr="003F7D48">
              <w:rPr>
                <w:noProof/>
                <w:szCs w:val="20"/>
              </w:rPr>
              <w:drawing>
                <wp:inline distT="0" distB="0" distL="0" distR="0" wp14:anchorId="1BDAF4B2" wp14:editId="39EA056A">
                  <wp:extent cx="5391150" cy="2695575"/>
                  <wp:effectExtent l="0" t="0" r="0" b="9525"/>
                  <wp:docPr id="45" name="Picture 45" descr="Figure 4.24 Mean scale scores for year 3 students, persuasive writing,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5B746F" w:rsidRPr="003F7D48" w:rsidRDefault="005B746F" w:rsidP="005B746F">
      <w:pPr>
        <w:keepLines/>
        <w:spacing w:before="80" w:line="220" w:lineRule="exact"/>
        <w:jc w:val="both"/>
        <w:rPr>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For further information and caveats see table 4A.57.</w:t>
      </w:r>
    </w:p>
    <w:p w:rsidR="005B746F" w:rsidRPr="003F7D48" w:rsidRDefault="005B746F" w:rsidP="005B746F">
      <w:pPr>
        <w:keepLines/>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4A.57; 2014 Report, figure 4.42, p. 4.75.</w:t>
      </w:r>
    </w:p>
    <w:p w:rsidR="005B746F" w:rsidRPr="003F7D48" w:rsidRDefault="005B746F" w:rsidP="005B746F">
      <w:pPr>
        <w:shd w:val="clear" w:color="auto" w:fill="FFFFFF" w:themeFill="background1"/>
        <w:spacing w:before="240" w:line="320" w:lineRule="atLeast"/>
        <w:jc w:val="both"/>
        <w:rPr>
          <w:i/>
          <w:szCs w:val="20"/>
        </w:rPr>
      </w:pPr>
      <w:r w:rsidRPr="003F7D48">
        <w:rPr>
          <w:i/>
          <w:szCs w:val="20"/>
        </w:rPr>
        <w:t>Geolocation</w:t>
      </w:r>
    </w:p>
    <w:p w:rsidR="000366AD" w:rsidRPr="003F7D48" w:rsidRDefault="000366AD" w:rsidP="000366AD">
      <w:pPr>
        <w:shd w:val="clear" w:color="auto" w:fill="FFFFFF" w:themeFill="background1"/>
        <w:spacing w:before="240" w:line="320" w:lineRule="atLeast"/>
        <w:jc w:val="both"/>
        <w:rPr>
          <w:szCs w:val="20"/>
        </w:rPr>
      </w:pPr>
      <w:r w:rsidRPr="003F7D48">
        <w:rPr>
          <w:szCs w:val="20"/>
        </w:rPr>
        <w:t xml:space="preserve">Across all year levels, persuasive writing outcomes tended to decline with remoteness. For year 3, for example, 96.0–96.4 per cent of students in metropolitan areas achieved at or above the national minimum standard, higher than the proportion for provincial students (94.3–94.9 per cent), remote students </w:t>
      </w:r>
      <w:r w:rsidRPr="003F7D48">
        <w:rPr>
          <w:szCs w:val="20"/>
        </w:rPr>
        <w:br/>
        <w:t>(85.2–90.2</w:t>
      </w:r>
      <w:r w:rsidR="00581AAA" w:rsidRPr="003F7D48">
        <w:rPr>
          <w:szCs w:val="20"/>
        </w:rPr>
        <w:t xml:space="preserve"> </w:t>
      </w:r>
      <w:r w:rsidRPr="003F7D48">
        <w:rPr>
          <w:szCs w:val="20"/>
        </w:rPr>
        <w:t>per cent) and very remote students (52.8–65.6 per cent) (figure 4.25).</w:t>
      </w:r>
    </w:p>
    <w:p w:rsidR="005B746F" w:rsidRPr="003F7D48" w:rsidRDefault="005B746F" w:rsidP="005B746F">
      <w:pPr>
        <w:shd w:val="clear" w:color="auto" w:fill="FFFFFF" w:themeFill="background1"/>
        <w:spacing w:before="240" w:line="320" w:lineRule="atLeast"/>
        <w:jc w:val="both"/>
        <w:rPr>
          <w:szCs w:val="20"/>
        </w:rPr>
      </w:pPr>
      <w:r w:rsidRPr="003F7D48">
        <w:rPr>
          <w:szCs w:val="20"/>
        </w:rPr>
        <w:t>For all geolocation categories across years 3, 5, 7 and 9, the persuasive writing outcomes nationally for Indigenous students were lower than those for non</w:t>
      </w:r>
      <w:r w:rsidRPr="003F7D48">
        <w:rPr>
          <w:szCs w:val="20"/>
        </w:rPr>
        <w:noBreakHyphen/>
        <w:t xml:space="preserve">Indigenous students. Nationally, outcomes for Indigenous students generally declined as remoteness increased, and </w:t>
      </w:r>
      <w:r w:rsidRPr="003F7D48">
        <w:rPr>
          <w:szCs w:val="26"/>
        </w:rPr>
        <w:t>the gap in learning outcomes between Indigenous students and non-Indigenous students was generally greater in remote and very remote areas than in metropolitan and provincial areas.</w:t>
      </w:r>
    </w:p>
    <w:p w:rsidR="005B746F" w:rsidRPr="003F7D48" w:rsidRDefault="005B746F" w:rsidP="005B746F">
      <w:pPr>
        <w:shd w:val="clear" w:color="auto" w:fill="FFFFFF" w:themeFill="background1"/>
        <w:spacing w:before="240" w:line="320" w:lineRule="atLeast"/>
        <w:jc w:val="both"/>
        <w:rPr>
          <w:szCs w:val="20"/>
        </w:rPr>
      </w:pPr>
      <w:r w:rsidRPr="003F7D48">
        <w:rPr>
          <w:szCs w:val="20"/>
        </w:rPr>
        <w:t xml:space="preserve">State and Territory results by Indigenous status and geolocation for years 3, 5, 7 </w:t>
      </w:r>
      <w:r w:rsidRPr="003F7D48">
        <w:rPr>
          <w:szCs w:val="20"/>
        </w:rPr>
        <w:br/>
        <w:t xml:space="preserve">and 9 persuasive writing are in table 4A.55. The general pattern in jurisdictions appears similar to the national results. However, due to relatively large confidence intervals, caution should be exercised when making comparisons for some data. Mean scale score results by Indigenous status and geolocation are provided in </w:t>
      </w:r>
      <w:r w:rsidRPr="003F7D48">
        <w:rPr>
          <w:szCs w:val="20"/>
        </w:rPr>
        <w:br/>
        <w:t>table 4A.58.</w:t>
      </w:r>
    </w:p>
    <w:p w:rsidR="000366AD" w:rsidRPr="003F7D48" w:rsidRDefault="000366AD" w:rsidP="000366AD">
      <w:pPr>
        <w:pStyle w:val="FigureTitle"/>
        <w:shd w:val="clear" w:color="auto" w:fill="FFFFFF" w:themeFill="background1"/>
      </w:pPr>
      <w:r w:rsidRPr="003F7D48">
        <w:rPr>
          <w:b w:val="0"/>
        </w:rPr>
        <w:lastRenderedPageBreak/>
        <w:t>Figure 4.25</w:t>
      </w:r>
      <w:r w:rsidRPr="003F7D48">
        <w:tab/>
        <w:t>National proportion of year 3 students achieving at or above the persuasive writing national minimum standard, by Indigenous status and geolocation, 2012</w:t>
      </w:r>
      <w:r w:rsidRPr="003F7D48">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366AD" w:rsidRPr="003F7D48" w:rsidTr="004B634B">
        <w:tc>
          <w:tcPr>
            <w:tcW w:w="8777" w:type="dxa"/>
          </w:tcPr>
          <w:p w:rsidR="000366AD" w:rsidRPr="003F7D48" w:rsidRDefault="000366AD" w:rsidP="004B634B">
            <w:pPr>
              <w:pStyle w:val="Figure"/>
              <w:shd w:val="clear" w:color="auto" w:fill="FFFFFF" w:themeFill="background1"/>
            </w:pPr>
            <w:r w:rsidRPr="003F7D48">
              <w:rPr>
                <w:noProof/>
              </w:rPr>
              <w:drawing>
                <wp:inline distT="0" distB="0" distL="0" distR="0" wp14:anchorId="61DE888D" wp14:editId="31296948">
                  <wp:extent cx="5391150" cy="2695575"/>
                  <wp:effectExtent l="0" t="0" r="0" b="9525"/>
                  <wp:docPr id="46" name="Picture 46" descr="Figure 4.25 National proportion of year 3 students achieving at or above the persuasive writing national minimum standard, by Indigenous status and geolocation, 2012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366AD" w:rsidRPr="003F7D48" w:rsidRDefault="000366AD" w:rsidP="000366AD">
      <w:pPr>
        <w:keepLines/>
        <w:shd w:val="clear" w:color="auto" w:fill="FFFFFF" w:themeFill="background1"/>
        <w:spacing w:before="80" w:line="220" w:lineRule="exact"/>
        <w:jc w:val="both"/>
        <w:rPr>
          <w:rFonts w:ascii="Arial" w:hAnsi="Arial"/>
          <w:sz w:val="18"/>
          <w:szCs w:val="20"/>
        </w:rPr>
      </w:pPr>
      <w:r w:rsidRPr="003F7D48">
        <w:rPr>
          <w:rFonts w:ascii="Arial" w:hAnsi="Arial"/>
          <w:b/>
          <w:position w:val="6"/>
          <w:sz w:val="18"/>
          <w:szCs w:val="20"/>
        </w:rPr>
        <w:t>a</w:t>
      </w:r>
      <w:r w:rsidRPr="003F7D48">
        <w:rPr>
          <w:rFonts w:ascii="Arial" w:hAnsi="Arial"/>
          <w:sz w:val="18"/>
          <w:szCs w:val="20"/>
        </w:rPr>
        <w:t xml:space="preserve"> Error bars represent the 95 per cent confidence interval associated with each point estimate. </w:t>
      </w:r>
      <w:r w:rsidRPr="003F7D48">
        <w:rPr>
          <w:rFonts w:ascii="Arial" w:hAnsi="Arial"/>
          <w:b/>
          <w:position w:val="6"/>
          <w:sz w:val="18"/>
          <w:szCs w:val="20"/>
        </w:rPr>
        <w:t>b</w:t>
      </w:r>
      <w:r w:rsidRPr="003F7D48">
        <w:rPr>
          <w:rFonts w:ascii="Arial" w:hAnsi="Arial"/>
          <w:sz w:val="18"/>
          <w:szCs w:val="20"/>
        </w:rPr>
        <w:t> Data for year 3 students are shown and may not be representative of students in years 5, 7 an</w:t>
      </w:r>
      <w:r w:rsidR="005C5BE0">
        <w:rPr>
          <w:rFonts w:ascii="Arial" w:hAnsi="Arial"/>
          <w:sz w:val="18"/>
          <w:szCs w:val="20"/>
        </w:rPr>
        <w:t>d 9 which are detailed in table </w:t>
      </w:r>
      <w:r w:rsidRPr="003F7D48">
        <w:rPr>
          <w:rFonts w:ascii="Arial" w:hAnsi="Arial"/>
          <w:sz w:val="18"/>
          <w:szCs w:val="20"/>
        </w:rPr>
        <w:t xml:space="preserve">4A.55. </w:t>
      </w:r>
    </w:p>
    <w:p w:rsidR="000366AD" w:rsidRPr="003F7D48" w:rsidRDefault="000366AD" w:rsidP="000366AD">
      <w:pPr>
        <w:keepLines/>
        <w:shd w:val="clear" w:color="auto" w:fill="FFFFFF" w:themeFill="background1"/>
        <w:spacing w:before="80" w:after="12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xml:space="preserve">: ACARA (2012 and unpublished) </w:t>
      </w:r>
      <w:r w:rsidRPr="003F7D48">
        <w:rPr>
          <w:rFonts w:ascii="Arial" w:hAnsi="Arial"/>
          <w:i/>
          <w:sz w:val="18"/>
          <w:szCs w:val="20"/>
        </w:rPr>
        <w:t>NAPLAN Achievement in Reading, Writing, Language Conventions and Numeracy: National Report for 2012</w:t>
      </w:r>
      <w:r w:rsidRPr="003F7D48">
        <w:rPr>
          <w:rFonts w:ascii="Arial" w:hAnsi="Arial"/>
          <w:sz w:val="18"/>
          <w:szCs w:val="20"/>
        </w:rPr>
        <w:t>; table 4A.55; 2014 Report, figure 4.43, p. 4.75.</w:t>
      </w:r>
    </w:p>
    <w:p w:rsidR="00625C15" w:rsidRPr="003F7D48" w:rsidRDefault="00625C15" w:rsidP="00625C15">
      <w:pPr>
        <w:keepNext/>
        <w:spacing w:before="480" w:line="320" w:lineRule="exact"/>
        <w:outlineLvl w:val="4"/>
        <w:rPr>
          <w:i/>
        </w:rPr>
      </w:pPr>
      <w:r w:rsidRPr="003F7D48">
        <w:rPr>
          <w:b/>
          <w:i/>
        </w:rPr>
        <w:t>National Assessment Program</w:t>
      </w:r>
    </w:p>
    <w:p w:rsidR="000366AD" w:rsidRPr="003F7D48" w:rsidRDefault="000366AD" w:rsidP="000366AD">
      <w:pPr>
        <w:keepNext/>
        <w:shd w:val="clear" w:color="auto" w:fill="FFFFFF" w:themeFill="background1"/>
        <w:spacing w:before="480" w:line="320" w:lineRule="exact"/>
        <w:outlineLvl w:val="4"/>
        <w:rPr>
          <w:i/>
          <w:szCs w:val="20"/>
        </w:rPr>
      </w:pPr>
      <w:r w:rsidRPr="003F7D48">
        <w:rPr>
          <w:i/>
          <w:szCs w:val="20"/>
        </w:rPr>
        <w:t>National Assessment Program — Science literacy</w:t>
      </w:r>
    </w:p>
    <w:p w:rsidR="000366AD" w:rsidRPr="003F7D48" w:rsidRDefault="000366AD" w:rsidP="000366AD">
      <w:pPr>
        <w:pStyle w:val="BodyText"/>
      </w:pPr>
      <w:r w:rsidRPr="003F7D48">
        <w:t xml:space="preserve">The National Year 6 Science literacy assessment was conducted for the first time in 2003 and is repeated triennially. In 2012, </w:t>
      </w:r>
      <w:r w:rsidR="00414709" w:rsidRPr="003F7D48">
        <w:rPr>
          <w:shd w:val="clear" w:color="auto" w:fill="FFFFFF" w:themeFill="background1"/>
        </w:rPr>
        <w:t>13</w:t>
      </w:r>
      <w:r w:rsidR="00245C09" w:rsidRPr="003F7D48">
        <w:rPr>
          <w:shd w:val="clear" w:color="auto" w:fill="FFFFFF" w:themeFill="background1"/>
        </w:rPr>
        <w:t xml:space="preserve"> </w:t>
      </w:r>
      <w:r w:rsidRPr="003F7D48">
        <w:rPr>
          <w:shd w:val="clear" w:color="auto" w:fill="FFFFFF" w:themeFill="background1"/>
        </w:rPr>
        <w:t xml:space="preserve">236 </w:t>
      </w:r>
      <w:r w:rsidRPr="003F7D48">
        <w:t xml:space="preserve">year 6 students from </w:t>
      </w:r>
      <w:r w:rsidRPr="003F7D48">
        <w:br/>
      </w:r>
      <w:r w:rsidRPr="003F7D48">
        <w:rPr>
          <w:shd w:val="clear" w:color="auto" w:fill="FFFFFF" w:themeFill="background1"/>
        </w:rPr>
        <w:t>617</w:t>
      </w:r>
      <w:r w:rsidRPr="003F7D48">
        <w:t xml:space="preserve"> government and non</w:t>
      </w:r>
      <w:r w:rsidRPr="003F7D48">
        <w:noBreakHyphen/>
        <w:t>government schools from all states and territories participated in the assessment (</w:t>
      </w:r>
      <w:r w:rsidR="00682C28" w:rsidRPr="003F7D48">
        <w:t>ACARA 2013</w:t>
      </w:r>
      <w:r w:rsidR="00A96CA8" w:rsidRPr="003F7D48">
        <w:t>a</w:t>
      </w:r>
      <w:r w:rsidR="00682C28" w:rsidRPr="003F7D48">
        <w:t>).</w:t>
      </w:r>
    </w:p>
    <w:p w:rsidR="000366AD" w:rsidRPr="003F7D48" w:rsidRDefault="000366AD" w:rsidP="000366AD">
      <w:pPr>
        <w:spacing w:before="240" w:line="320" w:lineRule="atLeast"/>
        <w:jc w:val="both"/>
      </w:pPr>
      <w:r w:rsidRPr="003F7D48">
        <w:rPr>
          <w:szCs w:val="20"/>
        </w:rPr>
        <w:t xml:space="preserve">Nationally in 2012, </w:t>
      </w:r>
      <w:r w:rsidRPr="003F7D48">
        <w:t>14.3–25.9 per cent of Indigenous year 6 students achieved at the proficient standard or above in science literacy performance, significantly lower than the proportion for non</w:t>
      </w:r>
      <w:r w:rsidRPr="003F7D48">
        <w:noBreakHyphen/>
        <w:t>Indigenous students (50.8–54.8 per cent) (table 4A.91).</w:t>
      </w:r>
    </w:p>
    <w:p w:rsidR="000366AD" w:rsidRPr="003F7D48" w:rsidRDefault="000366AD" w:rsidP="000366AD">
      <w:pPr>
        <w:keepNext/>
        <w:spacing w:before="480" w:line="320" w:lineRule="exact"/>
        <w:outlineLvl w:val="4"/>
        <w:rPr>
          <w:b/>
          <w:i/>
        </w:rPr>
      </w:pPr>
      <w:r w:rsidRPr="003F7D48">
        <w:rPr>
          <w:b/>
          <w:i/>
        </w:rPr>
        <w:t>PISA assessment</w:t>
      </w:r>
    </w:p>
    <w:p w:rsidR="000366AD" w:rsidRPr="003F7D48" w:rsidRDefault="000366AD" w:rsidP="000366AD">
      <w:pPr>
        <w:pStyle w:val="BodyText"/>
        <w:rPr>
          <w:rStyle w:val="DraftingNote"/>
          <w:color w:val="auto"/>
        </w:rPr>
      </w:pPr>
      <w:r w:rsidRPr="003F7D48">
        <w:t xml:space="preserve">The Programme for International Student Assessment (PISA) </w:t>
      </w:r>
      <w:r w:rsidRPr="003F7D48">
        <w:rPr>
          <w:shd w:val="clear" w:color="auto" w:fill="FFFFFF" w:themeFill="background1"/>
        </w:rPr>
        <w:t xml:space="preserve">is a sample assessment undertaken every </w:t>
      </w:r>
      <w:r w:rsidRPr="003F7D48">
        <w:t>three years (box 4.4). Data from PISA 2012 are included for</w:t>
      </w:r>
      <w:r w:rsidR="005D2EFD" w:rsidRPr="003F7D48">
        <w:t xml:space="preserve"> the first time in this Report.</w:t>
      </w:r>
    </w:p>
    <w:p w:rsidR="000366AD" w:rsidRPr="003F7D48" w:rsidRDefault="000366AD" w:rsidP="000366AD">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366AD" w:rsidRPr="003F7D48" w:rsidTr="004B634B">
        <w:tc>
          <w:tcPr>
            <w:tcW w:w="8771" w:type="dxa"/>
            <w:tcBorders>
              <w:top w:val="single" w:sz="6" w:space="0" w:color="auto"/>
              <w:bottom w:val="nil"/>
            </w:tcBorders>
          </w:tcPr>
          <w:p w:rsidR="000366AD" w:rsidRPr="003F7D48" w:rsidRDefault="000366AD" w:rsidP="000366AD">
            <w:pPr>
              <w:pStyle w:val="BoxTitle"/>
            </w:pPr>
            <w:r w:rsidRPr="003F7D48">
              <w:rPr>
                <w:b w:val="0"/>
              </w:rPr>
              <w:t>Box 4.4</w:t>
            </w:r>
            <w:r w:rsidRPr="003F7D48">
              <w:rPr>
                <w:b w:val="0"/>
              </w:rPr>
              <w:tab/>
            </w:r>
            <w:r w:rsidRPr="003F7D48">
              <w:t>Programme for International Student Assessment</w:t>
            </w:r>
          </w:p>
        </w:tc>
      </w:tr>
      <w:tr w:rsidR="000366AD" w:rsidRPr="003F7D48" w:rsidTr="004B634B">
        <w:trPr>
          <w:cantSplit/>
        </w:trPr>
        <w:tc>
          <w:tcPr>
            <w:tcW w:w="8771" w:type="dxa"/>
            <w:tcBorders>
              <w:top w:val="nil"/>
              <w:left w:val="single" w:sz="6" w:space="0" w:color="auto"/>
              <w:bottom w:val="nil"/>
              <w:right w:val="single" w:sz="6" w:space="0" w:color="auto"/>
            </w:tcBorders>
          </w:tcPr>
          <w:p w:rsidR="000366AD" w:rsidRPr="003F7D48" w:rsidRDefault="000366AD" w:rsidP="004B634B">
            <w:pPr>
              <w:keepNext/>
              <w:spacing w:before="120" w:line="280" w:lineRule="atLeast"/>
              <w:jc w:val="both"/>
              <w:rPr>
                <w:rFonts w:ascii="Arial" w:hAnsi="Arial"/>
                <w:sz w:val="22"/>
                <w:szCs w:val="20"/>
              </w:rPr>
            </w:pPr>
            <w:r w:rsidRPr="003F7D48">
              <w:rPr>
                <w:rFonts w:ascii="Arial" w:hAnsi="Arial"/>
                <w:sz w:val="22"/>
                <w:szCs w:val="20"/>
              </w:rPr>
              <w:t xml:space="preserve">PISA provides learning outcomes data for 15 year olds in three core assessment domains: reading literacy, mathematical literacy and scientific literacy. In 2012, around </w:t>
            </w:r>
            <w:r w:rsidRPr="003F7D48">
              <w:rPr>
                <w:rFonts w:ascii="Arial" w:hAnsi="Arial"/>
                <w:sz w:val="22"/>
                <w:szCs w:val="20"/>
                <w:shd w:val="clear" w:color="auto" w:fill="FFFFFF" w:themeFill="background1"/>
              </w:rPr>
              <w:t>510 000 students from 65 countries and economies participated in the PISA assessment. From Australia, this included 14 481 students from 775 schools. Mathematical literacy was</w:t>
            </w:r>
            <w:r w:rsidRPr="003F7D48">
              <w:rPr>
                <w:rFonts w:ascii="Arial" w:hAnsi="Arial"/>
                <w:sz w:val="22"/>
                <w:szCs w:val="20"/>
              </w:rPr>
              <w:t xml:space="preserve"> the major domain tested in PISA 2012. </w:t>
            </w:r>
          </w:p>
          <w:p w:rsidR="000366AD" w:rsidRPr="003F7D48" w:rsidRDefault="000366AD" w:rsidP="004B634B">
            <w:pPr>
              <w:keepNext/>
              <w:spacing w:before="120" w:line="280" w:lineRule="atLeast"/>
              <w:jc w:val="both"/>
              <w:rPr>
                <w:rFonts w:ascii="Arial" w:hAnsi="Arial"/>
                <w:sz w:val="22"/>
                <w:szCs w:val="20"/>
              </w:rPr>
            </w:pPr>
            <w:r w:rsidRPr="003F7D48">
              <w:rPr>
                <w:rFonts w:ascii="Arial" w:hAnsi="Arial"/>
                <w:sz w:val="22"/>
                <w:szCs w:val="20"/>
              </w:rPr>
              <w:t xml:space="preserve">Time series comparisons can only be made across PISA data once a subject has been a major assessment domain. All domains have now been the subject of a major assessment, but in different </w:t>
            </w:r>
            <w:r w:rsidRPr="003F7D48">
              <w:rPr>
                <w:rFonts w:ascii="Arial" w:hAnsi="Arial"/>
                <w:sz w:val="22"/>
                <w:szCs w:val="20"/>
                <w:shd w:val="clear" w:color="auto" w:fill="FFFFFF" w:themeFill="background1"/>
              </w:rPr>
              <w:t>cycles.</w:t>
            </w:r>
          </w:p>
          <w:p w:rsidR="000366AD" w:rsidRPr="003F7D48" w:rsidRDefault="000366AD" w:rsidP="004B634B">
            <w:pPr>
              <w:keepNext/>
              <w:shd w:val="clear" w:color="auto" w:fill="FFFFFF" w:themeFill="background1"/>
              <w:spacing w:before="120" w:line="280" w:lineRule="atLeast"/>
              <w:jc w:val="both"/>
              <w:rPr>
                <w:rFonts w:ascii="Arial" w:hAnsi="Arial"/>
                <w:sz w:val="22"/>
                <w:szCs w:val="20"/>
              </w:rPr>
            </w:pPr>
            <w:r w:rsidRPr="003F7D48">
              <w:rPr>
                <w:rFonts w:ascii="Arial" w:hAnsi="Arial"/>
                <w:sz w:val="22"/>
                <w:szCs w:val="20"/>
                <w:shd w:val="clear" w:color="auto" w:fill="FFFFFF" w:themeFill="background1"/>
              </w:rPr>
              <w:t>The national proficient standard is set at Proficiency level 3.</w:t>
            </w:r>
          </w:p>
          <w:p w:rsidR="000366AD" w:rsidRPr="003F7D48" w:rsidRDefault="000366AD" w:rsidP="004B634B">
            <w:pPr>
              <w:keepNext/>
              <w:spacing w:before="120" w:line="280" w:lineRule="atLeast"/>
              <w:jc w:val="both"/>
              <w:rPr>
                <w:rFonts w:ascii="Arial" w:hAnsi="Arial"/>
                <w:sz w:val="22"/>
                <w:szCs w:val="20"/>
              </w:rPr>
            </w:pPr>
            <w:r w:rsidRPr="003F7D48">
              <w:rPr>
                <w:rFonts w:ascii="Arial" w:hAnsi="Arial"/>
                <w:sz w:val="22"/>
                <w:szCs w:val="20"/>
              </w:rPr>
              <w:t>Further information on PISA is available at the PISA website: www.acer.edu.au/ozpisa/reports.</w:t>
            </w:r>
          </w:p>
        </w:tc>
      </w:tr>
      <w:tr w:rsidR="000366AD" w:rsidRPr="003F7D48" w:rsidTr="004B634B">
        <w:trPr>
          <w:cantSplit/>
        </w:trPr>
        <w:tc>
          <w:tcPr>
            <w:tcW w:w="8771" w:type="dxa"/>
            <w:tcBorders>
              <w:top w:val="nil"/>
              <w:left w:val="single" w:sz="6" w:space="0" w:color="auto"/>
              <w:bottom w:val="nil"/>
              <w:right w:val="single" w:sz="6" w:space="0" w:color="auto"/>
            </w:tcBorders>
          </w:tcPr>
          <w:p w:rsidR="000366AD" w:rsidRPr="003F7D48" w:rsidRDefault="000366AD" w:rsidP="004B634B">
            <w:pPr>
              <w:keepLines/>
              <w:spacing w:before="180" w:line="220" w:lineRule="exact"/>
              <w:jc w:val="both"/>
              <w:rPr>
                <w:rFonts w:ascii="Arial" w:hAnsi="Arial"/>
                <w:sz w:val="18"/>
                <w:szCs w:val="20"/>
              </w:rPr>
            </w:pPr>
            <w:r w:rsidRPr="003F7D48">
              <w:rPr>
                <w:rFonts w:ascii="Arial" w:hAnsi="Arial"/>
                <w:i/>
                <w:sz w:val="18"/>
                <w:szCs w:val="20"/>
              </w:rPr>
              <w:t>Source</w:t>
            </w:r>
            <w:r w:rsidRPr="003F7D48">
              <w:rPr>
                <w:rFonts w:ascii="Arial" w:hAnsi="Arial"/>
                <w:sz w:val="18"/>
                <w:szCs w:val="20"/>
              </w:rPr>
              <w:t>: Australian Council for Educational Research (ACER) (2013).</w:t>
            </w:r>
          </w:p>
        </w:tc>
      </w:tr>
      <w:tr w:rsidR="000366AD" w:rsidRPr="003F7D48" w:rsidTr="004B634B">
        <w:trPr>
          <w:cantSplit/>
        </w:trPr>
        <w:tc>
          <w:tcPr>
            <w:tcW w:w="8771" w:type="dxa"/>
            <w:tcBorders>
              <w:top w:val="nil"/>
              <w:left w:val="single" w:sz="6" w:space="0" w:color="auto"/>
              <w:bottom w:val="single" w:sz="6" w:space="0" w:color="auto"/>
              <w:right w:val="single" w:sz="6" w:space="0" w:color="auto"/>
            </w:tcBorders>
          </w:tcPr>
          <w:p w:rsidR="000366AD" w:rsidRPr="003F7D48" w:rsidRDefault="000366AD" w:rsidP="004B634B">
            <w:pPr>
              <w:keepNext/>
              <w:spacing w:line="120" w:lineRule="exact"/>
              <w:jc w:val="both"/>
              <w:rPr>
                <w:rFonts w:ascii="Arial" w:hAnsi="Arial"/>
                <w:sz w:val="22"/>
                <w:szCs w:val="20"/>
              </w:rPr>
            </w:pPr>
          </w:p>
        </w:tc>
      </w:tr>
      <w:tr w:rsidR="000366AD" w:rsidRPr="003F7D48" w:rsidTr="004B634B">
        <w:tc>
          <w:tcPr>
            <w:tcW w:w="8771" w:type="dxa"/>
            <w:tcBorders>
              <w:top w:val="nil"/>
              <w:left w:val="nil"/>
              <w:bottom w:val="nil"/>
              <w:right w:val="nil"/>
            </w:tcBorders>
          </w:tcPr>
          <w:p w:rsidR="000366AD" w:rsidRPr="003F7D48" w:rsidRDefault="000366AD" w:rsidP="004B634B">
            <w:pPr>
              <w:spacing w:before="60" w:after="60" w:line="80" w:lineRule="exact"/>
              <w:jc w:val="both"/>
              <w:rPr>
                <w:rFonts w:ascii="Arial" w:hAnsi="Arial"/>
                <w:b/>
                <w:color w:val="FF00FF"/>
                <w:sz w:val="14"/>
                <w:szCs w:val="20"/>
              </w:rPr>
            </w:pPr>
          </w:p>
        </w:tc>
      </w:tr>
    </w:tbl>
    <w:p w:rsidR="00297E8B" w:rsidRPr="003F7D48" w:rsidRDefault="00297E8B" w:rsidP="00297E8B">
      <w:pPr>
        <w:keepNext/>
        <w:spacing w:before="480" w:line="320" w:lineRule="exact"/>
        <w:outlineLvl w:val="4"/>
        <w:rPr>
          <w:i/>
          <w:szCs w:val="20"/>
        </w:rPr>
      </w:pPr>
      <w:r w:rsidRPr="003F7D48">
        <w:rPr>
          <w:i/>
          <w:szCs w:val="20"/>
        </w:rPr>
        <w:t>PISA reading literacy</w:t>
      </w:r>
    </w:p>
    <w:p w:rsidR="00297E8B" w:rsidRPr="003F7D48" w:rsidRDefault="00297E8B" w:rsidP="00297E8B">
      <w:pPr>
        <w:shd w:val="clear" w:color="auto" w:fill="FFFFFF" w:themeFill="background1"/>
        <w:spacing w:before="240" w:line="320" w:lineRule="atLeast"/>
        <w:jc w:val="both"/>
      </w:pPr>
      <w:r w:rsidRPr="003F7D48">
        <w:rPr>
          <w:szCs w:val="20"/>
        </w:rPr>
        <w:t xml:space="preserve">The proportion who achieved level 3 or above for reading literacy in 2012 was </w:t>
      </w:r>
      <w:r w:rsidRPr="003F7D48">
        <w:rPr>
          <w:shd w:val="clear" w:color="auto" w:fill="FFFFFF" w:themeFill="background1"/>
        </w:rPr>
        <w:t>27.3–33.9 per cent for Indigenous students, compared with 64.1–66.7 per cent for non-Indigenous</w:t>
      </w:r>
      <w:r w:rsidRPr="003F7D48">
        <w:t xml:space="preserve"> students.</w:t>
      </w:r>
    </w:p>
    <w:p w:rsidR="00297E8B" w:rsidRPr="003F7D48" w:rsidRDefault="00297E8B" w:rsidP="00297E8B">
      <w:pPr>
        <w:keepNext/>
        <w:spacing w:before="480" w:line="320" w:lineRule="exact"/>
        <w:outlineLvl w:val="4"/>
        <w:rPr>
          <w:i/>
          <w:szCs w:val="20"/>
        </w:rPr>
      </w:pPr>
      <w:r w:rsidRPr="003F7D48">
        <w:rPr>
          <w:i/>
          <w:szCs w:val="20"/>
        </w:rPr>
        <w:t>PISA mathematical literacy</w:t>
      </w:r>
    </w:p>
    <w:p w:rsidR="00297E8B" w:rsidRPr="003F7D48" w:rsidRDefault="00297E8B" w:rsidP="00297E8B">
      <w:pPr>
        <w:spacing w:before="240" w:line="320" w:lineRule="atLeast"/>
        <w:jc w:val="both"/>
        <w:rPr>
          <w:szCs w:val="20"/>
        </w:rPr>
      </w:pPr>
      <w:r w:rsidRPr="003F7D48">
        <w:rPr>
          <w:szCs w:val="20"/>
        </w:rPr>
        <w:t xml:space="preserve">The proportion who achieved level 3 or above for mathematical literacy in PISA 2012 was </w:t>
      </w:r>
      <w:r w:rsidRPr="003F7D48">
        <w:rPr>
          <w:szCs w:val="20"/>
          <w:shd w:val="clear" w:color="auto" w:fill="FFFFFF" w:themeFill="background1"/>
        </w:rPr>
        <w:t>20.1–26.3 per cent for Indigenous students, compared to 58.2–61.2 per cent for non-Indigenous</w:t>
      </w:r>
      <w:r w:rsidRPr="003F7D48">
        <w:rPr>
          <w:szCs w:val="20"/>
        </w:rPr>
        <w:t xml:space="preserve"> students.</w:t>
      </w:r>
    </w:p>
    <w:p w:rsidR="000366AD" w:rsidRPr="003F7D48" w:rsidRDefault="00297E8B" w:rsidP="00297E8B">
      <w:pPr>
        <w:keepNext/>
        <w:spacing w:before="480" w:line="320" w:lineRule="exact"/>
        <w:outlineLvl w:val="4"/>
        <w:rPr>
          <w:i/>
          <w:szCs w:val="20"/>
        </w:rPr>
      </w:pPr>
      <w:r w:rsidRPr="003F7D48">
        <w:rPr>
          <w:i/>
          <w:szCs w:val="20"/>
        </w:rPr>
        <w:t>PISA scientific literacy</w:t>
      </w:r>
    </w:p>
    <w:p w:rsidR="00297E8B" w:rsidRPr="003F7D48" w:rsidRDefault="00297E8B" w:rsidP="00297E8B">
      <w:pPr>
        <w:spacing w:before="240" w:line="320" w:lineRule="atLeast"/>
        <w:jc w:val="both"/>
        <w:rPr>
          <w:szCs w:val="20"/>
        </w:rPr>
      </w:pPr>
      <w:r w:rsidRPr="003F7D48">
        <w:rPr>
          <w:szCs w:val="20"/>
        </w:rPr>
        <w:t>The proportion who achieved level 3 or above for scientific literacy in PISA 2012 was</w:t>
      </w:r>
      <w:r w:rsidR="00AD4523" w:rsidRPr="003F7D48">
        <w:rPr>
          <w:szCs w:val="20"/>
        </w:rPr>
        <w:t xml:space="preserve"> </w:t>
      </w:r>
      <w:r w:rsidRPr="003F7D48">
        <w:rPr>
          <w:szCs w:val="20"/>
          <w:shd w:val="clear" w:color="auto" w:fill="FFFFFF" w:themeFill="background1"/>
        </w:rPr>
        <w:t>29.6–36.4 per cent for Indigenous students, compared to 64.6–67.4 per cent for non-Indigenous</w:t>
      </w:r>
      <w:r w:rsidRPr="003F7D48">
        <w:rPr>
          <w:szCs w:val="20"/>
        </w:rPr>
        <w:t xml:space="preserve"> students.</w:t>
      </w:r>
    </w:p>
    <w:p w:rsidR="001C601E" w:rsidRPr="003F7D48" w:rsidRDefault="001C601E" w:rsidP="001C601E">
      <w:pPr>
        <w:keepNext/>
        <w:spacing w:before="560" w:line="320" w:lineRule="exact"/>
        <w:outlineLvl w:val="2"/>
        <w:rPr>
          <w:rFonts w:ascii="Arial" w:hAnsi="Arial"/>
          <w:b/>
          <w:szCs w:val="20"/>
        </w:rPr>
      </w:pPr>
      <w:bookmarkStart w:id="83" w:name="_Toc316974028"/>
      <w:bookmarkStart w:id="84" w:name="_Toc318981217"/>
      <w:bookmarkStart w:id="85" w:name="_Toc319589154"/>
      <w:bookmarkStart w:id="86" w:name="_Toc320770610"/>
      <w:bookmarkStart w:id="87" w:name="_Toc347391013"/>
      <w:bookmarkStart w:id="88" w:name="_Toc379459342"/>
      <w:bookmarkStart w:id="89" w:name="_Toc379459452"/>
      <w:bookmarkStart w:id="90" w:name="_Toc382471407"/>
      <w:bookmarkStart w:id="91" w:name="_Toc383520571"/>
      <w:r w:rsidRPr="003F7D48">
        <w:rPr>
          <w:rFonts w:ascii="Arial" w:hAnsi="Arial"/>
          <w:b/>
          <w:szCs w:val="20"/>
        </w:rPr>
        <w:lastRenderedPageBreak/>
        <w:t>Future directions in performance reporting</w:t>
      </w:r>
      <w:bookmarkEnd w:id="83"/>
      <w:bookmarkEnd w:id="84"/>
      <w:bookmarkEnd w:id="85"/>
      <w:bookmarkEnd w:id="86"/>
      <w:bookmarkEnd w:id="87"/>
      <w:bookmarkEnd w:id="88"/>
      <w:bookmarkEnd w:id="89"/>
      <w:bookmarkEnd w:id="90"/>
      <w:bookmarkEnd w:id="91"/>
    </w:p>
    <w:p w:rsidR="001C601E" w:rsidRPr="003F7D48" w:rsidRDefault="001C601E" w:rsidP="00245C09">
      <w:pPr>
        <w:pStyle w:val="Heading5"/>
      </w:pPr>
      <w:bookmarkStart w:id="92" w:name="_Toc319589155"/>
      <w:bookmarkStart w:id="93" w:name="_Toc320770611"/>
      <w:bookmarkStart w:id="94" w:name="_Toc347391014"/>
      <w:bookmarkStart w:id="95" w:name="_Toc379459343"/>
      <w:bookmarkStart w:id="96" w:name="_Toc379459453"/>
      <w:bookmarkStart w:id="97" w:name="_Toc382471408"/>
      <w:r w:rsidRPr="003F7D48">
        <w:t>Nationally comparable reporting of learning outcomes</w:t>
      </w:r>
      <w:bookmarkEnd w:id="92"/>
      <w:bookmarkEnd w:id="93"/>
      <w:bookmarkEnd w:id="94"/>
      <w:bookmarkEnd w:id="95"/>
      <w:bookmarkEnd w:id="96"/>
      <w:bookmarkEnd w:id="97"/>
      <w:r w:rsidRPr="003F7D48">
        <w:t xml:space="preserve"> </w:t>
      </w:r>
    </w:p>
    <w:p w:rsidR="007A51EE" w:rsidRPr="003F7D48" w:rsidRDefault="007A51EE" w:rsidP="007A51EE">
      <w:pPr>
        <w:spacing w:before="240" w:line="320" w:lineRule="atLeast"/>
        <w:jc w:val="both"/>
        <w:rPr>
          <w:szCs w:val="20"/>
        </w:rPr>
      </w:pPr>
      <w:r w:rsidRPr="003F7D48">
        <w:rPr>
          <w:szCs w:val="20"/>
        </w:rPr>
        <w:t xml:space="preserve">The National Summary Report of results from the 2013 NAPLAN was released in September 2013 </w:t>
      </w:r>
      <w:bookmarkStart w:id="98" w:name="OLE_LINK92"/>
      <w:bookmarkStart w:id="99" w:name="OLE_LINK93"/>
      <w:r w:rsidRPr="003F7D48">
        <w:rPr>
          <w:szCs w:val="20"/>
        </w:rPr>
        <w:t xml:space="preserve">(ACARA 2013b). </w:t>
      </w:r>
      <w:bookmarkEnd w:id="98"/>
      <w:bookmarkEnd w:id="99"/>
      <w:r w:rsidRPr="003F7D48">
        <w:rPr>
          <w:szCs w:val="20"/>
        </w:rPr>
        <w:t>Results from a second report with more detailed information (including disaggregation by Indigenous status and geolocation) will be included in the 2015 Report.</w:t>
      </w:r>
    </w:p>
    <w:p w:rsidR="007A51EE" w:rsidRPr="003F7D48" w:rsidRDefault="007A51EE" w:rsidP="00245C09">
      <w:pPr>
        <w:pStyle w:val="Heading5"/>
      </w:pPr>
      <w:bookmarkStart w:id="100" w:name="_Toc379459344"/>
      <w:bookmarkStart w:id="101" w:name="_Toc379459454"/>
      <w:bookmarkStart w:id="102" w:name="_Toc382471409"/>
      <w:r w:rsidRPr="003F7D48">
        <w:t>Nationally consistent definitions</w:t>
      </w:r>
      <w:bookmarkEnd w:id="100"/>
      <w:bookmarkEnd w:id="101"/>
      <w:bookmarkEnd w:id="102"/>
    </w:p>
    <w:p w:rsidR="007A51EE" w:rsidRPr="003F7D48" w:rsidRDefault="007A51EE" w:rsidP="007A51EE">
      <w:pPr>
        <w:shd w:val="clear" w:color="auto" w:fill="FFFFFF" w:themeFill="background1"/>
        <w:spacing w:before="240" w:line="320" w:lineRule="atLeast"/>
        <w:jc w:val="both"/>
        <w:rPr>
          <w:szCs w:val="20"/>
        </w:rPr>
      </w:pPr>
      <w:r w:rsidRPr="003F7D48">
        <w:rPr>
          <w:szCs w:val="20"/>
        </w:rPr>
        <w:t>Nationally consistent definitions of most student background characteristics have been adopted for national reporting on students’ educational achievement and outcomes. Ministers have endorsed standard definitions of sex, Indigenous status, disability, socio-economic background, language bac</w:t>
      </w:r>
      <w:r w:rsidRPr="003F7D48">
        <w:rPr>
          <w:szCs w:val="20"/>
          <w:shd w:val="clear" w:color="auto" w:fill="FFFFFF" w:themeFill="background1"/>
        </w:rPr>
        <w:t>kground and geographic location. Nationally consistent data on students with disability for students’ outcomes reporting is under development.</w:t>
      </w:r>
    </w:p>
    <w:p w:rsidR="001C601E" w:rsidRPr="003F7D48" w:rsidRDefault="001C601E" w:rsidP="001C601E">
      <w:pPr>
        <w:keepNext/>
        <w:spacing w:before="560" w:line="320" w:lineRule="exact"/>
        <w:outlineLvl w:val="2"/>
        <w:rPr>
          <w:rFonts w:ascii="Arial" w:hAnsi="Arial"/>
          <w:b/>
          <w:szCs w:val="20"/>
        </w:rPr>
      </w:pPr>
      <w:bookmarkStart w:id="103" w:name="_Toc316974029"/>
      <w:bookmarkStart w:id="104" w:name="_Toc318981218"/>
      <w:bookmarkStart w:id="105" w:name="_Toc319589156"/>
      <w:bookmarkStart w:id="106" w:name="_Toc320770612"/>
      <w:bookmarkStart w:id="107" w:name="_Toc347391016"/>
      <w:bookmarkStart w:id="108" w:name="_Toc379459345"/>
      <w:bookmarkStart w:id="109" w:name="_Toc379459455"/>
      <w:bookmarkStart w:id="110" w:name="_Toc382471410"/>
      <w:bookmarkStart w:id="111" w:name="_Toc383520572"/>
      <w:r w:rsidRPr="003F7D48">
        <w:rPr>
          <w:rFonts w:ascii="Arial" w:hAnsi="Arial"/>
          <w:b/>
          <w:szCs w:val="20"/>
        </w:rPr>
        <w:lastRenderedPageBreak/>
        <w:t>Definitions of key terms</w:t>
      </w:r>
      <w:bookmarkEnd w:id="103"/>
      <w:bookmarkEnd w:id="104"/>
      <w:bookmarkEnd w:id="105"/>
      <w:bookmarkEnd w:id="106"/>
      <w:bookmarkEnd w:id="107"/>
      <w:bookmarkEnd w:id="108"/>
      <w:bookmarkEnd w:id="109"/>
      <w:bookmarkEnd w:id="110"/>
      <w:bookmarkEnd w:id="111"/>
    </w:p>
    <w:tbl>
      <w:tblPr>
        <w:tblW w:w="0" w:type="auto"/>
        <w:tblLayout w:type="fixed"/>
        <w:tblCellMar>
          <w:left w:w="0" w:type="dxa"/>
          <w:right w:w="0" w:type="dxa"/>
        </w:tblCellMar>
        <w:tblLook w:val="0000" w:firstRow="0" w:lastRow="0" w:firstColumn="0" w:lastColumn="0" w:noHBand="0" w:noVBand="0"/>
      </w:tblPr>
      <w:tblGrid>
        <w:gridCol w:w="2410"/>
        <w:gridCol w:w="6379"/>
      </w:tblGrid>
      <w:tr w:rsidR="0003687A" w:rsidRPr="003F7D48" w:rsidTr="001F2E1B">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Apparent retention rates</w:t>
            </w:r>
          </w:p>
        </w:tc>
        <w:tc>
          <w:tcPr>
            <w:tcW w:w="6379" w:type="dxa"/>
          </w:tcPr>
          <w:p w:rsidR="0003687A" w:rsidRPr="003F7D48" w:rsidRDefault="0003687A" w:rsidP="004B634B">
            <w:pPr>
              <w:keepNext/>
              <w:keepLines/>
              <w:spacing w:before="60" w:after="60" w:line="220" w:lineRule="atLeast"/>
              <w:ind w:right="28"/>
              <w:rPr>
                <w:rFonts w:ascii="Arial" w:hAnsi="Arial"/>
                <w:sz w:val="20"/>
                <w:szCs w:val="20"/>
              </w:rPr>
            </w:pPr>
            <w:r w:rsidRPr="003F7D48">
              <w:rPr>
                <w:rFonts w:ascii="Arial" w:hAnsi="Arial"/>
                <w:sz w:val="20"/>
                <w:szCs w:val="20"/>
              </w:rPr>
              <w:t>The number of full time students in a designated year of schooling, expressed as a percentage of their respective cohort group at an earlier base year. For example, the year 12 retention rate is calculated by dividing the total number of full time students in year 12 in the target year by the total number of full time students in year 10 two years before the target year.</w:t>
            </w:r>
          </w:p>
        </w:tc>
      </w:tr>
      <w:tr w:rsidR="0003687A" w:rsidRPr="003F7D48" w:rsidTr="001F2E1B">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Full time student</w:t>
            </w:r>
          </w:p>
        </w:tc>
        <w:tc>
          <w:tcPr>
            <w:tcW w:w="6379" w:type="dxa"/>
          </w:tcPr>
          <w:p w:rsidR="0003687A" w:rsidRPr="003F7D48" w:rsidRDefault="0003687A" w:rsidP="004B634B">
            <w:pPr>
              <w:keepNext/>
              <w:keepLines/>
              <w:spacing w:before="60" w:after="60" w:line="220" w:lineRule="atLeast"/>
              <w:ind w:right="28"/>
              <w:rPr>
                <w:rFonts w:ascii="Arial" w:hAnsi="Arial"/>
                <w:sz w:val="20"/>
                <w:szCs w:val="20"/>
              </w:rPr>
            </w:pPr>
            <w:r w:rsidRPr="003F7D48">
              <w:rPr>
                <w:rFonts w:ascii="Arial" w:hAnsi="Arial"/>
                <w:sz w:val="20"/>
                <w:szCs w:val="20"/>
              </w:rPr>
              <w:t>A person who satisfies the definition of a student and undertakes a workload equivalent to, or greater than, that usually undertaken by a student of that year level. The definition of full time student varies across jurisdictions.</w:t>
            </w:r>
          </w:p>
        </w:tc>
      </w:tr>
      <w:tr w:rsidR="0003687A" w:rsidRPr="003F7D48" w:rsidTr="001F2E1B">
        <w:trPr>
          <w:cantSplit/>
        </w:trPr>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Indigenous student</w:t>
            </w:r>
          </w:p>
        </w:tc>
        <w:tc>
          <w:tcPr>
            <w:tcW w:w="6379" w:type="dxa"/>
          </w:tcPr>
          <w:p w:rsidR="0003687A" w:rsidRPr="003F7D48" w:rsidRDefault="0003687A" w:rsidP="004B634B">
            <w:pPr>
              <w:keepNext/>
              <w:keepLines/>
              <w:spacing w:before="60" w:after="60" w:line="220" w:lineRule="atLeast"/>
              <w:ind w:right="28"/>
              <w:rPr>
                <w:rFonts w:ascii="Arial" w:hAnsi="Arial"/>
                <w:sz w:val="20"/>
                <w:szCs w:val="20"/>
              </w:rPr>
            </w:pPr>
            <w:r w:rsidRPr="003F7D48">
              <w:rPr>
                <w:rFonts w:ascii="Arial" w:hAnsi="Arial"/>
                <w:sz w:val="20"/>
                <w:szCs w:val="20"/>
              </w:rPr>
              <w:t>A student of Aboriginal or Torres Strait Islander origin who identifies as being an Aboriginal or Torres Strait Islander or from an Aboriginal and Torres Strait Islander background. Administrative processes for determining Indigenous status vary across jurisdictions. For NAPLAN data, a student is considered to be 'Indigenous' if he or she identifies as being of Aboriginal and/or Torres Strait Islander origin.</w:t>
            </w:r>
          </w:p>
        </w:tc>
      </w:tr>
      <w:tr w:rsidR="0003687A" w:rsidRPr="003F7D48" w:rsidTr="001F2E1B">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Language background other than English (LBOTE) student</w:t>
            </w:r>
          </w:p>
        </w:tc>
        <w:tc>
          <w:tcPr>
            <w:tcW w:w="6379" w:type="dxa"/>
          </w:tcPr>
          <w:p w:rsidR="0003687A" w:rsidRPr="003F7D48" w:rsidRDefault="0003687A" w:rsidP="004B634B">
            <w:pPr>
              <w:keepNext/>
              <w:keepLines/>
              <w:spacing w:before="60" w:after="60" w:line="220" w:lineRule="atLeast"/>
              <w:ind w:right="28"/>
              <w:rPr>
                <w:rFonts w:ascii="Arial" w:hAnsi="Arial"/>
                <w:sz w:val="20"/>
                <w:szCs w:val="20"/>
              </w:rPr>
            </w:pPr>
            <w:r w:rsidRPr="003F7D48">
              <w:rPr>
                <w:rFonts w:ascii="Arial" w:hAnsi="Arial"/>
                <w:sz w:val="20"/>
                <w:szCs w:val="20"/>
              </w:rPr>
              <w:t>A status that is determined by administrative processes that vary across jurisdictions. For NAPLAN data, a student is considered to be 'LBOTE' if either the student or parents/guardians speak a language other than English at home. Separately, data are also sourced from the 2011 Census of Population and Housing.</w:t>
            </w:r>
          </w:p>
        </w:tc>
      </w:tr>
      <w:tr w:rsidR="0003687A" w:rsidRPr="003F7D48" w:rsidTr="001F2E1B">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Part time student</w:t>
            </w:r>
          </w:p>
        </w:tc>
        <w:tc>
          <w:tcPr>
            <w:tcW w:w="6379" w:type="dxa"/>
          </w:tcPr>
          <w:p w:rsidR="0003687A" w:rsidRPr="003F7D48" w:rsidRDefault="0003687A" w:rsidP="004B634B">
            <w:pPr>
              <w:keepNext/>
              <w:keepLines/>
              <w:spacing w:before="60" w:after="60" w:line="220" w:lineRule="atLeast"/>
              <w:ind w:right="28"/>
              <w:rPr>
                <w:rFonts w:ascii="Arial" w:hAnsi="Arial"/>
                <w:sz w:val="20"/>
                <w:szCs w:val="20"/>
              </w:rPr>
            </w:pPr>
            <w:r w:rsidRPr="003F7D48">
              <w:rPr>
                <w:rFonts w:ascii="Arial" w:hAnsi="Arial"/>
                <w:sz w:val="20"/>
                <w:szCs w:val="20"/>
              </w:rPr>
              <w:t>A student undertaking a workload that is less than that specified as being full time in the jurisdiction</w:t>
            </w:r>
          </w:p>
        </w:tc>
      </w:tr>
      <w:tr w:rsidR="0003687A" w:rsidRPr="003F7D48" w:rsidTr="001F2E1B">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Participation rate</w:t>
            </w:r>
          </w:p>
        </w:tc>
        <w:tc>
          <w:tcPr>
            <w:tcW w:w="6379" w:type="dxa"/>
          </w:tcPr>
          <w:p w:rsidR="0003687A" w:rsidRPr="003F7D48" w:rsidRDefault="0003687A" w:rsidP="004B634B">
            <w:pPr>
              <w:keepNext/>
              <w:keepLines/>
              <w:spacing w:before="60" w:after="60" w:line="220" w:lineRule="atLeast"/>
              <w:ind w:right="113"/>
              <w:rPr>
                <w:rFonts w:ascii="Arial" w:hAnsi="Arial"/>
                <w:sz w:val="20"/>
                <w:szCs w:val="20"/>
              </w:rPr>
            </w:pPr>
            <w:r w:rsidRPr="003F7D48">
              <w:rPr>
                <w:rFonts w:ascii="Arial" w:hAnsi="Arial"/>
                <w:sz w:val="20"/>
                <w:szCs w:val="20"/>
              </w:rPr>
              <w:t>The number of full time and part time school students of a particular age (as at 1 July), expressed as a proportion of the estimated resident population of the same age (as at 30 June).</w:t>
            </w:r>
          </w:p>
        </w:tc>
      </w:tr>
      <w:tr w:rsidR="0003687A" w:rsidRPr="003F7D48" w:rsidTr="001F2E1B">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Potential year 12 population</w:t>
            </w:r>
          </w:p>
        </w:tc>
        <w:tc>
          <w:tcPr>
            <w:tcW w:w="6379" w:type="dxa"/>
          </w:tcPr>
          <w:p w:rsidR="0003687A" w:rsidRPr="003F7D48" w:rsidRDefault="0003687A" w:rsidP="004B634B">
            <w:pPr>
              <w:keepNext/>
              <w:keepLines/>
              <w:spacing w:before="60" w:after="60" w:line="220" w:lineRule="atLeast"/>
              <w:ind w:right="113"/>
              <w:rPr>
                <w:rFonts w:ascii="Arial" w:hAnsi="Arial"/>
                <w:sz w:val="20"/>
                <w:szCs w:val="20"/>
              </w:rPr>
            </w:pPr>
            <w:r w:rsidRPr="003F7D48">
              <w:rPr>
                <w:rFonts w:ascii="Arial" w:hAnsi="Arial"/>
                <w:sz w:val="20"/>
                <w:szCs w:val="20"/>
              </w:rPr>
              <w:t>An estimate of a single-year age group that could have participated in year 12 that year, defined as the estimated resident population aged 15–19 years, divided by 5.</w:t>
            </w:r>
          </w:p>
        </w:tc>
      </w:tr>
      <w:tr w:rsidR="0003687A" w:rsidRPr="003F7D48" w:rsidTr="001F2E1B">
        <w:tc>
          <w:tcPr>
            <w:tcW w:w="2410" w:type="dxa"/>
          </w:tcPr>
          <w:p w:rsidR="0003687A" w:rsidRPr="003F7D48" w:rsidRDefault="0003687A" w:rsidP="004B634B">
            <w:pPr>
              <w:keepNext/>
              <w:keepLines/>
              <w:spacing w:before="60" w:after="60" w:line="220" w:lineRule="atLeast"/>
              <w:ind w:right="113"/>
              <w:rPr>
                <w:rFonts w:ascii="Arial" w:hAnsi="Arial"/>
                <w:b/>
                <w:sz w:val="20"/>
                <w:szCs w:val="20"/>
              </w:rPr>
            </w:pPr>
            <w:r w:rsidRPr="003F7D48">
              <w:rPr>
                <w:rFonts w:ascii="Arial" w:hAnsi="Arial"/>
                <w:b/>
                <w:sz w:val="20"/>
                <w:szCs w:val="20"/>
              </w:rPr>
              <w:t>Science literacy</w:t>
            </w:r>
          </w:p>
        </w:tc>
        <w:tc>
          <w:tcPr>
            <w:tcW w:w="6379" w:type="dxa"/>
          </w:tcPr>
          <w:p w:rsidR="0003687A" w:rsidRPr="003F7D48" w:rsidRDefault="0003687A" w:rsidP="004B634B">
            <w:pPr>
              <w:keepNext/>
              <w:keepLines/>
              <w:spacing w:before="60" w:after="60" w:line="220" w:lineRule="atLeast"/>
              <w:ind w:right="113"/>
              <w:rPr>
                <w:rFonts w:ascii="Arial" w:hAnsi="Arial"/>
                <w:sz w:val="20"/>
                <w:szCs w:val="20"/>
              </w:rPr>
            </w:pPr>
            <w:r w:rsidRPr="003F7D48">
              <w:rPr>
                <w:rFonts w:ascii="Arial" w:hAnsi="Arial"/>
                <w:sz w:val="20"/>
                <w:szCs w:val="20"/>
              </w:rPr>
              <w:t>Science literacy and scientific literacy: the application of broad conceptual understandings of science to make sense of the world, understand natural phenomena, and interpret media reports about scientific issues. It also includes asking investigable questions, conducting investigations, collecting and interpreting data and making decisions.</w:t>
            </w:r>
          </w:p>
        </w:tc>
      </w:tr>
      <w:tr w:rsidR="008022CF" w:rsidRPr="003F7D48" w:rsidTr="001F2E1B">
        <w:tc>
          <w:tcPr>
            <w:tcW w:w="2410" w:type="dxa"/>
          </w:tcPr>
          <w:p w:rsidR="008022CF" w:rsidRPr="003F7D48" w:rsidRDefault="008022CF" w:rsidP="004B634B">
            <w:pPr>
              <w:keepNext/>
              <w:keepLines/>
              <w:spacing w:before="60" w:after="60" w:line="220" w:lineRule="atLeast"/>
              <w:ind w:right="113"/>
              <w:rPr>
                <w:rFonts w:ascii="Arial" w:hAnsi="Arial"/>
                <w:b/>
                <w:sz w:val="20"/>
                <w:szCs w:val="20"/>
              </w:rPr>
            </w:pPr>
            <w:r w:rsidRPr="003F7D48">
              <w:rPr>
                <w:rFonts w:ascii="Arial" w:hAnsi="Arial"/>
                <w:b/>
                <w:sz w:val="20"/>
                <w:szCs w:val="20"/>
              </w:rPr>
              <w:t>Socio-economic status</w:t>
            </w:r>
          </w:p>
        </w:tc>
        <w:tc>
          <w:tcPr>
            <w:tcW w:w="6379" w:type="dxa"/>
          </w:tcPr>
          <w:p w:rsidR="008022CF" w:rsidRPr="003F7D48" w:rsidRDefault="008022CF" w:rsidP="004B634B">
            <w:pPr>
              <w:keepNext/>
              <w:keepLines/>
              <w:spacing w:before="60" w:after="60" w:line="220" w:lineRule="atLeast"/>
              <w:ind w:right="28"/>
              <w:rPr>
                <w:rFonts w:ascii="Arial" w:hAnsi="Arial"/>
                <w:sz w:val="20"/>
                <w:szCs w:val="20"/>
              </w:rPr>
            </w:pPr>
            <w:r w:rsidRPr="003F7D48">
              <w:rPr>
                <w:rFonts w:ascii="Arial" w:hAnsi="Arial"/>
                <w:sz w:val="20"/>
                <w:szCs w:val="20"/>
              </w:rPr>
              <w:t>As identified in footnotes to specific tables.</w:t>
            </w:r>
          </w:p>
        </w:tc>
      </w:tr>
      <w:tr w:rsidR="008022CF" w:rsidRPr="003F7D48" w:rsidTr="001F2E1B">
        <w:tc>
          <w:tcPr>
            <w:tcW w:w="2410" w:type="dxa"/>
          </w:tcPr>
          <w:p w:rsidR="008022CF" w:rsidRPr="003F7D48" w:rsidRDefault="008022CF" w:rsidP="004B634B">
            <w:pPr>
              <w:keepNext/>
              <w:keepLines/>
              <w:spacing w:before="60" w:after="60" w:line="220" w:lineRule="atLeast"/>
              <w:ind w:right="113"/>
              <w:rPr>
                <w:rFonts w:ascii="Arial" w:hAnsi="Arial"/>
                <w:b/>
                <w:sz w:val="20"/>
                <w:szCs w:val="20"/>
              </w:rPr>
            </w:pPr>
            <w:r w:rsidRPr="003F7D48">
              <w:rPr>
                <w:rFonts w:ascii="Arial" w:hAnsi="Arial"/>
                <w:b/>
                <w:sz w:val="20"/>
                <w:szCs w:val="20"/>
              </w:rPr>
              <w:t>Student</w:t>
            </w:r>
          </w:p>
        </w:tc>
        <w:tc>
          <w:tcPr>
            <w:tcW w:w="6379" w:type="dxa"/>
          </w:tcPr>
          <w:p w:rsidR="008022CF" w:rsidRPr="003F7D48" w:rsidRDefault="008022CF" w:rsidP="004B634B">
            <w:pPr>
              <w:keepNext/>
              <w:keepLines/>
              <w:spacing w:before="60" w:after="60" w:line="220" w:lineRule="atLeast"/>
              <w:ind w:right="28"/>
              <w:rPr>
                <w:rFonts w:ascii="Arial" w:hAnsi="Arial"/>
                <w:sz w:val="20"/>
                <w:szCs w:val="20"/>
              </w:rPr>
            </w:pPr>
            <w:r w:rsidRPr="003F7D48">
              <w:rPr>
                <w:rFonts w:ascii="Arial" w:hAnsi="Arial"/>
                <w:sz w:val="20"/>
                <w:szCs w:val="20"/>
              </w:rPr>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tc>
      </w:tr>
      <w:tr w:rsidR="008022CF" w:rsidRPr="003F7D48" w:rsidTr="001F2E1B">
        <w:tc>
          <w:tcPr>
            <w:tcW w:w="2410" w:type="dxa"/>
            <w:shd w:val="clear" w:color="auto" w:fill="auto"/>
          </w:tcPr>
          <w:p w:rsidR="008022CF" w:rsidRPr="003F7D48" w:rsidRDefault="008022CF" w:rsidP="004B634B">
            <w:pPr>
              <w:keepNext/>
              <w:keepLines/>
              <w:spacing w:before="60" w:after="60" w:line="220" w:lineRule="atLeast"/>
              <w:ind w:right="113"/>
              <w:rPr>
                <w:rFonts w:ascii="Arial" w:hAnsi="Arial"/>
                <w:b/>
                <w:sz w:val="20"/>
                <w:szCs w:val="20"/>
              </w:rPr>
            </w:pPr>
            <w:r w:rsidRPr="003F7D48">
              <w:rPr>
                <w:rFonts w:ascii="Arial" w:hAnsi="Arial"/>
                <w:b/>
                <w:sz w:val="20"/>
                <w:szCs w:val="20"/>
              </w:rPr>
              <w:t>Ungraded student</w:t>
            </w:r>
          </w:p>
        </w:tc>
        <w:tc>
          <w:tcPr>
            <w:tcW w:w="6379" w:type="dxa"/>
            <w:shd w:val="clear" w:color="auto" w:fill="auto"/>
          </w:tcPr>
          <w:p w:rsidR="008022CF" w:rsidRPr="003F7D48" w:rsidRDefault="008022CF" w:rsidP="004B634B">
            <w:pPr>
              <w:keepNext/>
              <w:keepLines/>
              <w:spacing w:before="60" w:after="60" w:line="220" w:lineRule="atLeast"/>
              <w:ind w:right="28"/>
              <w:rPr>
                <w:rFonts w:ascii="Arial" w:hAnsi="Arial"/>
                <w:sz w:val="20"/>
                <w:szCs w:val="20"/>
              </w:rPr>
            </w:pPr>
            <w:r w:rsidRPr="003F7D48">
              <w:rPr>
                <w:rFonts w:ascii="Arial" w:hAnsi="Arial"/>
                <w:sz w:val="20"/>
                <w:szCs w:val="20"/>
              </w:rPr>
              <w:t>A student in ungraded classes who cannot readily be allocated to a year of education. These students are included as either ungraded primary or ungraded secondary, according to the typical age level in each jurisdiction.</w:t>
            </w:r>
          </w:p>
        </w:tc>
      </w:tr>
    </w:tbl>
    <w:p w:rsidR="003703CB" w:rsidRPr="003F7D48" w:rsidRDefault="003703CB" w:rsidP="003703CB">
      <w:pPr>
        <w:pStyle w:val="BodyText"/>
      </w:pPr>
      <w:bookmarkStart w:id="112" w:name="_Toc316974030"/>
      <w:bookmarkStart w:id="113" w:name="_Toc318981219"/>
      <w:bookmarkStart w:id="114" w:name="_Toc319589157"/>
      <w:bookmarkStart w:id="115" w:name="_Toc320770613"/>
      <w:r w:rsidRPr="003F7D48">
        <w:br w:type="page"/>
      </w:r>
    </w:p>
    <w:p w:rsidR="001C601E" w:rsidRPr="003F7D48" w:rsidRDefault="001C601E" w:rsidP="001C601E">
      <w:pPr>
        <w:keepNext/>
        <w:spacing w:line="320" w:lineRule="exact"/>
        <w:outlineLvl w:val="2"/>
        <w:rPr>
          <w:rFonts w:ascii="Arial" w:hAnsi="Arial"/>
          <w:b/>
          <w:szCs w:val="20"/>
        </w:rPr>
      </w:pPr>
      <w:bookmarkStart w:id="116" w:name="_Toc347391017"/>
      <w:bookmarkStart w:id="117" w:name="_Toc379459346"/>
      <w:bookmarkStart w:id="118" w:name="_Toc379459456"/>
      <w:bookmarkStart w:id="119" w:name="_Toc382471411"/>
      <w:bookmarkStart w:id="120" w:name="_Toc383520573"/>
      <w:r w:rsidRPr="003F7D48">
        <w:rPr>
          <w:rFonts w:ascii="Arial" w:hAnsi="Arial"/>
          <w:b/>
          <w:szCs w:val="20"/>
        </w:rPr>
        <w:lastRenderedPageBreak/>
        <w:t>List of attachment tables</w:t>
      </w:r>
      <w:bookmarkEnd w:id="112"/>
      <w:bookmarkEnd w:id="113"/>
      <w:bookmarkEnd w:id="114"/>
      <w:bookmarkEnd w:id="115"/>
      <w:bookmarkEnd w:id="116"/>
      <w:bookmarkEnd w:id="117"/>
      <w:bookmarkEnd w:id="118"/>
      <w:bookmarkEnd w:id="119"/>
      <w:bookmarkEnd w:id="120"/>
    </w:p>
    <w:p w:rsidR="001C601E" w:rsidRPr="003F7D48" w:rsidRDefault="001C601E" w:rsidP="001C601E">
      <w:pPr>
        <w:spacing w:before="240" w:line="320" w:lineRule="atLeast"/>
        <w:jc w:val="both"/>
        <w:rPr>
          <w:szCs w:val="20"/>
        </w:rPr>
      </w:pPr>
      <w:r w:rsidRPr="003F7D48">
        <w:rPr>
          <w:szCs w:val="20"/>
        </w:rPr>
        <w:t>Attachment tables for data within this chapter are contained in the attachment to the Compendium. These tables are identified in references throughout this chapter by a ‘4A’ prefix (for example, table 4A.1 is table 1 in the School education attachment). Attachment tables are on the Review website (</w:t>
      </w:r>
      <w:r w:rsidR="00EE3AAE" w:rsidRPr="003F7D48">
        <w:t>www.pc.gov.au/gsp</w:t>
      </w:r>
      <w:r w:rsidRPr="003F7D48">
        <w:rPr>
          <w:szCs w:val="20"/>
        </w:rPr>
        <w:t>).</w:t>
      </w:r>
    </w:p>
    <w:p w:rsidR="00EE3AAE" w:rsidRPr="003F7D48" w:rsidRDefault="00EE3AAE" w:rsidP="001C601E">
      <w:pPr>
        <w:spacing w:before="240" w:line="320" w:lineRule="atLeast"/>
        <w:jc w:val="both"/>
        <w:rPr>
          <w:szCs w:val="20"/>
        </w:rPr>
      </w:pPr>
    </w:p>
    <w:tbl>
      <w:tblPr>
        <w:tblW w:w="8860" w:type="dxa"/>
        <w:tblInd w:w="93" w:type="dxa"/>
        <w:tblLook w:val="04A0" w:firstRow="1" w:lastRow="0" w:firstColumn="1" w:lastColumn="0" w:noHBand="0" w:noVBand="1"/>
      </w:tblPr>
      <w:tblGrid>
        <w:gridCol w:w="1440"/>
        <w:gridCol w:w="7420"/>
      </w:tblGrid>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4A.29</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Indigenous full time students, 2012 </w:t>
            </w:r>
          </w:p>
        </w:tc>
      </w:tr>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4A.32</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Student body mix, government schools (per cent)</w:t>
            </w:r>
          </w:p>
        </w:tc>
      </w:tr>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4A.33</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Student body mix, non-government schools (per cent) </w:t>
            </w:r>
          </w:p>
        </w:tc>
      </w:tr>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4A.34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Student body mix, all schools (per cent)</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4A.36</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students who achieved at or above the national minimum standard for reading, 2012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4A.37</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 3, 5, 7 and 9 students who achieved at or above the national minimum standard for reading, by Indigenous status and geolocation, 2012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4A.39</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for reading, years 3, 5, 7 and 9 students, by Indigenous status, 2012 (score points)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4A.40</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NAPLAN Mean scale scores for reading, by Indigenous status and geolocation, 2012 (score points)      </w:t>
            </w:r>
          </w:p>
        </w:tc>
      </w:tr>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4A.42</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Participation rate in reading assessment, 2012, by Indigenous status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4A.43</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Exempt, absent and withdrawn, and assessed students in reading assessment, by Indigenous status, 2012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NSW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4A.45</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Victoria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4A.46</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Queensland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4A.47</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Western Australia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4A.48</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South Australia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4A.49</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Tasmania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lastRenderedPageBreak/>
              <w:t>Table 4A.50</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Australian Capital Territory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4A.51</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Northern Territory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4A.52</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reading, and statistical significance of differences 2008, 2011 and 2012, Australia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4A.53</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 gain for reading, years 3-5, 5-7 and 7-9, 2008-2010-2012 (score points)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4A.54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students who achieved at or above the national minimum standard for persuasive writing, 2012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4A.55</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 3, 5, 7 and 9 students who achieved at or above the national minimum standard for persuasive writing, by Indigenous status and geolocation, 2012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4A.57</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for persuasive writing, years 3, 5, 7 and 9 students, by Indigenous status, 2012 (score points)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4A.58</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NAPLAN Mean scale scores for persuasive writing, by Indigenous status and geolocation, 2012 (score points)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4A.60</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Participation rate in persuasive writing assessment, 2012, by Indigenous status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4A.61</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Exempt, absent and withdrawn, and assessed students in persuasive writing assessment, by Indigenous status, 2012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4A.62</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NSW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4A.63</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Victoria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Queensland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4A.65</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Western Australia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4A.66</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South Australia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4A.67</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Tasmania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4A.68</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Australian Capital Territory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lastRenderedPageBreak/>
              <w:t>Table 4A.69</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Northern Territory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4A.70</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persuasive writing, and statistical significance of differences 2011 and 2012, Australia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4A.71</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students who achieved at or above the national minimum standard for numeracy, 2012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4A.72</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 3, 5, 7 and 9 students who achieved at or above the national minimum standard for numeracy, by Indigenous status and geolocation, 2012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for numeracy, years 3, 5, 7 and 9 students, by Indigenous status, 2012 (score points)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4A.75</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NAPLAN Mean scale scores for numeracy, by Indigenous status and geolocation, 2012 (score points)      </w:t>
            </w:r>
          </w:p>
        </w:tc>
      </w:tr>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4A.77</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Participation rate in numeracy assessment, 2012, by Indigenous status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4A.78</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Exempt, absent and withdrawn, and assessed students in numeracy assessment, by Indigenous status, 2012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4A.79</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NSW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4A.80</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Victoria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4A.81</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Queensland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4A.82</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Western Australia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4A.83</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South Australia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Tasmania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4A.85</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Australian Capital Territory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4A.86</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Northern Territory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4A.87</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scores and proportion of students who achieved at or above the national minimum standard for numeracy, and statistical significance of differences 2008, 2011 and 2012, Australia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lastRenderedPageBreak/>
              <w:t>Table 4A.88</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Mean scale score gain for numeracy, years 3-5, 5-7 and 7-9, 2008-2010-2012 (score points)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4A.91</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 6 students achieving at or above the proficient standard in science literacy in the National Assessment Program, by equity group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4A.94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years 6 and 10 students achieving at or above the proficient standard in civics and citizenship performance in the National Assessment Program, by equity group, Australia (per cent)   </w:t>
            </w:r>
          </w:p>
        </w:tc>
      </w:tr>
      <w:tr w:rsidR="00EE3AAE" w:rsidRPr="003F7D48" w:rsidTr="00EE3AAE">
        <w:trPr>
          <w:trHeight w:val="112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4A.96</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years 6 and 10 students achieving at or above the proficient standard in information and communication technology literacy performance in the National Assessment Program, by student characteristics, Australia, 2005, 2008 and 2011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4A.98</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15 year old students achieving level 3 or above in the overall reading literacy scale in PISA assessments, by equity group,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4A.102</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15 year old students achieving level 3 or above in the overall mathematical literacy scale in PISA assessments, by equity group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4A.106</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15 year old students achieving level 3 or above in the overall scientific literacy scale in PISA assessments, by equity group (per cent)    </w:t>
            </w:r>
          </w:p>
        </w:tc>
      </w:tr>
      <w:tr w:rsidR="00EE3AAE" w:rsidRPr="003F7D48" w:rsidTr="00EE3AAE">
        <w:trPr>
          <w:trHeight w:val="112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4A.114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 4 and year 8 students achieving at or above the intermediate international benchmark (per cent); and mean scores in mathematics achievement and science achievement in TIMSS 2011 assessments by equity group, Australia (per cent)   </w:t>
            </w:r>
          </w:p>
        </w:tc>
      </w:tr>
      <w:tr w:rsidR="00EE3AAE" w:rsidRPr="003F7D48" w:rsidTr="00EE3AAE">
        <w:trPr>
          <w:trHeight w:val="86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4A.117</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Proportion of year 4 students achieving at or above the intermediate international benchmark (per cent) and mean scores for 2011 PIRLS reading assessments by equity group, Australia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4A.121</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Apparent retention rates of full time secondary students from year 7/8 to years 10, 11 and 12, 2012 (per cent)   </w:t>
            </w:r>
          </w:p>
        </w:tc>
      </w:tr>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4A.123</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Apparent retention rates of full time secondary students, all schools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4A.124</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Apparent retention rates of full time secondary students, government schools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4A.125</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Apparent retention rates of full time secondary students, non-government schools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4A.131</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Student attendance rates, government schools, by Indigenous status, 2012 (per cent) </w:t>
            </w:r>
          </w:p>
        </w:tc>
      </w:tr>
      <w:tr w:rsidR="00EE3AAE" w:rsidRPr="003F7D48" w:rsidTr="00EE3AAE">
        <w:trPr>
          <w:trHeight w:val="612"/>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4A.133</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Student attendance rates, independent schools, by Indigenous status, 2012 (per cent) </w:t>
            </w:r>
          </w:p>
        </w:tc>
      </w:tr>
      <w:tr w:rsidR="00EE3AAE" w:rsidRPr="003F7D48" w:rsidTr="00EE3AAE">
        <w:trPr>
          <w:trHeight w:val="357"/>
        </w:trPr>
        <w:tc>
          <w:tcPr>
            <w:tcW w:w="1440" w:type="dxa"/>
            <w:tcBorders>
              <w:top w:val="nil"/>
              <w:left w:val="nil"/>
              <w:bottom w:val="nil"/>
              <w:right w:val="nil"/>
            </w:tcBorders>
            <w:shd w:val="clear" w:color="auto" w:fill="auto"/>
            <w:noWrap/>
            <w:hideMark/>
          </w:tcPr>
          <w:p w:rsidR="00EE3AAE" w:rsidRPr="003F7D48" w:rsidRDefault="00EE3AAE" w:rsidP="00EE3AAE">
            <w:pPr>
              <w:rPr>
                <w:rFonts w:ascii="Arial" w:hAnsi="Arial" w:cs="Arial"/>
                <w:b/>
                <w:bCs/>
                <w:sz w:val="20"/>
                <w:szCs w:val="20"/>
              </w:rPr>
            </w:pPr>
            <w:r w:rsidRPr="003F7D48">
              <w:rPr>
                <w:rFonts w:ascii="Arial" w:hAnsi="Arial" w:cs="Arial"/>
                <w:b/>
                <w:bCs/>
                <w:sz w:val="20"/>
                <w:szCs w:val="20"/>
              </w:rPr>
              <w:t>Table 4A.135</w:t>
            </w:r>
          </w:p>
        </w:tc>
        <w:tc>
          <w:tcPr>
            <w:tcW w:w="7420" w:type="dxa"/>
            <w:tcBorders>
              <w:top w:val="nil"/>
              <w:left w:val="nil"/>
              <w:bottom w:val="nil"/>
              <w:right w:val="nil"/>
            </w:tcBorders>
            <w:shd w:val="clear" w:color="auto" w:fill="auto"/>
            <w:hideMark/>
          </w:tcPr>
          <w:p w:rsidR="00EE3AAE" w:rsidRPr="003F7D48" w:rsidRDefault="00EE3AAE" w:rsidP="00EE3AAE">
            <w:pPr>
              <w:jc w:val="both"/>
              <w:rPr>
                <w:rFonts w:ascii="Arial" w:hAnsi="Arial" w:cs="Arial"/>
                <w:sz w:val="20"/>
                <w:szCs w:val="20"/>
              </w:rPr>
            </w:pPr>
            <w:r w:rsidRPr="003F7D48">
              <w:rPr>
                <w:rFonts w:ascii="Arial" w:hAnsi="Arial" w:cs="Arial"/>
                <w:sz w:val="20"/>
                <w:szCs w:val="20"/>
              </w:rPr>
              <w:t xml:space="preserve">Student attendance rates, Catholic schools, by Indigenous status, 2012 (per cent) </w:t>
            </w:r>
          </w:p>
        </w:tc>
      </w:tr>
    </w:tbl>
    <w:p w:rsidR="001C601E" w:rsidRPr="003F7D48" w:rsidRDefault="001C601E" w:rsidP="001C601E">
      <w:pPr>
        <w:keepNext/>
        <w:spacing w:before="560" w:line="320" w:lineRule="exact"/>
        <w:outlineLvl w:val="2"/>
        <w:rPr>
          <w:rFonts w:ascii="Arial" w:hAnsi="Arial"/>
          <w:b/>
          <w:szCs w:val="20"/>
        </w:rPr>
      </w:pPr>
      <w:bookmarkStart w:id="121" w:name="_Toc288229081"/>
      <w:bookmarkStart w:id="122" w:name="_Toc288726481"/>
      <w:bookmarkStart w:id="123" w:name="_Toc316974031"/>
      <w:bookmarkStart w:id="124" w:name="_Toc318981220"/>
      <w:bookmarkStart w:id="125" w:name="_Toc319589158"/>
      <w:bookmarkStart w:id="126" w:name="_Toc320770614"/>
      <w:bookmarkStart w:id="127" w:name="_Toc347391018"/>
      <w:bookmarkStart w:id="128" w:name="_Toc379459347"/>
      <w:bookmarkStart w:id="129" w:name="_Toc379459457"/>
      <w:bookmarkStart w:id="130" w:name="_Toc382471412"/>
      <w:bookmarkStart w:id="131" w:name="_Toc383520574"/>
      <w:r w:rsidRPr="003F7D48">
        <w:rPr>
          <w:rFonts w:ascii="Arial" w:hAnsi="Arial"/>
          <w:b/>
          <w:szCs w:val="20"/>
        </w:rPr>
        <w:t>References</w:t>
      </w:r>
      <w:bookmarkEnd w:id="121"/>
      <w:bookmarkEnd w:id="122"/>
      <w:bookmarkEnd w:id="123"/>
      <w:bookmarkEnd w:id="124"/>
      <w:bookmarkEnd w:id="125"/>
      <w:bookmarkEnd w:id="126"/>
      <w:bookmarkEnd w:id="127"/>
      <w:bookmarkEnd w:id="128"/>
      <w:bookmarkEnd w:id="129"/>
      <w:bookmarkEnd w:id="130"/>
      <w:bookmarkEnd w:id="131"/>
    </w:p>
    <w:p w:rsidR="008519FD" w:rsidRPr="003F7D48" w:rsidRDefault="008519FD" w:rsidP="008519FD">
      <w:pPr>
        <w:spacing w:before="120" w:line="320" w:lineRule="atLeast"/>
        <w:ind w:left="340" w:hanging="340"/>
        <w:jc w:val="both"/>
        <w:rPr>
          <w:szCs w:val="20"/>
        </w:rPr>
      </w:pPr>
      <w:r w:rsidRPr="003F7D48">
        <w:rPr>
          <w:szCs w:val="20"/>
        </w:rPr>
        <w:t xml:space="preserve">ACARA (Australian Curriculum and Assessment Reporting Authority), </w:t>
      </w:r>
      <w:r w:rsidR="00A96CA8" w:rsidRPr="003F7D48">
        <w:rPr>
          <w:szCs w:val="20"/>
        </w:rPr>
        <w:t xml:space="preserve">2012, </w:t>
      </w:r>
      <w:r w:rsidR="00A96CA8" w:rsidRPr="003F7D48">
        <w:rPr>
          <w:i/>
          <w:szCs w:val="20"/>
        </w:rPr>
        <w:t>National Assessment Program — Literacy and Numeracy Achievement in Reading, Writing, Language Conventions and Numeracy: National Report for 2012,</w:t>
      </w:r>
      <w:r w:rsidR="00A96CA8" w:rsidRPr="003F7D48">
        <w:rPr>
          <w:szCs w:val="20"/>
        </w:rPr>
        <w:t xml:space="preserve"> Sydney.</w:t>
      </w:r>
    </w:p>
    <w:p w:rsidR="00A96CA8" w:rsidRPr="003F7D48" w:rsidRDefault="00A96CA8" w:rsidP="00A96CA8">
      <w:pPr>
        <w:spacing w:before="120" w:line="320" w:lineRule="atLeast"/>
        <w:ind w:left="340" w:hanging="340"/>
        <w:jc w:val="both"/>
        <w:rPr>
          <w:szCs w:val="20"/>
        </w:rPr>
      </w:pPr>
      <w:r w:rsidRPr="003F7D48">
        <w:rPr>
          <w:szCs w:val="20"/>
        </w:rPr>
        <w:lastRenderedPageBreak/>
        <w:t xml:space="preserve">—— 2013a, </w:t>
      </w:r>
      <w:r w:rsidRPr="003F7D48">
        <w:rPr>
          <w:i/>
          <w:szCs w:val="20"/>
        </w:rPr>
        <w:t xml:space="preserve">National Assessment Program — Science literacy Year 6 Report 2012, </w:t>
      </w:r>
      <w:r w:rsidRPr="003F7D48">
        <w:rPr>
          <w:szCs w:val="20"/>
        </w:rPr>
        <w:t>Sydney.</w:t>
      </w:r>
    </w:p>
    <w:p w:rsidR="00A96CA8" w:rsidRPr="003F7D48" w:rsidRDefault="00A96CA8" w:rsidP="00A96CA8">
      <w:pPr>
        <w:spacing w:before="120" w:line="320" w:lineRule="atLeast"/>
        <w:ind w:left="340" w:hanging="340"/>
        <w:jc w:val="both"/>
        <w:rPr>
          <w:szCs w:val="20"/>
        </w:rPr>
      </w:pPr>
      <w:r w:rsidRPr="003F7D48">
        <w:rPr>
          <w:szCs w:val="20"/>
        </w:rPr>
        <w:t xml:space="preserve">—— 2013b, </w:t>
      </w:r>
      <w:r w:rsidRPr="003F7D48">
        <w:rPr>
          <w:i/>
          <w:szCs w:val="20"/>
        </w:rPr>
        <w:t>National Assessment Program — Literacy and Numeracy NAPLAN Summary Report: Preliminary results for achievement in Reading, Writing, Language Conventions and Numeracy 2013</w:t>
      </w:r>
      <w:r w:rsidRPr="003F7D48">
        <w:rPr>
          <w:szCs w:val="20"/>
        </w:rPr>
        <w:t xml:space="preserve"> http://www.nap.edu.au/_Documents/PDF/2012%20NAPLAN%20Summary%20(Preliminary)%20Report.pdf (accessed 23 October 2013).</w:t>
      </w:r>
    </w:p>
    <w:p w:rsidR="00F056FC" w:rsidRPr="005C5BE0" w:rsidRDefault="00A96CA8" w:rsidP="005C5BE0">
      <w:pPr>
        <w:spacing w:before="120" w:line="320" w:lineRule="atLeast"/>
        <w:ind w:left="340" w:hanging="340"/>
        <w:jc w:val="both"/>
        <w:rPr>
          <w:szCs w:val="20"/>
        </w:rPr>
      </w:pPr>
      <w:r w:rsidRPr="003F7D48">
        <w:rPr>
          <w:szCs w:val="20"/>
        </w:rPr>
        <w:t xml:space="preserve">ACER (Australian Council for Educational Research), 2013, </w:t>
      </w:r>
      <w:r w:rsidRPr="003F7D48">
        <w:rPr>
          <w:i/>
          <w:szCs w:val="20"/>
        </w:rPr>
        <w:t xml:space="preserve">PISA in Brief </w:t>
      </w:r>
      <w:r w:rsidR="00581AAA" w:rsidRPr="003F7D48">
        <w:rPr>
          <w:i/>
          <w:szCs w:val="20"/>
        </w:rPr>
        <w:t>—</w:t>
      </w:r>
      <w:r w:rsidRPr="003F7D48">
        <w:rPr>
          <w:i/>
          <w:szCs w:val="20"/>
        </w:rPr>
        <w:t>Highlights from the full Australian Report: Challenges for Australian Education: Results from PISA 2012</w:t>
      </w:r>
      <w:r w:rsidRPr="003F7D48">
        <w:rPr>
          <w:szCs w:val="20"/>
        </w:rPr>
        <w:t>, Melbourne.</w:t>
      </w:r>
    </w:p>
    <w:sectPr w:rsidR="00F056FC" w:rsidRPr="005C5BE0" w:rsidSect="00573705">
      <w:headerReference w:type="even" r:id="rId34"/>
      <w:headerReference w:type="default" r:id="rId35"/>
      <w:footerReference w:type="even" r:id="rId36"/>
      <w:footerReference w:type="default" r:id="rId37"/>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709" w:rsidRDefault="00414709">
      <w:r>
        <w:separator/>
      </w:r>
    </w:p>
  </w:endnote>
  <w:endnote w:type="continuationSeparator" w:id="0">
    <w:p w:rsidR="00414709" w:rsidRDefault="0041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14709">
      <w:trPr>
        <w:trHeight w:hRule="exact" w:val="740"/>
      </w:trPr>
      <w:tc>
        <w:tcPr>
          <w:tcW w:w="510" w:type="dxa"/>
          <w:tcBorders>
            <w:top w:val="single" w:sz="6" w:space="0" w:color="auto"/>
          </w:tcBorders>
        </w:tcPr>
        <w:p w:rsidR="00414709" w:rsidRDefault="00CB5E27" w:rsidP="00860C85">
          <w:pPr>
            <w:pStyle w:val="Footer"/>
            <w:tabs>
              <w:tab w:val="left" w:pos="0"/>
            </w:tabs>
            <w:ind w:right="0"/>
            <w:rPr>
              <w:rStyle w:val="PageNumber"/>
            </w:rPr>
          </w:pPr>
          <w:r>
            <w:fldChar w:fldCharType="begin"/>
          </w:r>
          <w:r>
            <w:instrText xml:space="preserve"> COMMENTS  \* MERGEFORMAT </w:instrText>
          </w:r>
          <w:r>
            <w:fldChar w:fldCharType="separate"/>
          </w:r>
          <w:r w:rsidR="00414709" w:rsidRPr="00C0542B">
            <w:rPr>
              <w:rStyle w:val="PageNumber"/>
            </w:rPr>
            <w:t>4.</w:t>
          </w:r>
          <w:r>
            <w:rPr>
              <w:rStyle w:val="PageNumber"/>
            </w:rPr>
            <w:fldChar w:fldCharType="end"/>
          </w:r>
          <w:r w:rsidR="00414709">
            <w:rPr>
              <w:rStyle w:val="PageNumber"/>
            </w:rPr>
            <w:fldChar w:fldCharType="begin"/>
          </w:r>
          <w:r w:rsidR="00414709">
            <w:rPr>
              <w:rStyle w:val="PageNumber"/>
            </w:rPr>
            <w:instrText xml:space="preserve">PAGE  </w:instrText>
          </w:r>
          <w:r w:rsidR="00414709">
            <w:rPr>
              <w:rStyle w:val="PageNumber"/>
            </w:rPr>
            <w:fldChar w:fldCharType="separate"/>
          </w:r>
          <w:r>
            <w:rPr>
              <w:rStyle w:val="PageNumber"/>
              <w:noProof/>
            </w:rPr>
            <w:t>52</w:t>
          </w:r>
          <w:r w:rsidR="00414709">
            <w:rPr>
              <w:rStyle w:val="PageNumber"/>
            </w:rPr>
            <w:fldChar w:fldCharType="end"/>
          </w:r>
        </w:p>
      </w:tc>
      <w:tc>
        <w:tcPr>
          <w:tcW w:w="1644" w:type="dxa"/>
          <w:tcBorders>
            <w:top w:val="single" w:sz="6" w:space="0" w:color="auto"/>
          </w:tcBorders>
        </w:tcPr>
        <w:p w:rsidR="00414709" w:rsidRDefault="00CB5E27" w:rsidP="0019293B">
          <w:pPr>
            <w:pStyle w:val="Footer"/>
          </w:pPr>
          <w:r>
            <w:fldChar w:fldCharType="begin"/>
          </w:r>
          <w:r>
            <w:instrText xml:space="preserve"> SUBJECT  \* MERGEFORMAT </w:instrText>
          </w:r>
          <w:r>
            <w:fldChar w:fldCharType="separate"/>
          </w:r>
          <w:r w:rsidR="00414709">
            <w:t>Report on Government Services 2014</w:t>
          </w:r>
          <w:r>
            <w:fldChar w:fldCharType="end"/>
          </w:r>
        </w:p>
      </w:tc>
      <w:tc>
        <w:tcPr>
          <w:tcW w:w="6634" w:type="dxa"/>
        </w:tcPr>
        <w:p w:rsidR="00414709" w:rsidRDefault="00414709" w:rsidP="0019293B">
          <w:pPr>
            <w:pStyle w:val="Footer"/>
          </w:pPr>
        </w:p>
      </w:tc>
    </w:tr>
  </w:tbl>
  <w:p w:rsidR="00414709" w:rsidRDefault="004147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14709">
      <w:trPr>
        <w:trHeight w:hRule="exact" w:val="740"/>
      </w:trPr>
      <w:tc>
        <w:tcPr>
          <w:tcW w:w="6634" w:type="dxa"/>
        </w:tcPr>
        <w:p w:rsidR="00414709" w:rsidRDefault="00414709">
          <w:pPr>
            <w:pStyle w:val="Footer"/>
            <w:ind w:right="360" w:firstLine="360"/>
          </w:pPr>
        </w:p>
      </w:tc>
      <w:tc>
        <w:tcPr>
          <w:tcW w:w="1644" w:type="dxa"/>
          <w:tcBorders>
            <w:top w:val="single" w:sz="6" w:space="0" w:color="auto"/>
          </w:tcBorders>
        </w:tcPr>
        <w:p w:rsidR="00414709" w:rsidRDefault="00CB5E27">
          <w:pPr>
            <w:pStyle w:val="Footer"/>
          </w:pPr>
          <w:r>
            <w:fldChar w:fldCharType="begin"/>
          </w:r>
          <w:r>
            <w:instrText xml:space="preserve"> TITLE  \* MERGEFORMAT </w:instrText>
          </w:r>
          <w:r>
            <w:fldChar w:fldCharType="separate"/>
          </w:r>
          <w:r w:rsidR="00414709">
            <w:t>Indigenous Compendium 2014</w:t>
          </w:r>
          <w:r>
            <w:fldChar w:fldCharType="end"/>
          </w:r>
        </w:p>
      </w:tc>
      <w:tc>
        <w:tcPr>
          <w:tcW w:w="510" w:type="dxa"/>
          <w:tcBorders>
            <w:top w:val="single" w:sz="6" w:space="0" w:color="auto"/>
          </w:tcBorders>
        </w:tcPr>
        <w:p w:rsidR="00414709" w:rsidRDefault="00CB5E27" w:rsidP="003B04BA">
          <w:pPr>
            <w:pStyle w:val="Footer"/>
            <w:jc w:val="right"/>
          </w:pPr>
          <w:r>
            <w:fldChar w:fldCharType="begin"/>
          </w:r>
          <w:r>
            <w:instrText xml:space="preserve"> COMMENTS  \* MERGEFORMAT </w:instrText>
          </w:r>
          <w:r>
            <w:fldChar w:fldCharType="separate"/>
          </w:r>
          <w:r w:rsidR="00414709" w:rsidRPr="00C0542B">
            <w:rPr>
              <w:rStyle w:val="PageNumber"/>
            </w:rPr>
            <w:t>4.</w:t>
          </w:r>
          <w:r>
            <w:rPr>
              <w:rStyle w:val="PageNumber"/>
            </w:rPr>
            <w:fldChar w:fldCharType="end"/>
          </w:r>
          <w:r w:rsidR="00414709">
            <w:rPr>
              <w:rStyle w:val="PageNumber"/>
            </w:rPr>
            <w:fldChar w:fldCharType="begin"/>
          </w:r>
          <w:r w:rsidR="00414709">
            <w:rPr>
              <w:rStyle w:val="PageNumber"/>
            </w:rPr>
            <w:instrText xml:space="preserve">PAGE  </w:instrText>
          </w:r>
          <w:r w:rsidR="00414709">
            <w:rPr>
              <w:rStyle w:val="PageNumber"/>
            </w:rPr>
            <w:fldChar w:fldCharType="separate"/>
          </w:r>
          <w:r>
            <w:rPr>
              <w:rStyle w:val="PageNumber"/>
              <w:noProof/>
            </w:rPr>
            <w:t>1</w:t>
          </w:r>
          <w:r w:rsidR="00414709">
            <w:rPr>
              <w:rStyle w:val="PageNumber"/>
            </w:rPr>
            <w:fldChar w:fldCharType="end"/>
          </w:r>
        </w:p>
      </w:tc>
    </w:tr>
  </w:tbl>
  <w:p w:rsidR="00414709" w:rsidRDefault="004147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709" w:rsidRDefault="00414709">
      <w:r>
        <w:separator/>
      </w:r>
    </w:p>
  </w:footnote>
  <w:footnote w:type="continuationSeparator" w:id="0">
    <w:p w:rsidR="00414709" w:rsidRDefault="004147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14709">
      <w:tc>
        <w:tcPr>
          <w:tcW w:w="2155" w:type="dxa"/>
          <w:tcBorders>
            <w:top w:val="single" w:sz="24" w:space="0" w:color="auto"/>
          </w:tcBorders>
        </w:tcPr>
        <w:p w:rsidR="00414709" w:rsidRDefault="00414709" w:rsidP="0019293B">
          <w:pPr>
            <w:pStyle w:val="HeaderEven"/>
          </w:pPr>
        </w:p>
      </w:tc>
      <w:tc>
        <w:tcPr>
          <w:tcW w:w="6634" w:type="dxa"/>
          <w:tcBorders>
            <w:top w:val="single" w:sz="6" w:space="0" w:color="auto"/>
          </w:tcBorders>
        </w:tcPr>
        <w:p w:rsidR="00414709" w:rsidRDefault="00414709" w:rsidP="0019293B">
          <w:pPr>
            <w:pStyle w:val="HeaderEven"/>
          </w:pPr>
        </w:p>
      </w:tc>
    </w:tr>
  </w:tbl>
  <w:p w:rsidR="00414709" w:rsidRDefault="004147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14709">
      <w:tc>
        <w:tcPr>
          <w:tcW w:w="6634" w:type="dxa"/>
          <w:tcBorders>
            <w:top w:val="single" w:sz="6" w:space="0" w:color="auto"/>
          </w:tcBorders>
        </w:tcPr>
        <w:p w:rsidR="00414709" w:rsidRDefault="00414709" w:rsidP="00E669E2">
          <w:pPr>
            <w:pStyle w:val="HeaderOdd"/>
          </w:pPr>
        </w:p>
      </w:tc>
      <w:tc>
        <w:tcPr>
          <w:tcW w:w="2155" w:type="dxa"/>
          <w:tcBorders>
            <w:top w:val="single" w:sz="24" w:space="0" w:color="auto"/>
          </w:tcBorders>
        </w:tcPr>
        <w:p w:rsidR="00414709" w:rsidRDefault="00414709" w:rsidP="00E669E2">
          <w:pPr>
            <w:pStyle w:val="HeaderOdd"/>
          </w:pPr>
        </w:p>
      </w:tc>
    </w:tr>
  </w:tbl>
  <w:p w:rsidR="00414709" w:rsidRDefault="004147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1"/>
  </w:num>
  <w:num w:numId="3">
    <w:abstractNumId w:val="11"/>
  </w:num>
  <w:num w:numId="4">
    <w:abstractNumId w:val="2"/>
  </w:num>
  <w:num w:numId="5">
    <w:abstractNumId w:val="15"/>
  </w:num>
  <w:num w:numId="6">
    <w:abstractNumId w:val="13"/>
  </w:num>
  <w:num w:numId="7">
    <w:abstractNumId w:val="17"/>
  </w:num>
  <w:num w:numId="8">
    <w:abstractNumId w:val="6"/>
  </w:num>
  <w:num w:numId="9">
    <w:abstractNumId w:val="12"/>
  </w:num>
  <w:num w:numId="10">
    <w:abstractNumId w:val="5"/>
  </w:num>
  <w:num w:numId="11">
    <w:abstractNumId w:val="4"/>
  </w:num>
  <w:num w:numId="12">
    <w:abstractNumId w:val="7"/>
  </w:num>
  <w:num w:numId="13">
    <w:abstractNumId w:val="8"/>
  </w:num>
  <w:num w:numId="14">
    <w:abstractNumId w:val="10"/>
  </w:num>
  <w:num w:numId="15">
    <w:abstractNumId w:val="3"/>
  </w:num>
  <w:num w:numId="16">
    <w:abstractNumId w:val="14"/>
  </w:num>
  <w:num w:numId="17">
    <w:abstractNumId w:val="0"/>
  </w:num>
  <w:num w:numId="18">
    <w:abstractNumId w:val="9"/>
  </w:num>
  <w:num w:numId="1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163AB"/>
    <w:rsid w:val="000227D5"/>
    <w:rsid w:val="000245AA"/>
    <w:rsid w:val="0003664B"/>
    <w:rsid w:val="000366AD"/>
    <w:rsid w:val="0003687A"/>
    <w:rsid w:val="0004111F"/>
    <w:rsid w:val="000565B3"/>
    <w:rsid w:val="0007150B"/>
    <w:rsid w:val="00085ED5"/>
    <w:rsid w:val="000938F5"/>
    <w:rsid w:val="00096E55"/>
    <w:rsid w:val="00096F64"/>
    <w:rsid w:val="000B601B"/>
    <w:rsid w:val="000B7D9A"/>
    <w:rsid w:val="000C207E"/>
    <w:rsid w:val="000C65C8"/>
    <w:rsid w:val="000E4ACF"/>
    <w:rsid w:val="000F0035"/>
    <w:rsid w:val="000F420B"/>
    <w:rsid w:val="000F484B"/>
    <w:rsid w:val="001045A9"/>
    <w:rsid w:val="00110116"/>
    <w:rsid w:val="00111B98"/>
    <w:rsid w:val="0011279A"/>
    <w:rsid w:val="00117823"/>
    <w:rsid w:val="00120072"/>
    <w:rsid w:val="00126EB8"/>
    <w:rsid w:val="001274D4"/>
    <w:rsid w:val="001363AA"/>
    <w:rsid w:val="00144BE9"/>
    <w:rsid w:val="001457FC"/>
    <w:rsid w:val="001629A2"/>
    <w:rsid w:val="00165C27"/>
    <w:rsid w:val="00167CA3"/>
    <w:rsid w:val="00172567"/>
    <w:rsid w:val="001838A3"/>
    <w:rsid w:val="00183E82"/>
    <w:rsid w:val="001878BB"/>
    <w:rsid w:val="00187EEA"/>
    <w:rsid w:val="001918E7"/>
    <w:rsid w:val="00191AE0"/>
    <w:rsid w:val="0019293B"/>
    <w:rsid w:val="001A5435"/>
    <w:rsid w:val="001B7720"/>
    <w:rsid w:val="001C0865"/>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1687A"/>
    <w:rsid w:val="00240CB3"/>
    <w:rsid w:val="00242279"/>
    <w:rsid w:val="00245505"/>
    <w:rsid w:val="00245C09"/>
    <w:rsid w:val="00245C82"/>
    <w:rsid w:val="002504EE"/>
    <w:rsid w:val="00260781"/>
    <w:rsid w:val="00263E44"/>
    <w:rsid w:val="00266112"/>
    <w:rsid w:val="0028038E"/>
    <w:rsid w:val="00285231"/>
    <w:rsid w:val="0029178B"/>
    <w:rsid w:val="00291B40"/>
    <w:rsid w:val="00292B1A"/>
    <w:rsid w:val="00297E8B"/>
    <w:rsid w:val="002A390F"/>
    <w:rsid w:val="002B1211"/>
    <w:rsid w:val="002B4008"/>
    <w:rsid w:val="002C0FA5"/>
    <w:rsid w:val="002D0E8E"/>
    <w:rsid w:val="002D5571"/>
    <w:rsid w:val="002F5CBA"/>
    <w:rsid w:val="00301189"/>
    <w:rsid w:val="003024A0"/>
    <w:rsid w:val="00310609"/>
    <w:rsid w:val="003133E9"/>
    <w:rsid w:val="003226FB"/>
    <w:rsid w:val="00323E09"/>
    <w:rsid w:val="00326B37"/>
    <w:rsid w:val="00333932"/>
    <w:rsid w:val="00344001"/>
    <w:rsid w:val="003455CD"/>
    <w:rsid w:val="00346421"/>
    <w:rsid w:val="00351694"/>
    <w:rsid w:val="003518AA"/>
    <w:rsid w:val="00352165"/>
    <w:rsid w:val="0035307E"/>
    <w:rsid w:val="00353182"/>
    <w:rsid w:val="003565D9"/>
    <w:rsid w:val="003602E1"/>
    <w:rsid w:val="00364711"/>
    <w:rsid w:val="00367801"/>
    <w:rsid w:val="003678BE"/>
    <w:rsid w:val="0037026F"/>
    <w:rsid w:val="003703CB"/>
    <w:rsid w:val="00371240"/>
    <w:rsid w:val="00371A1C"/>
    <w:rsid w:val="00374731"/>
    <w:rsid w:val="00374877"/>
    <w:rsid w:val="00376E59"/>
    <w:rsid w:val="0038442A"/>
    <w:rsid w:val="003919F9"/>
    <w:rsid w:val="00393A0D"/>
    <w:rsid w:val="0039497F"/>
    <w:rsid w:val="003B04BA"/>
    <w:rsid w:val="003B08D7"/>
    <w:rsid w:val="003C1570"/>
    <w:rsid w:val="003C38B5"/>
    <w:rsid w:val="003C5D99"/>
    <w:rsid w:val="003D3B04"/>
    <w:rsid w:val="003D530B"/>
    <w:rsid w:val="003E2F59"/>
    <w:rsid w:val="003F0789"/>
    <w:rsid w:val="003F0792"/>
    <w:rsid w:val="003F3DC5"/>
    <w:rsid w:val="003F61EB"/>
    <w:rsid w:val="003F7D48"/>
    <w:rsid w:val="00401882"/>
    <w:rsid w:val="00407AFB"/>
    <w:rsid w:val="004100C8"/>
    <w:rsid w:val="00411DBD"/>
    <w:rsid w:val="00412066"/>
    <w:rsid w:val="00412ACE"/>
    <w:rsid w:val="00414709"/>
    <w:rsid w:val="00416111"/>
    <w:rsid w:val="00431249"/>
    <w:rsid w:val="00434C19"/>
    <w:rsid w:val="004417C1"/>
    <w:rsid w:val="00445388"/>
    <w:rsid w:val="004476A9"/>
    <w:rsid w:val="00450810"/>
    <w:rsid w:val="00464B60"/>
    <w:rsid w:val="004663EC"/>
    <w:rsid w:val="00477144"/>
    <w:rsid w:val="00485B11"/>
    <w:rsid w:val="00486AC8"/>
    <w:rsid w:val="00491380"/>
    <w:rsid w:val="00492BF6"/>
    <w:rsid w:val="0049459F"/>
    <w:rsid w:val="004956FF"/>
    <w:rsid w:val="004A292E"/>
    <w:rsid w:val="004A38DD"/>
    <w:rsid w:val="004A67C8"/>
    <w:rsid w:val="004B16F9"/>
    <w:rsid w:val="004B43AE"/>
    <w:rsid w:val="004B634B"/>
    <w:rsid w:val="004C30ED"/>
    <w:rsid w:val="004C4451"/>
    <w:rsid w:val="004D1311"/>
    <w:rsid w:val="004D5675"/>
    <w:rsid w:val="004E1C9C"/>
    <w:rsid w:val="004F2FC3"/>
    <w:rsid w:val="00502461"/>
    <w:rsid w:val="005050E8"/>
    <w:rsid w:val="00510C3D"/>
    <w:rsid w:val="00523639"/>
    <w:rsid w:val="005258AE"/>
    <w:rsid w:val="00531FE5"/>
    <w:rsid w:val="00532335"/>
    <w:rsid w:val="00551060"/>
    <w:rsid w:val="00551ADC"/>
    <w:rsid w:val="0056313E"/>
    <w:rsid w:val="005710A6"/>
    <w:rsid w:val="00573705"/>
    <w:rsid w:val="00581AAA"/>
    <w:rsid w:val="00583C39"/>
    <w:rsid w:val="00587F28"/>
    <w:rsid w:val="005909CF"/>
    <w:rsid w:val="0059193A"/>
    <w:rsid w:val="00591E71"/>
    <w:rsid w:val="005A0D41"/>
    <w:rsid w:val="005B746F"/>
    <w:rsid w:val="005C5BE0"/>
    <w:rsid w:val="005D09F1"/>
    <w:rsid w:val="005D2EFD"/>
    <w:rsid w:val="005D3127"/>
    <w:rsid w:val="005D44E1"/>
    <w:rsid w:val="005E2138"/>
    <w:rsid w:val="005E5169"/>
    <w:rsid w:val="005F3481"/>
    <w:rsid w:val="006050F4"/>
    <w:rsid w:val="00607BF1"/>
    <w:rsid w:val="00616292"/>
    <w:rsid w:val="00625C15"/>
    <w:rsid w:val="00630D4D"/>
    <w:rsid w:val="00632A74"/>
    <w:rsid w:val="00636F7C"/>
    <w:rsid w:val="00641D7B"/>
    <w:rsid w:val="00661EBF"/>
    <w:rsid w:val="00675BC8"/>
    <w:rsid w:val="00682C28"/>
    <w:rsid w:val="00697719"/>
    <w:rsid w:val="006A4655"/>
    <w:rsid w:val="006A4704"/>
    <w:rsid w:val="006B0CF1"/>
    <w:rsid w:val="006B2B3C"/>
    <w:rsid w:val="006B629A"/>
    <w:rsid w:val="006C1D81"/>
    <w:rsid w:val="006C6EED"/>
    <w:rsid w:val="006C7038"/>
    <w:rsid w:val="006D1FCB"/>
    <w:rsid w:val="006E0DBD"/>
    <w:rsid w:val="006E73EF"/>
    <w:rsid w:val="006F481C"/>
    <w:rsid w:val="00704DCC"/>
    <w:rsid w:val="00707BE0"/>
    <w:rsid w:val="00714D4D"/>
    <w:rsid w:val="00715BD1"/>
    <w:rsid w:val="00722715"/>
    <w:rsid w:val="00722BE7"/>
    <w:rsid w:val="00723B87"/>
    <w:rsid w:val="0073170A"/>
    <w:rsid w:val="0074069E"/>
    <w:rsid w:val="00743052"/>
    <w:rsid w:val="007442CE"/>
    <w:rsid w:val="007604BB"/>
    <w:rsid w:val="00765910"/>
    <w:rsid w:val="00785232"/>
    <w:rsid w:val="007A21EB"/>
    <w:rsid w:val="007A51EE"/>
    <w:rsid w:val="007B0286"/>
    <w:rsid w:val="007B1A93"/>
    <w:rsid w:val="007C1CDB"/>
    <w:rsid w:val="007C36C9"/>
    <w:rsid w:val="007D53C0"/>
    <w:rsid w:val="007D6401"/>
    <w:rsid w:val="007E01E4"/>
    <w:rsid w:val="007E210F"/>
    <w:rsid w:val="007F7107"/>
    <w:rsid w:val="00800D4C"/>
    <w:rsid w:val="008022CF"/>
    <w:rsid w:val="0080417A"/>
    <w:rsid w:val="0081030F"/>
    <w:rsid w:val="0082087D"/>
    <w:rsid w:val="00827003"/>
    <w:rsid w:val="00827929"/>
    <w:rsid w:val="00831511"/>
    <w:rsid w:val="008335DD"/>
    <w:rsid w:val="00835771"/>
    <w:rsid w:val="00842933"/>
    <w:rsid w:val="00843821"/>
    <w:rsid w:val="008519FD"/>
    <w:rsid w:val="008572B1"/>
    <w:rsid w:val="0086082C"/>
    <w:rsid w:val="00860C85"/>
    <w:rsid w:val="00860E33"/>
    <w:rsid w:val="00862650"/>
    <w:rsid w:val="00864ADC"/>
    <w:rsid w:val="00880153"/>
    <w:rsid w:val="00880F97"/>
    <w:rsid w:val="0088133A"/>
    <w:rsid w:val="00885418"/>
    <w:rsid w:val="0088688A"/>
    <w:rsid w:val="00890801"/>
    <w:rsid w:val="0089285E"/>
    <w:rsid w:val="0089436C"/>
    <w:rsid w:val="008A4D38"/>
    <w:rsid w:val="008B6F1F"/>
    <w:rsid w:val="008C2AE7"/>
    <w:rsid w:val="008C2E3D"/>
    <w:rsid w:val="008C7E8E"/>
    <w:rsid w:val="008D0F22"/>
    <w:rsid w:val="008D365C"/>
    <w:rsid w:val="008D743B"/>
    <w:rsid w:val="008E1073"/>
    <w:rsid w:val="008E5E58"/>
    <w:rsid w:val="008F5EE6"/>
    <w:rsid w:val="009030BF"/>
    <w:rsid w:val="0091032F"/>
    <w:rsid w:val="00914368"/>
    <w:rsid w:val="00915DD8"/>
    <w:rsid w:val="00923580"/>
    <w:rsid w:val="0092358C"/>
    <w:rsid w:val="00931076"/>
    <w:rsid w:val="009345D9"/>
    <w:rsid w:val="009345F5"/>
    <w:rsid w:val="00934B15"/>
    <w:rsid w:val="00942B62"/>
    <w:rsid w:val="00953F88"/>
    <w:rsid w:val="00956A0C"/>
    <w:rsid w:val="00956BD9"/>
    <w:rsid w:val="00962489"/>
    <w:rsid w:val="009677A8"/>
    <w:rsid w:val="00990C2C"/>
    <w:rsid w:val="009A0700"/>
    <w:rsid w:val="009A18E4"/>
    <w:rsid w:val="009A7948"/>
    <w:rsid w:val="009B111A"/>
    <w:rsid w:val="009B5AA4"/>
    <w:rsid w:val="009C4295"/>
    <w:rsid w:val="009D06AA"/>
    <w:rsid w:val="009D333E"/>
    <w:rsid w:val="009D409D"/>
    <w:rsid w:val="009E1F35"/>
    <w:rsid w:val="009E4186"/>
    <w:rsid w:val="009E44A4"/>
    <w:rsid w:val="009F0D1B"/>
    <w:rsid w:val="009F54BA"/>
    <w:rsid w:val="009F696D"/>
    <w:rsid w:val="009F6BC6"/>
    <w:rsid w:val="009F6DA5"/>
    <w:rsid w:val="00A02721"/>
    <w:rsid w:val="00A079E8"/>
    <w:rsid w:val="00A151B9"/>
    <w:rsid w:val="00A17328"/>
    <w:rsid w:val="00A23A20"/>
    <w:rsid w:val="00A24E69"/>
    <w:rsid w:val="00A268B9"/>
    <w:rsid w:val="00A2703A"/>
    <w:rsid w:val="00A33DFF"/>
    <w:rsid w:val="00A35115"/>
    <w:rsid w:val="00A36D9A"/>
    <w:rsid w:val="00A554AB"/>
    <w:rsid w:val="00A57062"/>
    <w:rsid w:val="00A63F8A"/>
    <w:rsid w:val="00A85DA1"/>
    <w:rsid w:val="00A9231C"/>
    <w:rsid w:val="00A92B53"/>
    <w:rsid w:val="00A94FA6"/>
    <w:rsid w:val="00A96CA8"/>
    <w:rsid w:val="00AA49A0"/>
    <w:rsid w:val="00AA6710"/>
    <w:rsid w:val="00AA6D99"/>
    <w:rsid w:val="00AB0681"/>
    <w:rsid w:val="00AB73E0"/>
    <w:rsid w:val="00AC3CB3"/>
    <w:rsid w:val="00AD4523"/>
    <w:rsid w:val="00AD520B"/>
    <w:rsid w:val="00AE36E3"/>
    <w:rsid w:val="00B17477"/>
    <w:rsid w:val="00B20091"/>
    <w:rsid w:val="00B27B21"/>
    <w:rsid w:val="00B3009C"/>
    <w:rsid w:val="00B425C3"/>
    <w:rsid w:val="00B440AD"/>
    <w:rsid w:val="00B44ECD"/>
    <w:rsid w:val="00B53E7E"/>
    <w:rsid w:val="00B61700"/>
    <w:rsid w:val="00B61C2C"/>
    <w:rsid w:val="00B6342E"/>
    <w:rsid w:val="00B64295"/>
    <w:rsid w:val="00B7113F"/>
    <w:rsid w:val="00B86CB4"/>
    <w:rsid w:val="00B87DE1"/>
    <w:rsid w:val="00B93513"/>
    <w:rsid w:val="00B949D4"/>
    <w:rsid w:val="00BA4C30"/>
    <w:rsid w:val="00BA62DA"/>
    <w:rsid w:val="00BA73B6"/>
    <w:rsid w:val="00BA7E27"/>
    <w:rsid w:val="00BB0F06"/>
    <w:rsid w:val="00BB2603"/>
    <w:rsid w:val="00BB4FCD"/>
    <w:rsid w:val="00BD0D9E"/>
    <w:rsid w:val="00BD13EA"/>
    <w:rsid w:val="00BD198E"/>
    <w:rsid w:val="00BE3808"/>
    <w:rsid w:val="00BF2892"/>
    <w:rsid w:val="00BF3091"/>
    <w:rsid w:val="00C0542B"/>
    <w:rsid w:val="00C062E9"/>
    <w:rsid w:val="00C07B64"/>
    <w:rsid w:val="00C11272"/>
    <w:rsid w:val="00C13721"/>
    <w:rsid w:val="00C14FE4"/>
    <w:rsid w:val="00C16B02"/>
    <w:rsid w:val="00C3066D"/>
    <w:rsid w:val="00C40DB1"/>
    <w:rsid w:val="00C42AD5"/>
    <w:rsid w:val="00C439F8"/>
    <w:rsid w:val="00C543F4"/>
    <w:rsid w:val="00C6291C"/>
    <w:rsid w:val="00C633CB"/>
    <w:rsid w:val="00C63EDC"/>
    <w:rsid w:val="00C66D3D"/>
    <w:rsid w:val="00C67AE1"/>
    <w:rsid w:val="00C81D4A"/>
    <w:rsid w:val="00C8762C"/>
    <w:rsid w:val="00C9019E"/>
    <w:rsid w:val="00CA00F9"/>
    <w:rsid w:val="00CA1919"/>
    <w:rsid w:val="00CA2961"/>
    <w:rsid w:val="00CB50D7"/>
    <w:rsid w:val="00CB5E27"/>
    <w:rsid w:val="00CB7177"/>
    <w:rsid w:val="00CC1998"/>
    <w:rsid w:val="00CC29C0"/>
    <w:rsid w:val="00CC4946"/>
    <w:rsid w:val="00CE6453"/>
    <w:rsid w:val="00CE6BA1"/>
    <w:rsid w:val="00CF2934"/>
    <w:rsid w:val="00CF7211"/>
    <w:rsid w:val="00D06E46"/>
    <w:rsid w:val="00D16EE4"/>
    <w:rsid w:val="00D270A4"/>
    <w:rsid w:val="00D31FE9"/>
    <w:rsid w:val="00D34E1B"/>
    <w:rsid w:val="00D376BA"/>
    <w:rsid w:val="00D45634"/>
    <w:rsid w:val="00D5497D"/>
    <w:rsid w:val="00D5568A"/>
    <w:rsid w:val="00D57558"/>
    <w:rsid w:val="00D63D73"/>
    <w:rsid w:val="00D64452"/>
    <w:rsid w:val="00D66BAC"/>
    <w:rsid w:val="00D66E1E"/>
    <w:rsid w:val="00D70E28"/>
    <w:rsid w:val="00D75722"/>
    <w:rsid w:val="00D77A45"/>
    <w:rsid w:val="00D80CF5"/>
    <w:rsid w:val="00D97630"/>
    <w:rsid w:val="00D97BDD"/>
    <w:rsid w:val="00DA5BBA"/>
    <w:rsid w:val="00DB26D2"/>
    <w:rsid w:val="00DB67C9"/>
    <w:rsid w:val="00DC0C27"/>
    <w:rsid w:val="00DC0C95"/>
    <w:rsid w:val="00DC75E3"/>
    <w:rsid w:val="00DD4A36"/>
    <w:rsid w:val="00DD6580"/>
    <w:rsid w:val="00DE5B0C"/>
    <w:rsid w:val="00DF0215"/>
    <w:rsid w:val="00DF2F59"/>
    <w:rsid w:val="00DF70FF"/>
    <w:rsid w:val="00E0363B"/>
    <w:rsid w:val="00E17C72"/>
    <w:rsid w:val="00E21FC6"/>
    <w:rsid w:val="00E22A42"/>
    <w:rsid w:val="00E364D1"/>
    <w:rsid w:val="00E431A9"/>
    <w:rsid w:val="00E54AB7"/>
    <w:rsid w:val="00E568F3"/>
    <w:rsid w:val="00E669E2"/>
    <w:rsid w:val="00E72082"/>
    <w:rsid w:val="00E75B5D"/>
    <w:rsid w:val="00E76135"/>
    <w:rsid w:val="00E82F4F"/>
    <w:rsid w:val="00EA4F63"/>
    <w:rsid w:val="00EB50D0"/>
    <w:rsid w:val="00EB5AE9"/>
    <w:rsid w:val="00EC2844"/>
    <w:rsid w:val="00EC2A85"/>
    <w:rsid w:val="00EC5500"/>
    <w:rsid w:val="00EC71F4"/>
    <w:rsid w:val="00ED1F77"/>
    <w:rsid w:val="00ED79F8"/>
    <w:rsid w:val="00EE3AAE"/>
    <w:rsid w:val="00EF5CBE"/>
    <w:rsid w:val="00EF6C6C"/>
    <w:rsid w:val="00EF7173"/>
    <w:rsid w:val="00F01A96"/>
    <w:rsid w:val="00F056FC"/>
    <w:rsid w:val="00F10476"/>
    <w:rsid w:val="00F135D8"/>
    <w:rsid w:val="00F14C7E"/>
    <w:rsid w:val="00F31299"/>
    <w:rsid w:val="00F3534A"/>
    <w:rsid w:val="00F36DB3"/>
    <w:rsid w:val="00F47F91"/>
    <w:rsid w:val="00F51609"/>
    <w:rsid w:val="00F538D7"/>
    <w:rsid w:val="00F60356"/>
    <w:rsid w:val="00F654A7"/>
    <w:rsid w:val="00F7280D"/>
    <w:rsid w:val="00F831B3"/>
    <w:rsid w:val="00F85325"/>
    <w:rsid w:val="00F8746D"/>
    <w:rsid w:val="00F91620"/>
    <w:rsid w:val="00FA0DAE"/>
    <w:rsid w:val="00FB57A6"/>
    <w:rsid w:val="00FC043F"/>
    <w:rsid w:val="00FC1E1A"/>
    <w:rsid w:val="00FC7C26"/>
    <w:rsid w:val="00FD1710"/>
    <w:rsid w:val="00FD22B1"/>
    <w:rsid w:val="00FE09EA"/>
    <w:rsid w:val="00FF42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D1F77"/>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079E8"/>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A079E8"/>
    <w:pPr>
      <w:numPr>
        <w:numId w:val="19"/>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List Bullet1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079E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TitleChar">
    <w:name w:val="Box Title Char"/>
    <w:link w:val="BoxTitle"/>
    <w:rsid w:val="00EF7173"/>
    <w:rPr>
      <w:rFonts w:ascii="Arial" w:hAnsi="Arial"/>
      <w:b/>
      <w:sz w:val="24"/>
      <w:szCs w:val="24"/>
    </w:rPr>
  </w:style>
  <w:style w:type="character" w:customStyle="1" w:styleId="BoxListBulletChar">
    <w:name w:val="Box List Bullet Char"/>
    <w:link w:val="BoxListBullet"/>
    <w:rsid w:val="00EF7173"/>
    <w:rPr>
      <w:rFonts w:ascii="Arial" w:hAnsi="Arial"/>
      <w:sz w:val="22"/>
    </w:rPr>
  </w:style>
  <w:style w:type="paragraph" w:styleId="Revision">
    <w:name w:val="Revision"/>
    <w:hidden/>
    <w:uiPriority w:val="99"/>
    <w:semiHidden/>
    <w:rsid w:val="0059193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D1F77"/>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079E8"/>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A079E8"/>
    <w:pPr>
      <w:numPr>
        <w:numId w:val="19"/>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List Bullet1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079E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TitleChar">
    <w:name w:val="Box Title Char"/>
    <w:link w:val="BoxTitle"/>
    <w:rsid w:val="00EF7173"/>
    <w:rPr>
      <w:rFonts w:ascii="Arial" w:hAnsi="Arial"/>
      <w:b/>
      <w:sz w:val="24"/>
      <w:szCs w:val="24"/>
    </w:rPr>
  </w:style>
  <w:style w:type="character" w:customStyle="1" w:styleId="BoxListBulletChar">
    <w:name w:val="Box List Bullet Char"/>
    <w:link w:val="BoxListBullet"/>
    <w:rsid w:val="00EF7173"/>
    <w:rPr>
      <w:rFonts w:ascii="Arial" w:hAnsi="Arial"/>
      <w:sz w:val="22"/>
    </w:rPr>
  </w:style>
  <w:style w:type="paragraph" w:styleId="Revision">
    <w:name w:val="Revision"/>
    <w:hidden/>
    <w:uiPriority w:val="99"/>
    <w:semiHidden/>
    <w:rsid w:val="0059193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13831">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8404482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4F6A7-2CDE-4E91-A7F4-2B2075C7D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52</Pages>
  <Words>13275</Words>
  <Characters>71735</Characters>
  <Application>Microsoft Office Word</Application>
  <DocSecurity>0</DocSecurity>
  <Lines>597</Lines>
  <Paragraphs>169</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84841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4.</dc:description>
  <cp:lastModifiedBy>Frech, Tanya</cp:lastModifiedBy>
  <cp:revision>16</cp:revision>
  <cp:lastPrinted>2012-07-19T02:05:00Z</cp:lastPrinted>
  <dcterms:created xsi:type="dcterms:W3CDTF">2014-03-25T03:22:00Z</dcterms:created>
  <dcterms:modified xsi:type="dcterms:W3CDTF">2014-04-10T05:04:00Z</dcterms:modified>
</cp:coreProperties>
</file>