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FD20B4" w:rsidRDefault="00AE73D8" w:rsidP="00AE73D8">
      <w:pPr>
        <w:pStyle w:val="Chapter"/>
        <w:ind w:left="907" w:hanging="907"/>
        <w:rPr>
          <w:noProof/>
        </w:rPr>
      </w:pPr>
      <w:bookmarkStart w:id="0" w:name="ChapterNumber"/>
      <w:r w:rsidRPr="00FD20B4">
        <w:rPr>
          <w:noProof/>
        </w:rPr>
        <w:t>16</w:t>
      </w:r>
      <w:bookmarkEnd w:id="0"/>
      <w:r w:rsidRPr="00FD20B4">
        <w:rPr>
          <w:noProof/>
        </w:rPr>
        <w:tab/>
      </w:r>
      <w:bookmarkStart w:id="1" w:name="ChapterTitle"/>
      <w:r w:rsidRPr="00FD20B4">
        <w:rPr>
          <w:noProof/>
        </w:rPr>
        <w:t>Youth just</w:t>
      </w:r>
      <w:bookmarkStart w:id="2" w:name="_GoBack"/>
      <w:bookmarkEnd w:id="2"/>
      <w:r w:rsidRPr="00FD20B4">
        <w:rPr>
          <w:noProof/>
        </w:rPr>
        <w:t>ice services</w:t>
      </w:r>
      <w:bookmarkEnd w:id="1"/>
    </w:p>
    <w:p w:rsidR="00D16FB3" w:rsidRPr="00FD20B4" w:rsidRDefault="00270B27" w:rsidP="00270B27">
      <w:pPr>
        <w:pStyle w:val="TOC2"/>
      </w:pPr>
      <w:bookmarkStart w:id="3" w:name="begin"/>
      <w:bookmarkEnd w:id="3"/>
      <w:r w:rsidRPr="00FD20B4">
        <w:t>CONTENTS</w:t>
      </w:r>
    </w:p>
    <w:p w:rsidR="00D504EE" w:rsidRPr="00D504EE" w:rsidRDefault="00D504EE">
      <w:pPr>
        <w:pStyle w:val="TOC3"/>
        <w:rPr>
          <w:rStyle w:val="Hyperlink"/>
          <w:b/>
          <w:noProof/>
          <w:color w:val="auto"/>
        </w:rPr>
      </w:pPr>
      <w:r w:rsidRPr="002874B5">
        <w:rPr>
          <w:b/>
          <w:noProof/>
        </w:rPr>
        <w:t>Indigenous data in the Youth justice services chapter</w:t>
      </w:r>
      <w:r w:rsidRPr="002874B5">
        <w:rPr>
          <w:b/>
          <w:noProof/>
          <w:webHidden/>
        </w:rPr>
        <w:tab/>
        <w:t>16.2</w:t>
      </w:r>
    </w:p>
    <w:p w:rsidR="00D504EE" w:rsidRPr="00D504EE" w:rsidRDefault="00D504EE">
      <w:pPr>
        <w:pStyle w:val="TOC3"/>
        <w:rPr>
          <w:rStyle w:val="Hyperlink"/>
          <w:b/>
          <w:noProof/>
          <w:color w:val="auto"/>
        </w:rPr>
      </w:pPr>
      <w:r w:rsidRPr="002874B5">
        <w:rPr>
          <w:b/>
          <w:noProof/>
        </w:rPr>
        <w:t>Youth justice services — service overview</w:t>
      </w:r>
      <w:r w:rsidRPr="002874B5">
        <w:rPr>
          <w:b/>
          <w:noProof/>
          <w:webHidden/>
        </w:rPr>
        <w:tab/>
        <w:t>16.3</w:t>
      </w:r>
    </w:p>
    <w:p w:rsidR="00D504EE" w:rsidRPr="00D504EE" w:rsidRDefault="00D504EE">
      <w:pPr>
        <w:pStyle w:val="TOC3"/>
        <w:rPr>
          <w:rStyle w:val="Hyperlink"/>
          <w:b/>
          <w:noProof/>
          <w:color w:val="auto"/>
        </w:rPr>
      </w:pPr>
      <w:r w:rsidRPr="002874B5">
        <w:rPr>
          <w:b/>
          <w:noProof/>
        </w:rPr>
        <w:t>Framework of performance indicators for youth justice services</w:t>
      </w:r>
      <w:r w:rsidRPr="002874B5">
        <w:rPr>
          <w:b/>
          <w:noProof/>
          <w:webHidden/>
        </w:rPr>
        <w:tab/>
        <w:t>16.6</w:t>
      </w:r>
    </w:p>
    <w:p w:rsidR="00D504EE" w:rsidRPr="00D504EE" w:rsidRDefault="00D504EE">
      <w:pPr>
        <w:pStyle w:val="TOC3"/>
        <w:rPr>
          <w:rStyle w:val="Hyperlink"/>
          <w:b/>
          <w:noProof/>
          <w:color w:val="auto"/>
        </w:rPr>
      </w:pPr>
      <w:r w:rsidRPr="002874B5">
        <w:rPr>
          <w:b/>
          <w:noProof/>
        </w:rPr>
        <w:t>Youth justice services reporting for Indigenous Australians</w:t>
      </w:r>
      <w:r w:rsidRPr="002874B5">
        <w:rPr>
          <w:b/>
          <w:noProof/>
          <w:webHidden/>
        </w:rPr>
        <w:tab/>
        <w:t>16.7</w:t>
      </w:r>
    </w:p>
    <w:p w:rsidR="00D504EE" w:rsidRPr="00D504EE" w:rsidRDefault="00D504EE" w:rsidP="00D504EE">
      <w:pPr>
        <w:pStyle w:val="TOC4"/>
        <w:rPr>
          <w:rStyle w:val="Hyperlink"/>
          <w:b/>
          <w:color w:val="auto"/>
        </w:rPr>
      </w:pPr>
      <w:r w:rsidRPr="002874B5">
        <w:rPr>
          <w:b/>
          <w:noProof/>
        </w:rPr>
        <w:t>Diversion — group conferencing outcomes</w:t>
      </w:r>
      <w:r w:rsidRPr="002874B5">
        <w:rPr>
          <w:b/>
          <w:webHidden/>
        </w:rPr>
        <w:tab/>
        <w:t>16.7</w:t>
      </w:r>
    </w:p>
    <w:p w:rsidR="00D504EE" w:rsidRPr="00D504EE" w:rsidRDefault="00D504EE" w:rsidP="00D504EE">
      <w:pPr>
        <w:pStyle w:val="TOC4"/>
        <w:rPr>
          <w:rStyle w:val="Hyperlink"/>
          <w:b/>
          <w:color w:val="auto"/>
        </w:rPr>
      </w:pPr>
      <w:r w:rsidRPr="002874B5">
        <w:rPr>
          <w:b/>
          <w:noProof/>
        </w:rPr>
        <w:t>Rehabilitation — education and training attendance</w:t>
      </w:r>
      <w:r w:rsidRPr="002874B5">
        <w:rPr>
          <w:b/>
          <w:webHidden/>
        </w:rPr>
        <w:tab/>
        <w:t>16.9</w:t>
      </w:r>
    </w:p>
    <w:p w:rsidR="00D504EE" w:rsidRPr="00D504EE" w:rsidRDefault="00D504EE" w:rsidP="00D504EE">
      <w:pPr>
        <w:pStyle w:val="TOC4"/>
        <w:rPr>
          <w:rStyle w:val="Hyperlink"/>
          <w:b/>
          <w:color w:val="auto"/>
        </w:rPr>
      </w:pPr>
      <w:r w:rsidRPr="002874B5">
        <w:rPr>
          <w:b/>
          <w:noProof/>
        </w:rPr>
        <w:t>Safe and secure environment — escapes</w:t>
      </w:r>
      <w:r w:rsidRPr="002874B5">
        <w:rPr>
          <w:b/>
          <w:webHidden/>
        </w:rPr>
        <w:tab/>
        <w:t>16.12</w:t>
      </w:r>
    </w:p>
    <w:p w:rsidR="00D504EE" w:rsidRPr="00D504EE" w:rsidRDefault="00D504EE" w:rsidP="00D504EE">
      <w:pPr>
        <w:pStyle w:val="TOC4"/>
        <w:rPr>
          <w:rStyle w:val="Hyperlink"/>
          <w:b/>
          <w:color w:val="auto"/>
        </w:rPr>
      </w:pPr>
      <w:r w:rsidRPr="002874B5">
        <w:rPr>
          <w:b/>
          <w:noProof/>
        </w:rPr>
        <w:t>Safe and secure environment — assaults in custody</w:t>
      </w:r>
      <w:r w:rsidRPr="002874B5">
        <w:rPr>
          <w:b/>
          <w:webHidden/>
        </w:rPr>
        <w:tab/>
        <w:t>16.13</w:t>
      </w:r>
    </w:p>
    <w:p w:rsidR="00D504EE" w:rsidRPr="00D504EE" w:rsidRDefault="00D504EE" w:rsidP="00D504EE">
      <w:pPr>
        <w:pStyle w:val="TOC4"/>
        <w:rPr>
          <w:rStyle w:val="Hyperlink"/>
          <w:b/>
          <w:color w:val="auto"/>
        </w:rPr>
      </w:pPr>
      <w:r w:rsidRPr="002874B5">
        <w:rPr>
          <w:b/>
          <w:noProof/>
        </w:rPr>
        <w:t>Safe and secure environment — self-harm and attempted suicide in custody</w:t>
      </w:r>
      <w:r w:rsidRPr="002874B5">
        <w:rPr>
          <w:b/>
          <w:webHidden/>
        </w:rPr>
        <w:tab/>
        <w:t>16.16</w:t>
      </w:r>
    </w:p>
    <w:p w:rsidR="00D504EE" w:rsidRPr="00D504EE" w:rsidRDefault="00D504EE" w:rsidP="00D504EE">
      <w:pPr>
        <w:pStyle w:val="TOC4"/>
        <w:rPr>
          <w:rStyle w:val="Hyperlink"/>
          <w:b/>
          <w:color w:val="auto"/>
        </w:rPr>
      </w:pPr>
      <w:r w:rsidRPr="002874B5">
        <w:rPr>
          <w:b/>
          <w:noProof/>
        </w:rPr>
        <w:t>Statutory responsibilities — case plans prepared</w:t>
      </w:r>
      <w:r w:rsidRPr="002874B5">
        <w:rPr>
          <w:b/>
          <w:webHidden/>
        </w:rPr>
        <w:tab/>
        <w:t>16.20</w:t>
      </w:r>
    </w:p>
    <w:p w:rsidR="00D504EE" w:rsidRPr="00D504EE" w:rsidRDefault="00D504EE" w:rsidP="00D504EE">
      <w:pPr>
        <w:pStyle w:val="TOC4"/>
        <w:rPr>
          <w:rStyle w:val="Hyperlink"/>
          <w:b/>
          <w:color w:val="auto"/>
        </w:rPr>
      </w:pPr>
      <w:r w:rsidRPr="002874B5">
        <w:rPr>
          <w:b/>
          <w:noProof/>
        </w:rPr>
        <w:t>Statutory responsibilities — completion of community-based orders</w:t>
      </w:r>
      <w:r w:rsidRPr="002874B5">
        <w:rPr>
          <w:b/>
          <w:webHidden/>
        </w:rPr>
        <w:tab/>
        <w:t>16.22</w:t>
      </w:r>
    </w:p>
    <w:p w:rsidR="00D504EE" w:rsidRPr="00D504EE" w:rsidRDefault="00D504EE">
      <w:pPr>
        <w:pStyle w:val="TOC3"/>
        <w:rPr>
          <w:rStyle w:val="Hyperlink"/>
          <w:b/>
          <w:color w:val="auto"/>
        </w:rPr>
      </w:pPr>
      <w:r w:rsidRPr="002874B5">
        <w:rPr>
          <w:b/>
          <w:noProof/>
        </w:rPr>
        <w:t>Definit</w:t>
      </w:r>
      <w:r w:rsidR="006A7526" w:rsidRPr="002874B5">
        <w:rPr>
          <w:b/>
          <w:noProof/>
        </w:rPr>
        <w:t>ions of key terms</w:t>
      </w:r>
      <w:r w:rsidRPr="002874B5">
        <w:rPr>
          <w:b/>
          <w:webHidden/>
        </w:rPr>
        <w:tab/>
        <w:t>16.24</w:t>
      </w:r>
    </w:p>
    <w:p w:rsidR="00D504EE" w:rsidRPr="00D504EE" w:rsidRDefault="00D504EE" w:rsidP="00D504EE">
      <w:pPr>
        <w:pStyle w:val="TOC3"/>
        <w:rPr>
          <w:rStyle w:val="Hyperlink"/>
          <w:b/>
          <w:color w:val="auto"/>
        </w:rPr>
      </w:pPr>
      <w:r w:rsidRPr="002874B5">
        <w:rPr>
          <w:b/>
          <w:noProof/>
        </w:rPr>
        <w:t>List of attachment tables</w:t>
      </w:r>
      <w:r w:rsidRPr="002874B5">
        <w:rPr>
          <w:b/>
          <w:webHidden/>
        </w:rPr>
        <w:tab/>
        <w:t>16.24</w:t>
      </w:r>
    </w:p>
    <w:p w:rsidR="00D504EE" w:rsidRDefault="00D504EE">
      <w:pPr>
        <w:pStyle w:val="TOC3"/>
        <w:rPr>
          <w:rFonts w:asciiTheme="minorHAnsi" w:eastAsiaTheme="minorEastAsia" w:hAnsiTheme="minorHAnsi" w:cstheme="minorBidi"/>
          <w:noProof/>
          <w:sz w:val="22"/>
          <w:szCs w:val="22"/>
        </w:rPr>
      </w:pPr>
      <w:r w:rsidRPr="002874B5">
        <w:rPr>
          <w:b/>
          <w:noProof/>
        </w:rPr>
        <w:t>References</w:t>
      </w:r>
      <w:r w:rsidRPr="002874B5">
        <w:rPr>
          <w:b/>
          <w:webHidden/>
        </w:rPr>
        <w:tab/>
        <w:t>16.25</w:t>
      </w:r>
    </w:p>
    <w:p w:rsidR="00D103EE" w:rsidRPr="00FD20B4" w:rsidRDefault="00D103EE" w:rsidP="00F85C7B">
      <w:pPr>
        <w:pStyle w:val="TOC2"/>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FD20B4"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FD20B4" w:rsidRDefault="00270B27" w:rsidP="0076310E">
            <w:pPr>
              <w:pStyle w:val="BoxTitle"/>
            </w:pPr>
            <w:r w:rsidRPr="00FD20B4">
              <w:t>Attachment tables</w:t>
            </w:r>
          </w:p>
        </w:tc>
      </w:tr>
      <w:tr w:rsidR="00270B27" w:rsidRPr="00FD20B4" w:rsidTr="0076310E">
        <w:trPr>
          <w:cantSplit/>
        </w:trPr>
        <w:tc>
          <w:tcPr>
            <w:tcW w:w="8771" w:type="dxa"/>
            <w:tcBorders>
              <w:top w:val="nil"/>
              <w:left w:val="single" w:sz="6" w:space="0" w:color="auto"/>
              <w:bottom w:val="nil"/>
              <w:right w:val="single" w:sz="6" w:space="0" w:color="auto"/>
            </w:tcBorders>
            <w:shd w:val="clear" w:color="auto" w:fill="E6E6E6"/>
          </w:tcPr>
          <w:p w:rsidR="00270B27" w:rsidRPr="00FD20B4" w:rsidRDefault="0036683E" w:rsidP="003C7D3E">
            <w:pPr>
              <w:pStyle w:val="Box"/>
            </w:pPr>
            <w:r w:rsidRPr="00FD20B4">
              <w:t>Attachment tables are identified in references throughout this Indigenous Compendium by an ‘A’ prefix (for example, in this chapter, table 1</w:t>
            </w:r>
            <w:r w:rsidR="003C7D3E">
              <w:t>6</w:t>
            </w:r>
            <w:r w:rsidRPr="00FD20B4">
              <w:t>A.1). As the data are directly sourced from the 201</w:t>
            </w:r>
            <w:r w:rsidR="00F27971" w:rsidRPr="00FD20B4">
              <w:t>4</w:t>
            </w:r>
            <w:r w:rsidRPr="00FD20B4">
              <w:t xml:space="preserve"> Report, the Compendium also notes where the original table, figure or text in the 201</w:t>
            </w:r>
            <w:r w:rsidR="00F27971" w:rsidRPr="00FD20B4">
              <w:t>4</w:t>
            </w:r>
            <w:r w:rsidRPr="00FD20B4">
              <w:t xml:space="preserve"> Report can be found. For example, where the Compendium refers to ‘201</w:t>
            </w:r>
            <w:r w:rsidR="00F27971" w:rsidRPr="00FD20B4">
              <w:t>4</w:t>
            </w:r>
            <w:r w:rsidRPr="00FD20B4">
              <w:t xml:space="preserve"> Report, p. 1</w:t>
            </w:r>
            <w:r w:rsidR="003C7D3E">
              <w:t>6</w:t>
            </w:r>
            <w:r w:rsidRPr="00FD20B4">
              <w:t>.1’ this is page 1 of chapter 1</w:t>
            </w:r>
            <w:r w:rsidR="003C7D3E">
              <w:t>6</w:t>
            </w:r>
            <w:r w:rsidRPr="00FD20B4">
              <w:t xml:space="preserve"> of the 201</w:t>
            </w:r>
            <w:r w:rsidR="00F27971" w:rsidRPr="00FD20B4">
              <w:t>4</w:t>
            </w:r>
            <w:r w:rsidRPr="00FD20B4">
              <w:t xml:space="preserve"> Report, and ‘201</w:t>
            </w:r>
            <w:r w:rsidR="00F27971" w:rsidRPr="00FD20B4">
              <w:t>4</w:t>
            </w:r>
            <w:r w:rsidRPr="00FD20B4">
              <w:t xml:space="preserve"> Report, table 1</w:t>
            </w:r>
            <w:r w:rsidR="003C7D3E">
              <w:t>6</w:t>
            </w:r>
            <w:r w:rsidRPr="00FD20B4">
              <w:t>A.1’ is attachment table 1 of attachment 1</w:t>
            </w:r>
            <w:r w:rsidR="003C7D3E">
              <w:t>6</w:t>
            </w:r>
            <w:r w:rsidRPr="00FD20B4">
              <w:t>A of the 201</w:t>
            </w:r>
            <w:r w:rsidR="00F27971" w:rsidRPr="00FD20B4">
              <w:t>4</w:t>
            </w:r>
            <w:r w:rsidR="00D54D7A">
              <w:t xml:space="preserve"> </w:t>
            </w:r>
            <w:r w:rsidRPr="00FD20B4">
              <w:t xml:space="preserve">Report. A list of attachment tables referred to in the Compendium is provided at the end of this chapter, and the </w:t>
            </w:r>
            <w:r w:rsidR="000E35CE" w:rsidRPr="00FD20B4">
              <w:t xml:space="preserve">full </w:t>
            </w:r>
            <w:r w:rsidRPr="00FD20B4">
              <w:t>attachment tables are available from the Review website at www.pc.gov.au/gsp.</w:t>
            </w:r>
          </w:p>
        </w:tc>
      </w:tr>
      <w:tr w:rsidR="00270B27" w:rsidRPr="00FD20B4"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FD20B4" w:rsidRDefault="00270B27" w:rsidP="0076310E">
            <w:pPr>
              <w:pStyle w:val="Box"/>
              <w:spacing w:before="0" w:line="120" w:lineRule="exact"/>
            </w:pPr>
          </w:p>
        </w:tc>
      </w:tr>
      <w:tr w:rsidR="00270B27" w:rsidRPr="00FD20B4" w:rsidTr="0076310E">
        <w:tc>
          <w:tcPr>
            <w:tcW w:w="8771" w:type="dxa"/>
            <w:tcBorders>
              <w:top w:val="nil"/>
              <w:left w:val="nil"/>
              <w:bottom w:val="nil"/>
              <w:right w:val="nil"/>
            </w:tcBorders>
          </w:tcPr>
          <w:p w:rsidR="00270B27" w:rsidRPr="00FD20B4" w:rsidRDefault="00270B27" w:rsidP="0076310E">
            <w:pPr>
              <w:pStyle w:val="Box"/>
              <w:keepNext w:val="0"/>
              <w:spacing w:before="60" w:after="60" w:line="80" w:lineRule="exact"/>
              <w:rPr>
                <w:b/>
                <w:color w:val="FF00FF"/>
                <w:sz w:val="14"/>
              </w:rPr>
            </w:pPr>
          </w:p>
        </w:tc>
      </w:tr>
    </w:tbl>
    <w:p w:rsidR="00535A59" w:rsidRPr="00FD20B4" w:rsidRDefault="00535A59" w:rsidP="00AB1DAE">
      <w:pPr>
        <w:spacing w:before="240" w:line="320" w:lineRule="atLeast"/>
        <w:jc w:val="both"/>
        <w:rPr>
          <w:szCs w:val="20"/>
        </w:rPr>
      </w:pPr>
      <w:bookmarkStart w:id="5" w:name="_Toc217288567"/>
      <w:bookmarkStart w:id="6" w:name="_Toc242691689"/>
      <w:bookmarkStart w:id="7" w:name="_Toc249253440"/>
      <w:bookmarkStart w:id="8" w:name="_Toc266438518"/>
      <w:bookmarkStart w:id="9" w:name="_Toc317491758"/>
      <w:bookmarkEnd w:id="4"/>
      <w:r w:rsidRPr="00FD20B4">
        <w:rPr>
          <w:szCs w:val="20"/>
        </w:rPr>
        <w:t xml:space="preserve">The </w:t>
      </w:r>
      <w:r w:rsidR="00F27971" w:rsidRPr="00FD20B4">
        <w:rPr>
          <w:szCs w:val="20"/>
        </w:rPr>
        <w:t>Y</w:t>
      </w:r>
      <w:r w:rsidRPr="00FD20B4">
        <w:rPr>
          <w:szCs w:val="20"/>
        </w:rPr>
        <w:t xml:space="preserve">outh </w:t>
      </w:r>
      <w:r w:rsidR="00D6577A" w:rsidRPr="00FD20B4">
        <w:rPr>
          <w:szCs w:val="20"/>
        </w:rPr>
        <w:t xml:space="preserve">justice </w:t>
      </w:r>
      <w:r w:rsidR="00AB1DAE" w:rsidRPr="00FD20B4">
        <w:rPr>
          <w:szCs w:val="20"/>
        </w:rPr>
        <w:t>services chapter (chapter 1</w:t>
      </w:r>
      <w:r w:rsidR="00F27971" w:rsidRPr="00FD20B4">
        <w:rPr>
          <w:szCs w:val="20"/>
        </w:rPr>
        <w:t>6</w:t>
      </w:r>
      <w:r w:rsidR="00AB1DAE" w:rsidRPr="00FD20B4">
        <w:rPr>
          <w:szCs w:val="20"/>
        </w:rPr>
        <w:t xml:space="preserve">) in the </w:t>
      </w:r>
      <w:r w:rsidR="00AB1DAE" w:rsidRPr="00FD20B4">
        <w:rPr>
          <w:i/>
          <w:szCs w:val="20"/>
        </w:rPr>
        <w:t>Report on Government Services 201</w:t>
      </w:r>
      <w:r w:rsidR="00F27971" w:rsidRPr="00FD20B4">
        <w:rPr>
          <w:i/>
          <w:szCs w:val="20"/>
        </w:rPr>
        <w:t>4</w:t>
      </w:r>
      <w:r w:rsidR="00AB1DAE" w:rsidRPr="00FD20B4">
        <w:rPr>
          <w:szCs w:val="20"/>
        </w:rPr>
        <w:t xml:space="preserve"> (201</w:t>
      </w:r>
      <w:r w:rsidR="00F27971" w:rsidRPr="00FD20B4">
        <w:rPr>
          <w:szCs w:val="20"/>
        </w:rPr>
        <w:t xml:space="preserve">4 </w:t>
      </w:r>
      <w:r w:rsidR="00AB1DAE" w:rsidRPr="00FD20B4">
        <w:rPr>
          <w:szCs w:val="20"/>
        </w:rPr>
        <w:t xml:space="preserve">Report) reports on the performance of </w:t>
      </w:r>
      <w:r w:rsidR="005B7C3F" w:rsidRPr="00FD20B4">
        <w:rPr>
          <w:szCs w:val="20"/>
        </w:rPr>
        <w:t xml:space="preserve">governments in </w:t>
      </w:r>
      <w:r w:rsidR="005B7C3F" w:rsidRPr="00FD20B4">
        <w:rPr>
          <w:szCs w:val="20"/>
        </w:rPr>
        <w:lastRenderedPageBreak/>
        <w:t xml:space="preserve">delivering youth justice services </w:t>
      </w:r>
      <w:r w:rsidR="00AB1DAE" w:rsidRPr="00FD20B4">
        <w:rPr>
          <w:szCs w:val="20"/>
        </w:rPr>
        <w:t xml:space="preserve">in each Australian State and Territory. Data are reported for Indigenous </w:t>
      </w:r>
      <w:r w:rsidR="00D6577A" w:rsidRPr="00FD20B4">
        <w:rPr>
          <w:szCs w:val="20"/>
        </w:rPr>
        <w:t xml:space="preserve">Australians </w:t>
      </w:r>
      <w:r w:rsidR="00AB1DAE" w:rsidRPr="00FD20B4">
        <w:rPr>
          <w:szCs w:val="20"/>
        </w:rPr>
        <w:t>for a subset of the performance indicators reported in that chapter — those data are compiled and presented here.</w:t>
      </w:r>
    </w:p>
    <w:p w:rsidR="00F27971" w:rsidRPr="00FD20B4" w:rsidRDefault="00F27971" w:rsidP="00F27971">
      <w:pPr>
        <w:pStyle w:val="BodyText"/>
        <w:keepNext/>
        <w:widowControl w:val="0"/>
      </w:pPr>
      <w:r w:rsidRPr="00FD20B4">
        <w:t>This chapter reports on:</w:t>
      </w:r>
    </w:p>
    <w:p w:rsidR="00F27971" w:rsidRPr="00FD20B4" w:rsidRDefault="00F27971" w:rsidP="00F27971">
      <w:pPr>
        <w:pStyle w:val="ListBullet"/>
        <w:numPr>
          <w:ilvl w:val="0"/>
          <w:numId w:val="3"/>
        </w:numPr>
      </w:pPr>
      <w:r w:rsidRPr="00FD20B4">
        <w:rPr>
          <w:i/>
        </w:rPr>
        <w:t>Community-based youth justice supervision —</w:t>
      </w:r>
      <w:r w:rsidRPr="00FD20B4">
        <w:t xml:space="preserve"> community-based youth justice supervision is an alternative to detention, where a sentenced order or unsentenced order (such as conditional bail) are served in the community. Most young people under youth justice supervision are supervised in the community.</w:t>
      </w:r>
    </w:p>
    <w:p w:rsidR="00F27971" w:rsidRPr="00FD20B4" w:rsidRDefault="00F27971" w:rsidP="00F27971">
      <w:pPr>
        <w:pStyle w:val="ListBullet"/>
        <w:numPr>
          <w:ilvl w:val="0"/>
          <w:numId w:val="3"/>
        </w:numPr>
      </w:pPr>
      <w:r w:rsidRPr="00FD20B4">
        <w:rPr>
          <w:i/>
        </w:rPr>
        <w:t>Detention-based youth justice supervision</w:t>
      </w:r>
      <w:r w:rsidRPr="00FD20B4">
        <w:t xml:space="preserve"> </w:t>
      </w:r>
      <w:r w:rsidRPr="00FD20B4">
        <w:rPr>
          <w:i/>
        </w:rPr>
        <w:t xml:space="preserve">— </w:t>
      </w:r>
      <w:r w:rsidRPr="00FD20B4">
        <w:t xml:space="preserve">detention-based youth justice supervision involves young people serving their sentence in a custodial environment. </w:t>
      </w:r>
    </w:p>
    <w:p w:rsidR="00F27971" w:rsidRPr="00FD20B4" w:rsidRDefault="00F27971" w:rsidP="00F27971">
      <w:pPr>
        <w:pStyle w:val="ListBullet"/>
        <w:numPr>
          <w:ilvl w:val="0"/>
          <w:numId w:val="3"/>
        </w:numPr>
      </w:pPr>
      <w:r w:rsidRPr="00FD20B4">
        <w:rPr>
          <w:i/>
        </w:rPr>
        <w:t xml:space="preserve">Group conferencing — </w:t>
      </w:r>
      <w:r w:rsidRPr="00FD20B4">
        <w:t>group conferences are decision-making forums that aim to minimise the progression of young people into the youth justice system, and provide restorative justice. Typically, a group conference involves the young offender(s) and victim(s) and their families, police, and a youth justice agency officer, all of whom attempt to agree on a course of action required of the young offender to make amends for his or her offence(s).</w:t>
      </w:r>
    </w:p>
    <w:p w:rsidR="00AB1DAE" w:rsidRPr="00FD20B4" w:rsidRDefault="00AB1DAE" w:rsidP="00AB1DAE">
      <w:pPr>
        <w:keepNext/>
        <w:spacing w:before="560" w:line="320" w:lineRule="exact"/>
        <w:outlineLvl w:val="2"/>
        <w:rPr>
          <w:rFonts w:ascii="Arial" w:hAnsi="Arial"/>
          <w:b/>
          <w:szCs w:val="20"/>
        </w:rPr>
      </w:pPr>
      <w:bookmarkStart w:id="10" w:name="_Toc290291981"/>
      <w:bookmarkStart w:id="11" w:name="_Toc257373842"/>
      <w:bookmarkStart w:id="12" w:name="_Toc320770807"/>
      <w:bookmarkStart w:id="13" w:name="_Toc348449350"/>
      <w:bookmarkStart w:id="14" w:name="_Toc348952901"/>
      <w:bookmarkStart w:id="15" w:name="_Toc351361342"/>
      <w:bookmarkStart w:id="16" w:name="_Toc384645327"/>
      <w:r w:rsidRPr="00FD20B4">
        <w:rPr>
          <w:rFonts w:ascii="Arial" w:hAnsi="Arial"/>
          <w:b/>
          <w:szCs w:val="20"/>
        </w:rPr>
        <w:t xml:space="preserve">Indigenous data in the </w:t>
      </w:r>
      <w:r w:rsidR="00F27971" w:rsidRPr="00FD20B4">
        <w:rPr>
          <w:rFonts w:ascii="Arial" w:hAnsi="Arial"/>
          <w:b/>
          <w:szCs w:val="20"/>
        </w:rPr>
        <w:t>Y</w:t>
      </w:r>
      <w:r w:rsidR="00D6577A" w:rsidRPr="00FD20B4">
        <w:rPr>
          <w:rFonts w:ascii="Arial" w:hAnsi="Arial"/>
          <w:b/>
          <w:szCs w:val="20"/>
        </w:rPr>
        <w:t xml:space="preserve">outh justice </w:t>
      </w:r>
      <w:r w:rsidRPr="00FD20B4">
        <w:rPr>
          <w:rFonts w:ascii="Arial" w:hAnsi="Arial"/>
          <w:b/>
          <w:szCs w:val="20"/>
        </w:rPr>
        <w:t>services chapter</w:t>
      </w:r>
      <w:bookmarkEnd w:id="10"/>
      <w:bookmarkEnd w:id="11"/>
      <w:bookmarkEnd w:id="12"/>
      <w:bookmarkEnd w:id="13"/>
      <w:bookmarkEnd w:id="14"/>
      <w:bookmarkEnd w:id="15"/>
      <w:bookmarkEnd w:id="16"/>
    </w:p>
    <w:p w:rsidR="00AB1DAE" w:rsidRPr="00FD20B4" w:rsidRDefault="00F27971" w:rsidP="00AB1DAE">
      <w:pPr>
        <w:spacing w:before="240" w:line="320" w:lineRule="atLeast"/>
        <w:jc w:val="both"/>
        <w:rPr>
          <w:szCs w:val="20"/>
        </w:rPr>
      </w:pPr>
      <w:r w:rsidRPr="00FD20B4">
        <w:rPr>
          <w:szCs w:val="20"/>
        </w:rPr>
        <w:t>The Y</w:t>
      </w:r>
      <w:r w:rsidR="005B7C3F" w:rsidRPr="00FD20B4">
        <w:rPr>
          <w:szCs w:val="20"/>
        </w:rPr>
        <w:t>outh justice</w:t>
      </w:r>
      <w:r w:rsidR="00AB1DAE" w:rsidRPr="00FD20B4">
        <w:rPr>
          <w:szCs w:val="20"/>
        </w:rPr>
        <w:t xml:space="preserve"> services chapter in the 201</w:t>
      </w:r>
      <w:r w:rsidRPr="00FD20B4">
        <w:rPr>
          <w:szCs w:val="20"/>
        </w:rPr>
        <w:t xml:space="preserve">4 </w:t>
      </w:r>
      <w:r w:rsidR="00AB1DAE" w:rsidRPr="00FD20B4">
        <w:rPr>
          <w:szCs w:val="20"/>
        </w:rPr>
        <w:t xml:space="preserve">Report contains the following data on Indigenous </w:t>
      </w:r>
      <w:r w:rsidR="005B7C3F" w:rsidRPr="00FD20B4">
        <w:rPr>
          <w:szCs w:val="20"/>
        </w:rPr>
        <w:t>Australians</w:t>
      </w:r>
      <w:r w:rsidR="00AB1DAE" w:rsidRPr="00FD20B4">
        <w:rPr>
          <w:szCs w:val="20"/>
        </w:rPr>
        <w:t>:</w:t>
      </w:r>
    </w:p>
    <w:p w:rsidR="00AB1DAE" w:rsidRPr="00FD20B4" w:rsidRDefault="003D15C0" w:rsidP="00AB1DAE">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r>
      <w:r w:rsidR="00AB1DAE" w:rsidRPr="00FD20B4">
        <w:rPr>
          <w:szCs w:val="20"/>
        </w:rPr>
        <w:t xml:space="preserve">daily average </w:t>
      </w:r>
      <w:r w:rsidRPr="00FD20B4">
        <w:rPr>
          <w:szCs w:val="20"/>
        </w:rPr>
        <w:t xml:space="preserve">number and </w:t>
      </w:r>
      <w:r w:rsidR="00AB1DAE" w:rsidRPr="00FD20B4">
        <w:rPr>
          <w:szCs w:val="20"/>
        </w:rPr>
        <w:t xml:space="preserve">rate of </w:t>
      </w:r>
      <w:r w:rsidR="00F27971" w:rsidRPr="00FD20B4">
        <w:rPr>
          <w:szCs w:val="20"/>
        </w:rPr>
        <w:t>Indigenous young people aged 10–17 years in detention</w:t>
      </w:r>
    </w:p>
    <w:p w:rsidR="00AB1DAE" w:rsidRPr="00FD20B4" w:rsidRDefault="003D15C0" w:rsidP="00AB1DAE">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r>
      <w:r w:rsidR="00AB1DAE" w:rsidRPr="00FD20B4">
        <w:rPr>
          <w:szCs w:val="20"/>
        </w:rPr>
        <w:t xml:space="preserve">daily </w:t>
      </w:r>
      <w:r w:rsidRPr="00FD20B4">
        <w:rPr>
          <w:szCs w:val="20"/>
        </w:rPr>
        <w:t xml:space="preserve">average number and </w:t>
      </w:r>
      <w:r w:rsidR="00AB1DAE" w:rsidRPr="00FD20B4">
        <w:rPr>
          <w:szCs w:val="20"/>
        </w:rPr>
        <w:t xml:space="preserve">rate of </w:t>
      </w:r>
      <w:r w:rsidR="00F27971" w:rsidRPr="00FD20B4">
        <w:rPr>
          <w:szCs w:val="20"/>
        </w:rPr>
        <w:t xml:space="preserve">Indigenous young </w:t>
      </w:r>
      <w:r w:rsidR="00AB1DAE" w:rsidRPr="00FD20B4">
        <w:rPr>
          <w:szCs w:val="20"/>
        </w:rPr>
        <w:t>people aged 10–17 years subject to community-based supervision</w:t>
      </w:r>
    </w:p>
    <w:p w:rsidR="003D15C0" w:rsidRPr="00FD20B4" w:rsidRDefault="003D15C0" w:rsidP="00AB1DAE">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r>
      <w:r w:rsidRPr="00FD20B4">
        <w:rPr>
          <w:szCs w:val="20"/>
        </w:rPr>
        <w:t xml:space="preserve">average rates of detention and Indigenous rate ratio, young people aged </w:t>
      </w:r>
      <w:r w:rsidR="00D504EE">
        <w:rPr>
          <w:szCs w:val="20"/>
        </w:rPr>
        <w:br/>
      </w:r>
      <w:r w:rsidRPr="00FD20B4">
        <w:rPr>
          <w:szCs w:val="20"/>
        </w:rPr>
        <w:t>10</w:t>
      </w:r>
      <w:r w:rsidR="00D504EE" w:rsidRPr="00FD20B4">
        <w:rPr>
          <w:szCs w:val="20"/>
        </w:rPr>
        <w:t>–</w:t>
      </w:r>
      <w:r w:rsidRPr="00FD20B4">
        <w:rPr>
          <w:szCs w:val="20"/>
        </w:rPr>
        <w:t>17 years in juvenile detention, per 100 000 people</w:t>
      </w:r>
    </w:p>
    <w:p w:rsidR="003D15C0" w:rsidRPr="00FD20B4" w:rsidRDefault="003D15C0" w:rsidP="00AB1DAE">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r>
      <w:r w:rsidRPr="00FD20B4">
        <w:rPr>
          <w:szCs w:val="20"/>
        </w:rPr>
        <w:t>custody nights</w:t>
      </w:r>
    </w:p>
    <w:p w:rsidR="00AB1DAE" w:rsidRPr="00FD20B4" w:rsidRDefault="003D15C0" w:rsidP="00AB1DAE">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r>
      <w:r w:rsidR="00AB1DAE" w:rsidRPr="00FD20B4">
        <w:rPr>
          <w:szCs w:val="20"/>
        </w:rPr>
        <w:t xml:space="preserve">proportion </w:t>
      </w:r>
      <w:r w:rsidR="00F27971" w:rsidRPr="00FD20B4">
        <w:rPr>
          <w:szCs w:val="20"/>
        </w:rPr>
        <w:t>of group conferences resulting in an agreement</w:t>
      </w:r>
    </w:p>
    <w:p w:rsidR="003D15C0" w:rsidRPr="00FD20B4" w:rsidRDefault="003D15C0" w:rsidP="003D15C0">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r>
      <w:r w:rsidRPr="00FD20B4">
        <w:rPr>
          <w:szCs w:val="20"/>
        </w:rPr>
        <w:t>deaths in custody</w:t>
      </w:r>
    </w:p>
    <w:p w:rsidR="003D15C0" w:rsidRPr="00FD20B4" w:rsidRDefault="003D15C0" w:rsidP="003D15C0">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r>
      <w:r w:rsidRPr="00FD20B4">
        <w:rPr>
          <w:szCs w:val="20"/>
        </w:rPr>
        <w:t>young people in detention attending education and training</w:t>
      </w:r>
    </w:p>
    <w:p w:rsidR="003D15C0" w:rsidRPr="00FD20B4" w:rsidRDefault="003D15C0" w:rsidP="00AB1DAE">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t>e</w:t>
      </w:r>
      <w:r w:rsidRPr="00FD20B4">
        <w:rPr>
          <w:szCs w:val="20"/>
        </w:rPr>
        <w:t>scapes from detention and escorted movement</w:t>
      </w:r>
    </w:p>
    <w:p w:rsidR="003D15C0" w:rsidRPr="00FD20B4" w:rsidRDefault="003D15C0" w:rsidP="00AB1DAE">
      <w:pPr>
        <w:tabs>
          <w:tab w:val="num" w:pos="340"/>
        </w:tabs>
        <w:spacing w:before="120" w:line="320" w:lineRule="atLeast"/>
        <w:ind w:left="340" w:hanging="340"/>
        <w:jc w:val="both"/>
        <w:rPr>
          <w:szCs w:val="20"/>
        </w:rPr>
      </w:pPr>
      <w:r w:rsidRPr="00FD20B4">
        <w:rPr>
          <w:shd w:val="clear" w:color="auto" w:fill="FFFFFF" w:themeFill="background1"/>
        </w:rPr>
        <w:t>•</w:t>
      </w:r>
      <w:r w:rsidRPr="00FD20B4">
        <w:rPr>
          <w:shd w:val="clear" w:color="auto" w:fill="FFFFFF" w:themeFill="background1"/>
        </w:rPr>
        <w:tab/>
        <w:t>a</w:t>
      </w:r>
      <w:r w:rsidRPr="00FD20B4">
        <w:rPr>
          <w:szCs w:val="20"/>
        </w:rPr>
        <w:t>bsconds from unescorted leave</w:t>
      </w:r>
    </w:p>
    <w:p w:rsidR="003D15C0" w:rsidRPr="00FD20B4" w:rsidRDefault="003D15C0" w:rsidP="00AB1DAE">
      <w:pPr>
        <w:tabs>
          <w:tab w:val="num" w:pos="340"/>
        </w:tabs>
        <w:spacing w:before="120" w:line="320" w:lineRule="atLeast"/>
        <w:ind w:left="340" w:hanging="340"/>
        <w:jc w:val="both"/>
        <w:rPr>
          <w:shd w:val="clear" w:color="auto" w:fill="FFFFFF" w:themeFill="background1"/>
        </w:rPr>
      </w:pPr>
      <w:r w:rsidRPr="00FD20B4">
        <w:rPr>
          <w:shd w:val="clear" w:color="auto" w:fill="FFFFFF" w:themeFill="background1"/>
        </w:rPr>
        <w:t>•</w:t>
      </w:r>
      <w:r w:rsidRPr="00FD20B4">
        <w:rPr>
          <w:shd w:val="clear" w:color="auto" w:fill="FFFFFF" w:themeFill="background1"/>
        </w:rPr>
        <w:tab/>
        <w:t>serious assaults in custody</w:t>
      </w:r>
    </w:p>
    <w:p w:rsidR="003D15C0" w:rsidRPr="00FD20B4" w:rsidRDefault="003D15C0" w:rsidP="003D15C0">
      <w:pPr>
        <w:tabs>
          <w:tab w:val="num" w:pos="340"/>
        </w:tabs>
        <w:spacing w:before="120" w:line="320" w:lineRule="atLeast"/>
        <w:ind w:left="340" w:hanging="340"/>
        <w:jc w:val="both"/>
        <w:rPr>
          <w:shd w:val="clear" w:color="auto" w:fill="FFFFFF" w:themeFill="background1"/>
        </w:rPr>
      </w:pPr>
      <w:r w:rsidRPr="00FD20B4">
        <w:rPr>
          <w:shd w:val="clear" w:color="auto" w:fill="FFFFFF" w:themeFill="background1"/>
        </w:rPr>
        <w:lastRenderedPageBreak/>
        <w:t>•</w:t>
      </w:r>
      <w:r w:rsidRPr="00FD20B4">
        <w:rPr>
          <w:shd w:val="clear" w:color="auto" w:fill="FFFFFF" w:themeFill="background1"/>
        </w:rPr>
        <w:tab/>
        <w:t>assaults in custody</w:t>
      </w:r>
    </w:p>
    <w:p w:rsidR="003D15C0" w:rsidRPr="00FD20B4" w:rsidRDefault="003D15C0" w:rsidP="003D15C0">
      <w:pPr>
        <w:tabs>
          <w:tab w:val="num" w:pos="340"/>
        </w:tabs>
        <w:spacing w:before="120" w:line="320" w:lineRule="atLeast"/>
        <w:ind w:left="340" w:hanging="340"/>
        <w:jc w:val="both"/>
        <w:rPr>
          <w:shd w:val="clear" w:color="auto" w:fill="FFFFFF" w:themeFill="background1"/>
        </w:rPr>
      </w:pPr>
      <w:r w:rsidRPr="00FD20B4">
        <w:rPr>
          <w:shd w:val="clear" w:color="auto" w:fill="FFFFFF" w:themeFill="background1"/>
        </w:rPr>
        <w:t>•</w:t>
      </w:r>
      <w:r w:rsidRPr="00FD20B4">
        <w:rPr>
          <w:shd w:val="clear" w:color="auto" w:fill="FFFFFF" w:themeFill="background1"/>
        </w:rPr>
        <w:tab/>
        <w:t>self-harm and attempted suicide in custody</w:t>
      </w:r>
    </w:p>
    <w:p w:rsidR="003D15C0" w:rsidRPr="00FD20B4" w:rsidRDefault="003D15C0" w:rsidP="003D15C0">
      <w:pPr>
        <w:tabs>
          <w:tab w:val="num" w:pos="340"/>
        </w:tabs>
        <w:spacing w:before="120" w:line="320" w:lineRule="atLeast"/>
        <w:ind w:left="340" w:hanging="340"/>
        <w:jc w:val="both"/>
        <w:rPr>
          <w:shd w:val="clear" w:color="auto" w:fill="FFFFFF" w:themeFill="background1"/>
        </w:rPr>
      </w:pPr>
      <w:r w:rsidRPr="00FD20B4">
        <w:rPr>
          <w:shd w:val="clear" w:color="auto" w:fill="FFFFFF" w:themeFill="background1"/>
        </w:rPr>
        <w:t>•</w:t>
      </w:r>
      <w:r w:rsidRPr="00FD20B4">
        <w:rPr>
          <w:shd w:val="clear" w:color="auto" w:fill="FFFFFF" w:themeFill="background1"/>
        </w:rPr>
        <w:tab/>
        <w:t>compl</w:t>
      </w:r>
      <w:r w:rsidR="00D504EE">
        <w:rPr>
          <w:shd w:val="clear" w:color="auto" w:fill="FFFFFF" w:themeFill="background1"/>
        </w:rPr>
        <w:t>etion of community-based orders</w:t>
      </w:r>
    </w:p>
    <w:p w:rsidR="003D15C0" w:rsidRPr="00FD20B4" w:rsidRDefault="003D15C0" w:rsidP="003D15C0">
      <w:pPr>
        <w:tabs>
          <w:tab w:val="num" w:pos="340"/>
        </w:tabs>
        <w:spacing w:before="120" w:line="320" w:lineRule="atLeast"/>
        <w:ind w:left="340" w:hanging="340"/>
        <w:jc w:val="both"/>
        <w:rPr>
          <w:shd w:val="clear" w:color="auto" w:fill="FFFFFF" w:themeFill="background1"/>
        </w:rPr>
      </w:pPr>
      <w:r w:rsidRPr="00FD20B4">
        <w:rPr>
          <w:shd w:val="clear" w:color="auto" w:fill="FFFFFF" w:themeFill="background1"/>
        </w:rPr>
        <w:t>•</w:t>
      </w:r>
      <w:r w:rsidRPr="00FD20B4">
        <w:rPr>
          <w:shd w:val="clear" w:color="auto" w:fill="FFFFFF" w:themeFill="background1"/>
        </w:rPr>
        <w:tab/>
        <w:t>case plans prepared/reviewed within 6 weeks of commencing a sentenced order.</w:t>
      </w:r>
    </w:p>
    <w:p w:rsidR="00AB1DAE" w:rsidRPr="00FD20B4" w:rsidRDefault="00D6577A" w:rsidP="00AB1DAE">
      <w:pPr>
        <w:keepNext/>
        <w:spacing w:before="560" w:line="320" w:lineRule="exact"/>
        <w:outlineLvl w:val="2"/>
        <w:rPr>
          <w:rFonts w:ascii="Arial" w:hAnsi="Arial"/>
          <w:b/>
          <w:szCs w:val="20"/>
        </w:rPr>
      </w:pPr>
      <w:bookmarkStart w:id="17" w:name="_Toc290291986"/>
      <w:bookmarkStart w:id="18" w:name="_Toc320770825"/>
      <w:bookmarkStart w:id="19" w:name="_Toc348449368"/>
      <w:bookmarkStart w:id="20" w:name="_Toc348952918"/>
      <w:bookmarkStart w:id="21" w:name="_Toc351361359"/>
      <w:bookmarkStart w:id="22" w:name="_Toc384645328"/>
      <w:r w:rsidRPr="00FD20B4">
        <w:rPr>
          <w:rFonts w:ascii="Arial" w:hAnsi="Arial"/>
          <w:b/>
          <w:szCs w:val="20"/>
        </w:rPr>
        <w:t xml:space="preserve">Youth </w:t>
      </w:r>
      <w:r w:rsidR="00AB1DAE" w:rsidRPr="00FD20B4">
        <w:rPr>
          <w:rFonts w:ascii="Arial" w:hAnsi="Arial"/>
          <w:b/>
          <w:szCs w:val="20"/>
        </w:rPr>
        <w:t>justice services</w:t>
      </w:r>
      <w:bookmarkStart w:id="23" w:name="_Toc320770826"/>
      <w:bookmarkStart w:id="24" w:name="_Toc348449369"/>
      <w:bookmarkStart w:id="25" w:name="_Toc348952919"/>
      <w:bookmarkStart w:id="26" w:name="_Toc351361360"/>
      <w:bookmarkEnd w:id="17"/>
      <w:bookmarkEnd w:id="18"/>
      <w:bookmarkEnd w:id="19"/>
      <w:bookmarkEnd w:id="20"/>
      <w:bookmarkEnd w:id="21"/>
      <w:r w:rsidR="008C5379" w:rsidRPr="00FD20B4">
        <w:rPr>
          <w:rFonts w:ascii="Arial" w:hAnsi="Arial"/>
          <w:b/>
          <w:szCs w:val="20"/>
        </w:rPr>
        <w:t xml:space="preserve"> — s</w:t>
      </w:r>
      <w:r w:rsidR="00AB1DAE" w:rsidRPr="00FD20B4">
        <w:rPr>
          <w:rFonts w:ascii="Arial" w:hAnsi="Arial"/>
          <w:b/>
          <w:szCs w:val="20"/>
        </w:rPr>
        <w:t>ervice overview</w:t>
      </w:r>
      <w:bookmarkEnd w:id="22"/>
      <w:bookmarkEnd w:id="23"/>
      <w:bookmarkEnd w:id="24"/>
      <w:bookmarkEnd w:id="25"/>
      <w:bookmarkEnd w:id="26"/>
    </w:p>
    <w:p w:rsidR="00FA79C7" w:rsidRPr="00FD20B4" w:rsidRDefault="00FA79C7" w:rsidP="00FA79C7">
      <w:pPr>
        <w:pStyle w:val="BodyText"/>
      </w:pPr>
      <w:r w:rsidRPr="00FD20B4">
        <w:t>Youth justice systems are responsible for attending to young people (predominantly aged 10–17 years) who have committed or allegedly committed an offence while considered by law to be a juvenile. In so doing, youth justice systems aim to promote community safety and reduce youth offending, by assisting young people to address their offending behaviour and take responsibility for the effect their behaviour has on v</w:t>
      </w:r>
      <w:r w:rsidR="008B4C06" w:rsidRPr="00FD20B4">
        <w:t>ictims and the wider community.</w:t>
      </w:r>
    </w:p>
    <w:p w:rsidR="008B4C06" w:rsidRPr="00FD20B4" w:rsidRDefault="008B4C06" w:rsidP="008B4C06">
      <w:pPr>
        <w:pStyle w:val="BodyText"/>
      </w:pPr>
      <w:r w:rsidRPr="00FD20B4">
        <w:t>Responsibility for the provision of youth justice services in Australia resides with State and Territory governments. The relevant department in each State and Territory responsible for funding and/or providing youth justice services in 2012</w:t>
      </w:r>
      <w:r w:rsidRPr="00FD20B4">
        <w:noBreakHyphen/>
        <w:t>13 is listed in box 16.1. Each jurisdiction has its own legislation that determines the policies and practices of its youth justice system. While this legislation varies in detail, its intent is similar across jurisdictions.</w:t>
      </w:r>
    </w:p>
    <w:p w:rsidR="008B4C06" w:rsidRPr="00FD20B4" w:rsidRDefault="008B4C06" w:rsidP="008B4C06">
      <w:pPr>
        <w:pStyle w:val="BodyText"/>
        <w:widowControl w:val="0"/>
      </w:pPr>
      <w:r w:rsidRPr="00FD20B4">
        <w:t>The Australasian Juvenile Justice Administrators (AJJA) is responsible for national coordination of youth justice services and is a sub-group of the Children, Youth and Community Services Policy Research Working Group (CYCSPRWG), which is a standing committee of the Standing Council on Community and Disability Services Advisory Council (SCCDSAC).</w:t>
      </w:r>
    </w:p>
    <w:p w:rsidR="00D103EE" w:rsidRPr="00FD20B4" w:rsidRDefault="00D103EE" w:rsidP="00D103EE">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29"/>
        <w:gridCol w:w="7942"/>
      </w:tblGrid>
      <w:tr w:rsidR="008E0ABE" w:rsidRPr="00FD20B4" w:rsidTr="00372932">
        <w:tc>
          <w:tcPr>
            <w:tcW w:w="8771" w:type="dxa"/>
            <w:gridSpan w:val="2"/>
            <w:tcBorders>
              <w:top w:val="single" w:sz="6" w:space="0" w:color="auto"/>
              <w:bottom w:val="nil"/>
            </w:tcBorders>
          </w:tcPr>
          <w:p w:rsidR="008E0ABE" w:rsidRPr="00FD20B4" w:rsidRDefault="008B4C06" w:rsidP="00372932">
            <w:pPr>
              <w:pStyle w:val="BoxTitle"/>
            </w:pPr>
            <w:r w:rsidRPr="00FD20B4">
              <w:rPr>
                <w:b w:val="0"/>
              </w:rPr>
              <w:t>Box 16.1</w:t>
            </w:r>
            <w:r w:rsidR="008E0ABE" w:rsidRPr="00FD20B4">
              <w:tab/>
              <w:t>Government departments responsible for the delivery of youth justice services</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NSW</w:t>
            </w:r>
          </w:p>
        </w:tc>
        <w:tc>
          <w:tcPr>
            <w:tcW w:w="7942" w:type="dxa"/>
          </w:tcPr>
          <w:p w:rsidR="008E0ABE" w:rsidRPr="00FD20B4" w:rsidRDefault="008E0ABE" w:rsidP="00372932">
            <w:pPr>
              <w:pStyle w:val="Box"/>
            </w:pPr>
            <w:r w:rsidRPr="00FD20B4">
              <w:t xml:space="preserve">Department of Attorney General and Justice </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Vic</w:t>
            </w:r>
          </w:p>
        </w:tc>
        <w:tc>
          <w:tcPr>
            <w:tcW w:w="7942" w:type="dxa"/>
          </w:tcPr>
          <w:p w:rsidR="008E0ABE" w:rsidRPr="00FD20B4" w:rsidRDefault="008E0ABE" w:rsidP="00372932">
            <w:pPr>
              <w:pStyle w:val="Box"/>
            </w:pPr>
            <w:r w:rsidRPr="00FD20B4">
              <w:t>Department of Human Services</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Qld</w:t>
            </w:r>
          </w:p>
        </w:tc>
        <w:tc>
          <w:tcPr>
            <w:tcW w:w="7942" w:type="dxa"/>
          </w:tcPr>
          <w:p w:rsidR="008E0ABE" w:rsidRPr="00FD20B4" w:rsidRDefault="008E0ABE" w:rsidP="00372932">
            <w:pPr>
              <w:pStyle w:val="Box"/>
            </w:pPr>
            <w:r w:rsidRPr="00FD20B4">
              <w:t>Department of Justice and Attorney-General</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WA</w:t>
            </w:r>
          </w:p>
        </w:tc>
        <w:tc>
          <w:tcPr>
            <w:tcW w:w="7942" w:type="dxa"/>
          </w:tcPr>
          <w:p w:rsidR="008E0ABE" w:rsidRPr="00FD20B4" w:rsidRDefault="008E0ABE" w:rsidP="00372932">
            <w:pPr>
              <w:pStyle w:val="Box"/>
            </w:pPr>
            <w:r w:rsidRPr="00FD20B4">
              <w:t>Department of Corrective Services</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SA</w:t>
            </w:r>
          </w:p>
        </w:tc>
        <w:tc>
          <w:tcPr>
            <w:tcW w:w="7942" w:type="dxa"/>
          </w:tcPr>
          <w:p w:rsidR="008E0ABE" w:rsidRPr="00FD20B4" w:rsidRDefault="008E0ABE" w:rsidP="00372932">
            <w:pPr>
              <w:pStyle w:val="Box"/>
            </w:pPr>
            <w:r w:rsidRPr="00FD20B4">
              <w:t>Department for Communities and Social Inclusion</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Tas</w:t>
            </w:r>
          </w:p>
        </w:tc>
        <w:tc>
          <w:tcPr>
            <w:tcW w:w="7942" w:type="dxa"/>
          </w:tcPr>
          <w:p w:rsidR="008E0ABE" w:rsidRPr="00FD20B4" w:rsidRDefault="008E0ABE" w:rsidP="00372932">
            <w:pPr>
              <w:pStyle w:val="Box"/>
            </w:pPr>
            <w:r w:rsidRPr="00FD20B4">
              <w:t>Department of Health and Human Services</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ACT</w:t>
            </w:r>
          </w:p>
        </w:tc>
        <w:tc>
          <w:tcPr>
            <w:tcW w:w="7942" w:type="dxa"/>
          </w:tcPr>
          <w:p w:rsidR="008E0ABE" w:rsidRPr="00FD20B4" w:rsidRDefault="008E0ABE" w:rsidP="00372932">
            <w:pPr>
              <w:pStyle w:val="Box"/>
            </w:pPr>
            <w:r w:rsidRPr="00FD20B4">
              <w:t>Community Services Directorate</w:t>
            </w:r>
          </w:p>
        </w:tc>
      </w:tr>
      <w:tr w:rsidR="008E0ABE" w:rsidRPr="00FD20B4"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FD20B4" w:rsidRDefault="008E0ABE" w:rsidP="00372932">
            <w:pPr>
              <w:pStyle w:val="Box"/>
              <w:rPr>
                <w:i/>
              </w:rPr>
            </w:pPr>
            <w:r w:rsidRPr="00FD20B4">
              <w:rPr>
                <w:i/>
              </w:rPr>
              <w:t>NT</w:t>
            </w:r>
          </w:p>
        </w:tc>
        <w:tc>
          <w:tcPr>
            <w:tcW w:w="7942" w:type="dxa"/>
          </w:tcPr>
          <w:p w:rsidR="008E0ABE" w:rsidRPr="00FD20B4" w:rsidRDefault="008E0ABE" w:rsidP="00372932">
            <w:pPr>
              <w:pStyle w:val="Box"/>
            </w:pPr>
            <w:r w:rsidRPr="00FD20B4">
              <w:t>Department of Justice and Office of Children and Families</w:t>
            </w:r>
          </w:p>
        </w:tc>
      </w:tr>
      <w:tr w:rsidR="008E0ABE" w:rsidRPr="00FD20B4" w:rsidTr="00372932">
        <w:trPr>
          <w:cantSplit/>
        </w:trPr>
        <w:tc>
          <w:tcPr>
            <w:tcW w:w="8771" w:type="dxa"/>
            <w:gridSpan w:val="2"/>
            <w:tcBorders>
              <w:top w:val="nil"/>
              <w:left w:val="single" w:sz="6" w:space="0" w:color="auto"/>
              <w:bottom w:val="single" w:sz="6" w:space="0" w:color="auto"/>
              <w:right w:val="single" w:sz="6" w:space="0" w:color="auto"/>
            </w:tcBorders>
          </w:tcPr>
          <w:p w:rsidR="008E0ABE" w:rsidRPr="00FD20B4" w:rsidRDefault="008E0ABE" w:rsidP="00372932">
            <w:pPr>
              <w:pStyle w:val="Box"/>
              <w:spacing w:before="0" w:line="120" w:lineRule="exact"/>
            </w:pPr>
          </w:p>
        </w:tc>
      </w:tr>
      <w:tr w:rsidR="008E0ABE" w:rsidRPr="00FD20B4" w:rsidTr="00372932">
        <w:tc>
          <w:tcPr>
            <w:tcW w:w="8771" w:type="dxa"/>
            <w:gridSpan w:val="2"/>
            <w:tcBorders>
              <w:top w:val="nil"/>
              <w:left w:val="nil"/>
              <w:bottom w:val="nil"/>
              <w:right w:val="nil"/>
            </w:tcBorders>
          </w:tcPr>
          <w:p w:rsidR="008E0ABE" w:rsidRPr="00FD20B4" w:rsidRDefault="008E0ABE" w:rsidP="00372932">
            <w:pPr>
              <w:pStyle w:val="Box"/>
              <w:keepNext w:val="0"/>
              <w:spacing w:before="60" w:after="60" w:line="80" w:lineRule="exact"/>
              <w:rPr>
                <w:b/>
                <w:color w:val="FF00FF"/>
                <w:sz w:val="14"/>
              </w:rPr>
            </w:pPr>
          </w:p>
        </w:tc>
      </w:tr>
    </w:tbl>
    <w:p w:rsidR="00AB1DAE" w:rsidRPr="00FD20B4" w:rsidRDefault="008E0ABE" w:rsidP="008E0ABE">
      <w:pPr>
        <w:pStyle w:val="BodyText"/>
      </w:pPr>
      <w:r w:rsidRPr="00FD20B4">
        <w:rPr>
          <w:rFonts w:ascii="Arial" w:hAnsi="Arial"/>
          <w:i/>
          <w:sz w:val="24"/>
        </w:rPr>
        <w:t>Clients of youth justice agencies</w:t>
      </w:r>
    </w:p>
    <w:p w:rsidR="008E0ABE" w:rsidRPr="00FD20B4" w:rsidRDefault="008E0ABE" w:rsidP="008E0ABE">
      <w:pPr>
        <w:keepNext/>
        <w:spacing w:before="480" w:line="320" w:lineRule="exact"/>
        <w:outlineLvl w:val="4"/>
        <w:rPr>
          <w:i/>
          <w:szCs w:val="20"/>
        </w:rPr>
      </w:pPr>
      <w:r w:rsidRPr="00FD20B4">
        <w:rPr>
          <w:i/>
          <w:szCs w:val="20"/>
        </w:rPr>
        <w:t>Numbers and rates of young Indigenous Australians subject to youth justice supervision</w:t>
      </w:r>
    </w:p>
    <w:p w:rsidR="00BB712D" w:rsidRPr="00FD20B4" w:rsidRDefault="00BB712D" w:rsidP="00BB712D">
      <w:pPr>
        <w:pStyle w:val="BodyText"/>
      </w:pPr>
      <w:r w:rsidRPr="00FD20B4">
        <w:t>The daily average number of Indigenous Australians aged 10–17 years detained in youth justice detention centres was 442 in 2011</w:t>
      </w:r>
      <w:r w:rsidRPr="00FD20B4">
        <w:noBreakHyphen/>
        <w:t xml:space="preserve">12, compared with </w:t>
      </w:r>
      <w:r w:rsidRPr="00FD20B4">
        <w:br/>
        <w:t>366 non</w:t>
      </w:r>
      <w:r w:rsidRPr="00FD20B4">
        <w:noBreakHyphen/>
        <w:t>Indigenous Australians aged 10–17 years (table 16A.9). Nationally, the daily average detention rate for Indigenous Australians aged 10–17 years in 2011</w:t>
      </w:r>
      <w:r w:rsidRPr="00FD20B4">
        <w:noBreakHyphen/>
        <w:t>12 was 425.4 per 100 000 Indigenous Australians aged 10–17 years, compared with 17.1 per 100 000 non-Indigenous young people (table 16A.9).</w:t>
      </w:r>
    </w:p>
    <w:p w:rsidR="00BB712D" w:rsidRPr="00FD20B4" w:rsidRDefault="00BB712D" w:rsidP="00BB712D">
      <w:pPr>
        <w:pStyle w:val="BodyText"/>
      </w:pPr>
      <w:r w:rsidRPr="00FD20B4">
        <w:t xml:space="preserve">In 2011, the House of Representatives Standing Committee on Aboriginal and Torres Strait Islander Affairs released the report </w:t>
      </w:r>
      <w:r w:rsidRPr="00FD20B4">
        <w:rPr>
          <w:i/>
        </w:rPr>
        <w:t>Doing Time — Time for Doing: Indigenous youth in the criminal justice system</w:t>
      </w:r>
      <w:r w:rsidRPr="00FD20B4">
        <w:t xml:space="preserve">, which highlighted that, although </w:t>
      </w:r>
      <w:r w:rsidRPr="00FD20B4">
        <w:br/>
        <w:t xml:space="preserve">20 years have passed since the </w:t>
      </w:r>
      <w:r w:rsidRPr="00FD20B4">
        <w:rPr>
          <w:i/>
        </w:rPr>
        <w:t xml:space="preserve">Royal Commission into Aboriginal Deaths in Custody Report </w:t>
      </w:r>
      <w:r w:rsidRPr="00FD20B4">
        <w:t>(Commonwealth of Australia 1991), the incarceration rate of Indigenous Australians, including Indigenous youth, has worsened (Commonwealth of Australia 2011). Indigenous young people are far more likely to come into contact with the criminal justice system and to be incarcerated than non</w:t>
      </w:r>
      <w:r w:rsidRPr="00FD20B4">
        <w:noBreakHyphen/>
        <w:t>Indigenous young people, despite Indigenous people representing approximately 2.5 per cent of the Australian population. The over</w:t>
      </w:r>
      <w:r w:rsidRPr="00FD20B4">
        <w:noBreakHyphen/>
        <w:t>representation of Indigenous Australians aged 10–17 years in detention across jurisdictions in 2011-12 is shown in figure 16.1.</w:t>
      </w:r>
    </w:p>
    <w:p w:rsidR="00BB712D" w:rsidRPr="00FD20B4" w:rsidRDefault="00BB712D" w:rsidP="00BB712D">
      <w:pPr>
        <w:pStyle w:val="FigureTitle"/>
      </w:pPr>
      <w:r w:rsidRPr="00FD20B4">
        <w:rPr>
          <w:b w:val="0"/>
        </w:rPr>
        <w:lastRenderedPageBreak/>
        <w:t>Figure 16.</w:t>
      </w:r>
      <w:r w:rsidR="00092FCC" w:rsidRPr="00FD20B4">
        <w:rPr>
          <w:b w:val="0"/>
        </w:rPr>
        <w:t>1</w:t>
      </w:r>
      <w:r w:rsidRPr="00FD20B4">
        <w:rPr>
          <w:b w:val="0"/>
        </w:rPr>
        <w:tab/>
      </w:r>
      <w:r w:rsidRPr="00FD20B4">
        <w:t>Average daily rate of detention of Indigenous and non</w:t>
      </w:r>
      <w:r w:rsidRPr="00FD20B4">
        <w:noBreakHyphen/>
        <w:t>Indigenous young people aged 10–17 years,</w:t>
      </w:r>
      <w:r w:rsidR="00092FCC" w:rsidRPr="00FD20B4">
        <w:t xml:space="preserve"> per 100 </w:t>
      </w:r>
      <w:r w:rsidRPr="00FD20B4">
        <w:t>000 young people aged 10–17 years, 2011–12</w:t>
      </w:r>
      <w:r w:rsidRPr="00FD20B4">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B712D" w:rsidRPr="00FD20B4" w:rsidTr="00BA06C7">
        <w:tc>
          <w:tcPr>
            <w:tcW w:w="8777" w:type="dxa"/>
          </w:tcPr>
          <w:p w:rsidR="00BB712D" w:rsidRPr="00FD20B4" w:rsidRDefault="00BB712D" w:rsidP="00BA06C7">
            <w:pPr>
              <w:pStyle w:val="Figure"/>
            </w:pPr>
            <w:r w:rsidRPr="00FD20B4">
              <w:rPr>
                <w:noProof/>
              </w:rPr>
              <w:drawing>
                <wp:inline distT="0" distB="0" distL="0" distR="0" wp14:anchorId="6653B0A1" wp14:editId="33AC07DA">
                  <wp:extent cx="5400000" cy="2880000"/>
                  <wp:effectExtent l="0" t="0" r="0" b="0"/>
                  <wp:docPr id="1" name="Chart 1" descr="Figure 16.1 Average daily rate of detention of Indigenous and non-Indigenous young people aged 10-17 years, per 100 000 young people aged 10-17 years,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BB712D" w:rsidRPr="00FD20B4" w:rsidRDefault="00BB712D" w:rsidP="00BB712D">
      <w:pPr>
        <w:pStyle w:val="Note"/>
      </w:pPr>
      <w:r w:rsidRPr="00FD20B4">
        <w:rPr>
          <w:rStyle w:val="NoteLabel"/>
        </w:rPr>
        <w:t xml:space="preserve">a </w:t>
      </w:r>
      <w:r w:rsidRPr="00FD20B4">
        <w:t xml:space="preserve">Data should be interpreted with caution, particularly for jurisdictions with small Indigenous populations. The Indigenous and non-Indigenous rate ratio in table 16A.11 should also be taken into account. </w:t>
      </w:r>
      <w:r w:rsidRPr="00FD20B4">
        <w:rPr>
          <w:rStyle w:val="NoteLabel"/>
        </w:rPr>
        <w:t>b</w:t>
      </w:r>
      <w:r w:rsidRPr="00FD20B4">
        <w:t xml:space="preserve"> Refer to </w:t>
      </w:r>
      <w:r w:rsidR="00092FCC" w:rsidRPr="00FD20B4">
        <w:br/>
      </w:r>
      <w:r w:rsidRPr="00FD20B4">
        <w:t>table 16A.9 for detailed footnotes.</w:t>
      </w:r>
    </w:p>
    <w:p w:rsidR="00BB712D" w:rsidRPr="00FD20B4" w:rsidRDefault="00BB712D" w:rsidP="00BB712D">
      <w:pPr>
        <w:pStyle w:val="Source"/>
      </w:pPr>
      <w:r w:rsidRPr="00FD20B4">
        <w:rPr>
          <w:i/>
        </w:rPr>
        <w:t>Source</w:t>
      </w:r>
      <w:r w:rsidRPr="00FD20B4">
        <w:t xml:space="preserve">: AIHW 2013, </w:t>
      </w:r>
      <w:r w:rsidRPr="00FD20B4">
        <w:rPr>
          <w:i/>
        </w:rPr>
        <w:t>Youth justice in Australia 2011–12: an overview,</w:t>
      </w:r>
      <w:r w:rsidRPr="00FD20B4">
        <w:t xml:space="preserve"> Canberra: AIHW; WA and NT governments (unpublished); table 16A.9</w:t>
      </w:r>
      <w:r w:rsidR="00092FCC" w:rsidRPr="00FD20B4">
        <w:t>; 2014 Report, figure 16.4, p. 16.9.</w:t>
      </w:r>
    </w:p>
    <w:p w:rsidR="00092FCC" w:rsidRPr="00FD20B4" w:rsidRDefault="00092FCC" w:rsidP="00092FCC">
      <w:pPr>
        <w:pStyle w:val="BodyText"/>
      </w:pPr>
      <w:r w:rsidRPr="00FD20B4">
        <w:t xml:space="preserve">Indigenous young people are also over-represented in community-based supervision (figure 16.2). The daily average number of Indigenous young people aged </w:t>
      </w:r>
      <w:r w:rsidRPr="00FD20B4">
        <w:br/>
        <w:t>10–17 years supervised in the community was 2040 in 2011-12, compared with 2814 non-Indigenous young people aged 10–17 years (table 16A.10). Nationally, the daily average rate of Indigenous young people aged 10–17 years subject to community-based supervision in 2011-12 was 1961.7 per 100 000 Indigenous young people aged 10–17 years, compared with 131.4 per 100 000 non-Indigenous young people aged 10–17 years (table 16A.10).</w:t>
      </w:r>
    </w:p>
    <w:p w:rsidR="00092FCC" w:rsidRPr="00FD20B4" w:rsidRDefault="00092FCC" w:rsidP="00092FCC">
      <w:pPr>
        <w:pStyle w:val="FigureTitle"/>
      </w:pPr>
      <w:r w:rsidRPr="00FD20B4">
        <w:rPr>
          <w:b w:val="0"/>
        </w:rPr>
        <w:lastRenderedPageBreak/>
        <w:t>Figure 16.2</w:t>
      </w:r>
      <w:r w:rsidRPr="00FD20B4">
        <w:rPr>
          <w:b w:val="0"/>
        </w:rPr>
        <w:tab/>
      </w:r>
      <w:r w:rsidRPr="00FD20B4">
        <w:t>Average daily rate of Indigenous and non</w:t>
      </w:r>
      <w:r w:rsidRPr="00FD20B4">
        <w:noBreakHyphen/>
        <w:t>Indigenous young people aged 10–17 years subject to community supervision, per 100 000 young people aged 10–17 years, 2011</w:t>
      </w:r>
      <w:r w:rsidRPr="00FD20B4">
        <w:noBreakHyphen/>
        <w:t>12</w:t>
      </w:r>
      <w:r w:rsidRPr="00FD20B4">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92FCC" w:rsidRPr="00FD20B4" w:rsidTr="00BA06C7">
        <w:tc>
          <w:tcPr>
            <w:tcW w:w="8777" w:type="dxa"/>
          </w:tcPr>
          <w:p w:rsidR="00092FCC" w:rsidRPr="00FD20B4" w:rsidRDefault="00092FCC" w:rsidP="00BA06C7">
            <w:pPr>
              <w:pStyle w:val="Figure"/>
            </w:pPr>
            <w:r w:rsidRPr="00FD20B4">
              <w:rPr>
                <w:noProof/>
              </w:rPr>
              <w:drawing>
                <wp:inline distT="0" distB="0" distL="0" distR="0" wp14:anchorId="69B5F73B" wp14:editId="04DA85C1">
                  <wp:extent cx="5400000" cy="2520000"/>
                  <wp:effectExtent l="0" t="0" r="0" b="0"/>
                  <wp:docPr id="3" name="Chart 3" descr="Figure 16.2 Average daily rate of Indigenous and non-Indigenous young people aged 10-17 years subject to community supervision, per 100 000 young people aged 10-17 years,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092FCC" w:rsidRPr="00FD20B4" w:rsidRDefault="00092FCC" w:rsidP="00092FCC">
      <w:pPr>
        <w:pStyle w:val="Note"/>
      </w:pPr>
      <w:r w:rsidRPr="00FD20B4">
        <w:rPr>
          <w:rStyle w:val="NoteLabel"/>
        </w:rPr>
        <w:t xml:space="preserve">a </w:t>
      </w:r>
      <w:r w:rsidRPr="00FD20B4">
        <w:t xml:space="preserve">Refer to table 16A.10 for detailed footnotes. </w:t>
      </w:r>
      <w:r w:rsidRPr="00FD20B4">
        <w:rPr>
          <w:rStyle w:val="NoteLabel"/>
        </w:rPr>
        <w:t>b</w:t>
      </w:r>
      <w:r w:rsidRPr="00D504EE">
        <w:rPr>
          <w:rStyle w:val="NoteLabel"/>
          <w:b w:val="0"/>
        </w:rPr>
        <w:t xml:space="preserve"> </w:t>
      </w:r>
      <w:r w:rsidRPr="00FD20B4">
        <w:t>Data should be interpreted with caution, particularly for jurisdictions with small Indigenous populations. The Indigenous and non-Indigenous rate ratio in table 16A.11 should also be taken into account.</w:t>
      </w:r>
    </w:p>
    <w:p w:rsidR="00092FCC" w:rsidRPr="00FD20B4" w:rsidRDefault="00092FCC" w:rsidP="00092FCC">
      <w:pPr>
        <w:pStyle w:val="Source"/>
      </w:pPr>
      <w:r w:rsidRPr="00FD20B4">
        <w:rPr>
          <w:i/>
        </w:rPr>
        <w:t>Source</w:t>
      </w:r>
      <w:r w:rsidRPr="00FD20B4">
        <w:t xml:space="preserve">: AIHW 2013, </w:t>
      </w:r>
      <w:r w:rsidRPr="00FD20B4">
        <w:rPr>
          <w:i/>
        </w:rPr>
        <w:t>Youth justice in Australia 2011–12: an overview,</w:t>
      </w:r>
      <w:r w:rsidRPr="00FD20B4">
        <w:t xml:space="preserve"> Canberra: AIHW; WA and NT governments (unpublished); table 16A.10; 2014 Report, figure 16.5, p. 16.10.</w:t>
      </w:r>
    </w:p>
    <w:p w:rsidR="00AB1DAE" w:rsidRPr="00FD20B4" w:rsidRDefault="00AB1DAE" w:rsidP="00AB1DAE">
      <w:pPr>
        <w:keepNext/>
        <w:spacing w:before="560" w:line="320" w:lineRule="exact"/>
        <w:outlineLvl w:val="2"/>
        <w:rPr>
          <w:rFonts w:ascii="Arial" w:hAnsi="Arial"/>
          <w:b/>
          <w:szCs w:val="20"/>
        </w:rPr>
      </w:pPr>
      <w:bookmarkStart w:id="27" w:name="_Toc290291988"/>
      <w:bookmarkStart w:id="28" w:name="_Toc320770828"/>
      <w:bookmarkStart w:id="29" w:name="_Toc348449371"/>
      <w:bookmarkStart w:id="30" w:name="_Toc348952920"/>
      <w:bookmarkStart w:id="31" w:name="_Toc351361361"/>
      <w:bookmarkStart w:id="32" w:name="_Toc384645329"/>
      <w:r w:rsidRPr="00FD20B4">
        <w:rPr>
          <w:rFonts w:ascii="Arial" w:hAnsi="Arial"/>
          <w:b/>
          <w:szCs w:val="20"/>
        </w:rPr>
        <w:t xml:space="preserve">Framework of performance indicators for </w:t>
      </w:r>
      <w:r w:rsidR="0080142C" w:rsidRPr="00FD20B4">
        <w:rPr>
          <w:rFonts w:ascii="Arial" w:hAnsi="Arial"/>
          <w:b/>
          <w:szCs w:val="20"/>
        </w:rPr>
        <w:t>youth</w:t>
      </w:r>
      <w:r w:rsidRPr="00FD20B4">
        <w:rPr>
          <w:rFonts w:ascii="Arial" w:hAnsi="Arial"/>
          <w:b/>
          <w:szCs w:val="20"/>
        </w:rPr>
        <w:t xml:space="preserve"> justice services</w:t>
      </w:r>
      <w:bookmarkEnd w:id="27"/>
      <w:bookmarkEnd w:id="28"/>
      <w:bookmarkEnd w:id="29"/>
      <w:bookmarkEnd w:id="30"/>
      <w:bookmarkEnd w:id="31"/>
      <w:bookmarkEnd w:id="32"/>
    </w:p>
    <w:p w:rsidR="00AB1DAE" w:rsidRPr="00FD20B4" w:rsidRDefault="00AB1DAE" w:rsidP="00AB1DAE">
      <w:pPr>
        <w:spacing w:before="240" w:line="320" w:lineRule="atLeast"/>
        <w:jc w:val="both"/>
        <w:rPr>
          <w:szCs w:val="20"/>
        </w:rPr>
      </w:pPr>
      <w:r w:rsidRPr="00FD20B4">
        <w:rPr>
          <w:szCs w:val="20"/>
        </w:rPr>
        <w:t xml:space="preserve">The </w:t>
      </w:r>
      <w:r w:rsidR="0080142C" w:rsidRPr="00FD20B4">
        <w:rPr>
          <w:szCs w:val="20"/>
        </w:rPr>
        <w:t>Youth</w:t>
      </w:r>
      <w:r w:rsidRPr="00FD20B4">
        <w:rPr>
          <w:szCs w:val="20"/>
        </w:rPr>
        <w:t xml:space="preserve"> justice services performanc</w:t>
      </w:r>
      <w:r w:rsidR="00092FCC" w:rsidRPr="00FD20B4">
        <w:rPr>
          <w:szCs w:val="20"/>
        </w:rPr>
        <w:t>e indicator framework in figure 16.3</w:t>
      </w:r>
      <w:r w:rsidRPr="00FD20B4">
        <w:rPr>
          <w:szCs w:val="20"/>
        </w:rPr>
        <w:t xml:space="preserve"> identifies the principal </w:t>
      </w:r>
      <w:r w:rsidR="0080142C" w:rsidRPr="00FD20B4">
        <w:rPr>
          <w:szCs w:val="20"/>
        </w:rPr>
        <w:t>youth</w:t>
      </w:r>
      <w:r w:rsidRPr="00FD20B4">
        <w:rPr>
          <w:szCs w:val="20"/>
        </w:rPr>
        <w:t xml:space="preserve"> justice activit</w:t>
      </w:r>
      <w:r w:rsidR="00E421A3" w:rsidRPr="00FD20B4">
        <w:rPr>
          <w:szCs w:val="20"/>
        </w:rPr>
        <w:t>ies</w:t>
      </w:r>
      <w:r w:rsidRPr="00FD20B4">
        <w:rPr>
          <w:szCs w:val="20"/>
        </w:rPr>
        <w:t xml:space="preserve"> </w:t>
      </w:r>
      <w:r w:rsidR="00E421A3" w:rsidRPr="00FD20B4">
        <w:rPr>
          <w:szCs w:val="20"/>
        </w:rPr>
        <w:t>included</w:t>
      </w:r>
      <w:r w:rsidRPr="00FD20B4">
        <w:rPr>
          <w:szCs w:val="20"/>
        </w:rPr>
        <w:t xml:space="preserve"> in the 201</w:t>
      </w:r>
      <w:r w:rsidR="00092FCC" w:rsidRPr="00FD20B4">
        <w:rPr>
          <w:szCs w:val="20"/>
        </w:rPr>
        <w:t xml:space="preserve">4 </w:t>
      </w:r>
      <w:r w:rsidRPr="00FD20B4">
        <w:rPr>
          <w:szCs w:val="20"/>
        </w:rPr>
        <w:t xml:space="preserve">Report. Data for Indigenous </w:t>
      </w:r>
      <w:r w:rsidR="009A675C" w:rsidRPr="00FD20B4">
        <w:rPr>
          <w:szCs w:val="20"/>
        </w:rPr>
        <w:t xml:space="preserve">Australians </w:t>
      </w:r>
      <w:r w:rsidRPr="00FD20B4">
        <w:rPr>
          <w:szCs w:val="20"/>
        </w:rPr>
        <w:t>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AB1DAE" w:rsidRPr="00FD20B4" w:rsidRDefault="00AB1DAE" w:rsidP="00AB1DAE">
      <w:pPr>
        <w:spacing w:before="240" w:line="320" w:lineRule="atLeast"/>
        <w:jc w:val="both"/>
        <w:rPr>
          <w:szCs w:val="20"/>
        </w:rPr>
      </w:pPr>
      <w:r w:rsidRPr="00FD20B4">
        <w:rPr>
          <w:szCs w:val="20"/>
        </w:rPr>
        <w:t>Indicator boxes presented throughout the chapter provide information about the reported indicators. As these are sourced directly from the 201</w:t>
      </w:r>
      <w:r w:rsidR="00092FCC" w:rsidRPr="00FD20B4">
        <w:rPr>
          <w:szCs w:val="20"/>
        </w:rPr>
        <w:t>4</w:t>
      </w:r>
      <w:r w:rsidRPr="00FD20B4">
        <w:rPr>
          <w:szCs w:val="20"/>
        </w:rPr>
        <w:t xml:space="preserve"> Report, they may include references to data not reported for Indigenous people and therefore not included in this Compendium.</w:t>
      </w:r>
    </w:p>
    <w:p w:rsidR="00092FCC" w:rsidRPr="00FD20B4" w:rsidRDefault="00092FCC" w:rsidP="00092FCC">
      <w:pPr>
        <w:pStyle w:val="BodyText"/>
        <w:rPr>
          <w:szCs w:val="26"/>
        </w:rPr>
      </w:pPr>
      <w:r w:rsidRPr="00FD20B4">
        <w:rPr>
          <w:szCs w:val="26"/>
        </w:rP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092FCC" w:rsidRPr="00FD20B4" w:rsidRDefault="00092FCC" w:rsidP="00092FCC">
      <w:pPr>
        <w:pStyle w:val="FigureTitle"/>
      </w:pPr>
      <w:r w:rsidRPr="00FD20B4">
        <w:rPr>
          <w:b w:val="0"/>
        </w:rPr>
        <w:lastRenderedPageBreak/>
        <w:t>Figure 16.3</w:t>
      </w:r>
      <w:r w:rsidRPr="00FD20B4">
        <w:rPr>
          <w:b w:val="0"/>
        </w:rPr>
        <w:tab/>
      </w:r>
      <w:r w:rsidRPr="00FD20B4">
        <w:t>Youth justice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2FCC" w:rsidRPr="00FD20B4" w:rsidTr="00BA06C7">
        <w:tc>
          <w:tcPr>
            <w:tcW w:w="8777" w:type="dxa"/>
          </w:tcPr>
          <w:p w:rsidR="00092FCC" w:rsidRPr="00FD20B4" w:rsidRDefault="00092FCC" w:rsidP="00BA06C7">
            <w:pPr>
              <w:pStyle w:val="Figure"/>
            </w:pPr>
            <w:r w:rsidRPr="00FD20B4">
              <w:rPr>
                <w:noProof/>
              </w:rPr>
              <w:drawing>
                <wp:inline distT="0" distB="0" distL="0" distR="0" wp14:anchorId="4E49DF21" wp14:editId="0301E0AA">
                  <wp:extent cx="5124450" cy="5652174"/>
                  <wp:effectExtent l="0" t="0" r="0" b="5715"/>
                  <wp:docPr id="4" name="Picture 4" descr="Figure 16.3 Youth just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9661" cy="5657921"/>
                          </a:xfrm>
                          <a:prstGeom prst="rect">
                            <a:avLst/>
                          </a:prstGeom>
                          <a:noFill/>
                          <a:ln>
                            <a:noFill/>
                          </a:ln>
                        </pic:spPr>
                      </pic:pic>
                    </a:graphicData>
                  </a:graphic>
                </wp:inline>
              </w:drawing>
            </w:r>
          </w:p>
        </w:tc>
      </w:tr>
    </w:tbl>
    <w:p w:rsidR="00AB1DAE" w:rsidRPr="00FD20B4" w:rsidRDefault="00AB1DAE" w:rsidP="00AB1DAE">
      <w:pPr>
        <w:keepLines/>
        <w:spacing w:before="80" w:after="120" w:line="220" w:lineRule="exact"/>
        <w:jc w:val="both"/>
        <w:rPr>
          <w:rFonts w:ascii="Arial" w:hAnsi="Arial"/>
          <w:sz w:val="18"/>
          <w:szCs w:val="20"/>
        </w:rPr>
      </w:pPr>
      <w:r w:rsidRPr="00FD20B4">
        <w:rPr>
          <w:rFonts w:ascii="Arial" w:hAnsi="Arial"/>
          <w:i/>
          <w:sz w:val="18"/>
          <w:szCs w:val="20"/>
        </w:rPr>
        <w:t>Source</w:t>
      </w:r>
      <w:r w:rsidRPr="00FD20B4">
        <w:rPr>
          <w:rFonts w:ascii="Arial" w:hAnsi="Arial"/>
          <w:sz w:val="18"/>
          <w:szCs w:val="20"/>
        </w:rPr>
        <w:t>: 201</w:t>
      </w:r>
      <w:r w:rsidR="00092FCC" w:rsidRPr="00FD20B4">
        <w:rPr>
          <w:rFonts w:ascii="Arial" w:hAnsi="Arial"/>
          <w:sz w:val="18"/>
          <w:szCs w:val="20"/>
        </w:rPr>
        <w:t>4 Report, figure 16.7, p. 16.14</w:t>
      </w:r>
      <w:r w:rsidRPr="00FD20B4">
        <w:rPr>
          <w:rFonts w:ascii="Arial" w:hAnsi="Arial"/>
          <w:sz w:val="18"/>
          <w:szCs w:val="20"/>
        </w:rPr>
        <w:t>.</w:t>
      </w:r>
    </w:p>
    <w:p w:rsidR="00AB1DAE" w:rsidRPr="00FD20B4" w:rsidRDefault="00D6577A" w:rsidP="00AB1DAE">
      <w:pPr>
        <w:keepNext/>
        <w:spacing w:before="560" w:line="320" w:lineRule="exact"/>
        <w:outlineLvl w:val="2"/>
        <w:rPr>
          <w:rFonts w:ascii="Arial" w:hAnsi="Arial"/>
          <w:b/>
          <w:szCs w:val="20"/>
        </w:rPr>
      </w:pPr>
      <w:bookmarkStart w:id="33" w:name="_Toc290291989"/>
      <w:bookmarkStart w:id="34" w:name="_Toc257373849"/>
      <w:bookmarkStart w:id="35" w:name="_Toc320770829"/>
      <w:bookmarkStart w:id="36" w:name="_Toc348449372"/>
      <w:bookmarkStart w:id="37" w:name="_Toc348952921"/>
      <w:bookmarkStart w:id="38" w:name="_Toc351361362"/>
      <w:bookmarkStart w:id="39" w:name="_Toc384645330"/>
      <w:r w:rsidRPr="00FD20B4">
        <w:rPr>
          <w:rFonts w:ascii="Arial" w:hAnsi="Arial"/>
          <w:b/>
          <w:szCs w:val="20"/>
        </w:rPr>
        <w:t xml:space="preserve">Youth </w:t>
      </w:r>
      <w:r w:rsidR="00AB1DAE" w:rsidRPr="00FD20B4">
        <w:rPr>
          <w:rFonts w:ascii="Arial" w:hAnsi="Arial"/>
          <w:b/>
          <w:szCs w:val="20"/>
        </w:rPr>
        <w:t xml:space="preserve">justice services reporting for Indigenous </w:t>
      </w:r>
      <w:bookmarkEnd w:id="33"/>
      <w:bookmarkEnd w:id="34"/>
      <w:bookmarkEnd w:id="35"/>
      <w:bookmarkEnd w:id="36"/>
      <w:bookmarkEnd w:id="37"/>
      <w:r w:rsidRPr="00FD20B4">
        <w:rPr>
          <w:rFonts w:ascii="Arial" w:hAnsi="Arial"/>
          <w:b/>
          <w:szCs w:val="20"/>
        </w:rPr>
        <w:t>Australians</w:t>
      </w:r>
      <w:bookmarkEnd w:id="38"/>
      <w:bookmarkEnd w:id="39"/>
    </w:p>
    <w:p w:rsidR="00292D1E" w:rsidRPr="00FD20B4" w:rsidRDefault="00292D1E" w:rsidP="00292D1E">
      <w:pPr>
        <w:keepNext/>
        <w:spacing w:before="480" w:line="320" w:lineRule="exact"/>
        <w:outlineLvl w:val="3"/>
        <w:rPr>
          <w:rFonts w:ascii="Arial" w:hAnsi="Arial"/>
          <w:i/>
          <w:sz w:val="24"/>
          <w:szCs w:val="20"/>
        </w:rPr>
      </w:pPr>
      <w:bookmarkStart w:id="40" w:name="_Toc348952922"/>
      <w:bookmarkStart w:id="41" w:name="_Toc351361363"/>
      <w:bookmarkStart w:id="42" w:name="_Toc384645331"/>
      <w:r w:rsidRPr="00FD20B4">
        <w:rPr>
          <w:rFonts w:ascii="Arial" w:hAnsi="Arial"/>
          <w:i/>
          <w:sz w:val="24"/>
          <w:szCs w:val="20"/>
        </w:rPr>
        <w:t>Diversion — group conferencing outcomes</w:t>
      </w:r>
      <w:bookmarkEnd w:id="40"/>
      <w:bookmarkEnd w:id="41"/>
      <w:bookmarkEnd w:id="42"/>
    </w:p>
    <w:p w:rsidR="00092FCC" w:rsidRPr="00FD20B4" w:rsidRDefault="00092FCC" w:rsidP="00092FCC">
      <w:pPr>
        <w:pStyle w:val="BodyText"/>
      </w:pPr>
      <w:r w:rsidRPr="00FD20B4">
        <w:t xml:space="preserve">‘Group conferencing outcomes’ is an indicator of governments’ objective to divert young people from the youth justice system and address their offending needs </w:t>
      </w:r>
      <w:r w:rsidRPr="00FD20B4">
        <w:br/>
        <w:t>(box 16.2).</w:t>
      </w:r>
    </w:p>
    <w:p w:rsidR="00D103EE" w:rsidRPr="00FD20B4"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92D1E" w:rsidRPr="00FD20B4" w:rsidTr="00372932">
        <w:tc>
          <w:tcPr>
            <w:tcW w:w="8771" w:type="dxa"/>
            <w:tcBorders>
              <w:top w:val="single" w:sz="6" w:space="0" w:color="auto"/>
              <w:bottom w:val="nil"/>
            </w:tcBorders>
          </w:tcPr>
          <w:p w:rsidR="00292D1E" w:rsidRPr="00FD20B4" w:rsidRDefault="00292D1E" w:rsidP="009552F0">
            <w:pPr>
              <w:pStyle w:val="BoxTitle"/>
            </w:pPr>
            <w:r w:rsidRPr="00FD20B4">
              <w:rPr>
                <w:b w:val="0"/>
              </w:rPr>
              <w:t xml:space="preserve">Box </w:t>
            </w:r>
            <w:r w:rsidR="00092FCC" w:rsidRPr="00FD20B4">
              <w:rPr>
                <w:b w:val="0"/>
              </w:rPr>
              <w:t>16.2</w:t>
            </w:r>
            <w:r w:rsidRPr="00FD20B4">
              <w:tab/>
              <w:t>Group conferencing outcomes</w:t>
            </w:r>
          </w:p>
        </w:tc>
      </w:tr>
      <w:tr w:rsidR="00292D1E" w:rsidRPr="00FD20B4" w:rsidTr="00372932">
        <w:trPr>
          <w:cantSplit/>
        </w:trPr>
        <w:tc>
          <w:tcPr>
            <w:tcW w:w="8771" w:type="dxa"/>
            <w:tcBorders>
              <w:top w:val="nil"/>
              <w:left w:val="single" w:sz="6" w:space="0" w:color="auto"/>
              <w:bottom w:val="nil"/>
              <w:right w:val="single" w:sz="6" w:space="0" w:color="auto"/>
            </w:tcBorders>
          </w:tcPr>
          <w:p w:rsidR="00092FCC" w:rsidRPr="00FD20B4" w:rsidRDefault="00092FCC" w:rsidP="00092FCC">
            <w:pPr>
              <w:pStyle w:val="Box"/>
            </w:pPr>
            <w:r w:rsidRPr="00FD20B4">
              <w:t xml:space="preserve">‘Group conferencing outcomes’ is defined as the number of young people who receive group conferencing and who as a result reach an agreement, as a proportion of all young people who receive group </w:t>
            </w:r>
            <w:r w:rsidR="00D46D60" w:rsidRPr="00FD20B4">
              <w:t>conferencing.</w:t>
            </w:r>
          </w:p>
          <w:p w:rsidR="00092FCC" w:rsidRPr="00FD20B4" w:rsidRDefault="00092FCC" w:rsidP="00092FCC">
            <w:pPr>
              <w:pStyle w:val="Box"/>
            </w:pPr>
            <w:r w:rsidRPr="00FD20B4">
              <w:t>Typically, a group conference involves the young offender and victim (or victims) and their families, police and a youth justice agency officer, all of whom attempt to agree on a course of action required of the young offender to make amends for his or her offence. Group conferences are decision-making forums that aim to minimise the progression of young people into the youth justice system, and provide restorative justice.</w:t>
            </w:r>
          </w:p>
          <w:p w:rsidR="00092FCC" w:rsidRPr="00FD20B4" w:rsidRDefault="00092FCC" w:rsidP="00092FCC">
            <w:pPr>
              <w:pStyle w:val="Box"/>
            </w:pPr>
            <w:r w:rsidRPr="00FD20B4">
              <w:t>Data for this indicator should be interpreted with caution as the provision of group conferencing differs across jurisdictions in relation to: (a) its place in the court process (for example, whether young people are referred by police before court processes begin, or by the court as an alternative to sentencing), (b) the consequences for young people if they do not comply with the outcome plans of a conference, and (c) eligibility.</w:t>
            </w:r>
          </w:p>
          <w:p w:rsidR="00092FCC" w:rsidRPr="00FD20B4" w:rsidRDefault="00092FCC" w:rsidP="00092FCC">
            <w:pPr>
              <w:pStyle w:val="Box"/>
            </w:pPr>
            <w:r w:rsidRPr="00FD20B4">
              <w:t>A high or increasing rate for this indicator is desirable.</w:t>
            </w:r>
          </w:p>
          <w:p w:rsidR="00092FCC" w:rsidRPr="00FD20B4" w:rsidRDefault="00092FCC" w:rsidP="00092FCC">
            <w:pPr>
              <w:pStyle w:val="Box"/>
              <w:rPr>
                <w:rStyle w:val="DraftingNote"/>
                <w:b w:val="0"/>
                <w:color w:val="auto"/>
                <w:sz w:val="22"/>
                <w:u w:val="none"/>
              </w:rPr>
            </w:pPr>
            <w:r w:rsidRPr="00FD20B4">
              <w:rPr>
                <w:rStyle w:val="DraftingNote"/>
                <w:b w:val="0"/>
                <w:color w:val="auto"/>
                <w:sz w:val="22"/>
                <w:u w:val="none"/>
              </w:rPr>
              <w:t>Data reported for this indicator are:</w:t>
            </w:r>
          </w:p>
          <w:p w:rsidR="00092FCC" w:rsidRPr="00FD20B4" w:rsidRDefault="00092FCC" w:rsidP="00092FCC">
            <w:pPr>
              <w:pStyle w:val="BoxListBullet"/>
              <w:numPr>
                <w:ilvl w:val="0"/>
                <w:numId w:val="17"/>
              </w:numPr>
              <w:rPr>
                <w:rStyle w:val="DraftingNote"/>
                <w:b w:val="0"/>
                <w:color w:val="auto"/>
                <w:sz w:val="22"/>
                <w:u w:val="none"/>
              </w:rPr>
            </w:pPr>
            <w:r w:rsidRPr="00FD20B4">
              <w:rPr>
                <w:rStyle w:val="DraftingNote"/>
                <w:b w:val="0"/>
                <w:color w:val="auto"/>
                <w:sz w:val="22"/>
                <w:u w:val="none"/>
              </w:rPr>
              <w:t>comparable (subject to caveats) within jurisdictions over time but are not comparable across jurisdictions</w:t>
            </w:r>
          </w:p>
          <w:p w:rsidR="00092FCC" w:rsidRPr="00FD20B4" w:rsidRDefault="00092FCC" w:rsidP="00092FCC">
            <w:pPr>
              <w:pStyle w:val="BoxListBullet"/>
              <w:numPr>
                <w:ilvl w:val="0"/>
                <w:numId w:val="17"/>
              </w:numPr>
              <w:rPr>
                <w:rStyle w:val="DraftingNote"/>
                <w:b w:val="0"/>
                <w:color w:val="auto"/>
                <w:sz w:val="22"/>
                <w:u w:val="none"/>
              </w:rPr>
            </w:pPr>
            <w:r w:rsidRPr="00FD20B4">
              <w:rPr>
                <w:rStyle w:val="DraftingNote"/>
                <w:b w:val="0"/>
                <w:color w:val="auto"/>
                <w:sz w:val="22"/>
                <w:u w:val="none"/>
              </w:rPr>
              <w:t>incomplete for the current reporting period. All required 2012</w:t>
            </w:r>
            <w:r w:rsidRPr="00FD20B4">
              <w:rPr>
                <w:rStyle w:val="DraftingNote"/>
                <w:b w:val="0"/>
                <w:color w:val="auto"/>
                <w:sz w:val="22"/>
                <w:u w:val="none"/>
              </w:rPr>
              <w:noBreakHyphen/>
              <w:t xml:space="preserve">13 data were not available for Victoria and WA. Victoria could not disaggregate these data by Indigenous status, and no data were available for WA. </w:t>
            </w:r>
          </w:p>
          <w:p w:rsidR="00292D1E" w:rsidRPr="00FD20B4" w:rsidRDefault="00092FCC" w:rsidP="00092FCC">
            <w:pPr>
              <w:pStyle w:val="Box"/>
            </w:pPr>
            <w:r w:rsidRPr="00FD20B4">
              <w:rPr>
                <w:szCs w:val="22"/>
              </w:rPr>
              <w:t xml:space="preserve">Data quality information for this indicator is </w:t>
            </w:r>
            <w:r w:rsidRPr="00FD20B4">
              <w:t>at www.pc.gov.au/gsp/reports/rogs/2014.</w:t>
            </w:r>
          </w:p>
        </w:tc>
      </w:tr>
      <w:tr w:rsidR="00292D1E" w:rsidRPr="00FD20B4" w:rsidTr="00372932">
        <w:trPr>
          <w:cantSplit/>
        </w:trPr>
        <w:tc>
          <w:tcPr>
            <w:tcW w:w="8771" w:type="dxa"/>
            <w:tcBorders>
              <w:top w:val="nil"/>
              <w:left w:val="single" w:sz="6" w:space="0" w:color="auto"/>
              <w:bottom w:val="single" w:sz="4" w:space="0" w:color="auto"/>
              <w:right w:val="single" w:sz="6" w:space="0" w:color="auto"/>
            </w:tcBorders>
          </w:tcPr>
          <w:p w:rsidR="00292D1E" w:rsidRPr="00FD20B4" w:rsidRDefault="00292D1E" w:rsidP="00372932">
            <w:pPr>
              <w:pStyle w:val="Box"/>
              <w:spacing w:before="0" w:line="120" w:lineRule="exact"/>
            </w:pPr>
          </w:p>
        </w:tc>
      </w:tr>
      <w:tr w:rsidR="00292D1E" w:rsidRPr="00FD20B4" w:rsidTr="00372932">
        <w:trPr>
          <w:cantSplit/>
        </w:trPr>
        <w:tc>
          <w:tcPr>
            <w:tcW w:w="8771" w:type="dxa"/>
            <w:tcBorders>
              <w:top w:val="single" w:sz="4" w:space="0" w:color="auto"/>
              <w:left w:val="nil"/>
              <w:bottom w:val="nil"/>
              <w:right w:val="nil"/>
            </w:tcBorders>
          </w:tcPr>
          <w:p w:rsidR="00292D1E" w:rsidRPr="00FD20B4" w:rsidRDefault="00292D1E" w:rsidP="00372932">
            <w:pPr>
              <w:pStyle w:val="Box"/>
              <w:keepNext w:val="0"/>
              <w:spacing w:before="60" w:after="60" w:line="80" w:lineRule="exact"/>
              <w:rPr>
                <w:b/>
                <w:color w:val="FF00FF"/>
                <w:sz w:val="14"/>
              </w:rPr>
            </w:pPr>
          </w:p>
        </w:tc>
      </w:tr>
    </w:tbl>
    <w:p w:rsidR="00092FCC" w:rsidRPr="00FD20B4" w:rsidRDefault="00092FCC" w:rsidP="00092FCC">
      <w:pPr>
        <w:pStyle w:val="BodyText"/>
        <w:spacing w:before="200"/>
      </w:pPr>
      <w:r w:rsidRPr="00FD20B4">
        <w:t>Nationally, in 2012-13, 95.0 per cent of all concluded group conferences resulted in an agreement, with proportions varying across jurisdictions (figure 16.4).</w:t>
      </w:r>
    </w:p>
    <w:p w:rsidR="00092FCC" w:rsidRPr="00FD20B4" w:rsidRDefault="00092FCC" w:rsidP="00092FCC">
      <w:pPr>
        <w:pStyle w:val="FigureTitle"/>
        <w:rPr>
          <w:rStyle w:val="NoteLabel"/>
        </w:rPr>
      </w:pPr>
      <w:r w:rsidRPr="00FD20B4">
        <w:rPr>
          <w:b w:val="0"/>
        </w:rPr>
        <w:lastRenderedPageBreak/>
        <w:t>Figure 16.4</w:t>
      </w:r>
      <w:r w:rsidRPr="00FD20B4">
        <w:rPr>
          <w:b w:val="0"/>
        </w:rPr>
        <w:tab/>
      </w:r>
      <w:r w:rsidRPr="00FD20B4">
        <w:t>Proportion of young people who receive group conferencing and reach an agreement, by Indigenous status, 2012-13</w:t>
      </w:r>
      <w:r w:rsidRPr="00FD20B4">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92FCC" w:rsidRPr="00FD20B4" w:rsidTr="00BA06C7">
        <w:tc>
          <w:tcPr>
            <w:tcW w:w="8777" w:type="dxa"/>
          </w:tcPr>
          <w:p w:rsidR="00092FCC" w:rsidRPr="00FD20B4" w:rsidRDefault="00092FCC" w:rsidP="00BA06C7">
            <w:pPr>
              <w:pStyle w:val="Figure"/>
            </w:pPr>
            <w:r w:rsidRPr="00FD20B4">
              <w:rPr>
                <w:noProof/>
              </w:rPr>
              <w:drawing>
                <wp:inline distT="0" distB="0" distL="0" distR="0" wp14:anchorId="7A148DE8" wp14:editId="0194E750">
                  <wp:extent cx="5400000" cy="2520000"/>
                  <wp:effectExtent l="0" t="0" r="0" b="0"/>
                  <wp:docPr id="8" name="Chart 8" descr="Figure 16.4 Proportion of young people who receive group conferencing and reach an agreement, by Indigenous status,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092FCC" w:rsidRPr="00FD20B4" w:rsidRDefault="00092FCC" w:rsidP="00092FCC">
      <w:pPr>
        <w:pStyle w:val="Note"/>
      </w:pPr>
      <w:r w:rsidRPr="00FD20B4">
        <w:rPr>
          <w:rStyle w:val="NoteLabel"/>
        </w:rPr>
        <w:t>a</w:t>
      </w:r>
      <w:r w:rsidRPr="00FD20B4">
        <w:sym w:font="Symbol" w:char="F020"/>
      </w:r>
      <w:r w:rsidRPr="00FD20B4">
        <w:t xml:space="preserve">Victoria cannot disaggregate group conferences by Indigenous status. </w:t>
      </w:r>
      <w:r w:rsidRPr="00FD20B4">
        <w:rPr>
          <w:rStyle w:val="NoteLabel"/>
        </w:rPr>
        <w:t>b </w:t>
      </w:r>
      <w:r w:rsidRPr="00FD20B4">
        <w:t xml:space="preserve">Data were not available for WA. </w:t>
      </w:r>
      <w:r w:rsidRPr="00FD20B4">
        <w:rPr>
          <w:rStyle w:val="NoteLabel"/>
        </w:rPr>
        <w:t>c </w:t>
      </w:r>
      <w:r w:rsidRPr="00FD20B4">
        <w:t>Queensland and Victoria count the number of group conferences resulting in an agreement, as a proportion of all concluded group conferences, as distinct from young people who receive group conferencing and reach an agreement.</w:t>
      </w:r>
      <w:r w:rsidRPr="00D504EE">
        <w:rPr>
          <w:rStyle w:val="NoteLabel"/>
          <w:b w:val="0"/>
        </w:rPr>
        <w:t xml:space="preserve"> </w:t>
      </w:r>
      <w:r w:rsidRPr="00FD20B4">
        <w:rPr>
          <w:rStyle w:val="NoteLabel"/>
        </w:rPr>
        <w:t>d</w:t>
      </w:r>
      <w:r w:rsidRPr="00D504EE">
        <w:rPr>
          <w:rStyle w:val="NoteLabel"/>
          <w:b w:val="0"/>
        </w:rPr>
        <w:t xml:space="preserve"> </w:t>
      </w:r>
      <w:r w:rsidRPr="00FD20B4">
        <w:t>Refer to table 16A.13 for detailed footnotes.</w:t>
      </w:r>
    </w:p>
    <w:p w:rsidR="00092FCC" w:rsidRPr="00FD20B4" w:rsidRDefault="00092FCC" w:rsidP="00092FCC">
      <w:pPr>
        <w:pStyle w:val="Source"/>
        <w:spacing w:after="0"/>
      </w:pPr>
      <w:r w:rsidRPr="00FD20B4">
        <w:rPr>
          <w:i/>
        </w:rPr>
        <w:t>Source</w:t>
      </w:r>
      <w:r w:rsidRPr="00FD20B4">
        <w:t>: State and Territory governments (unpublished); table 16A.13; 2014 Report, figure 16.8, p. 16.17.</w:t>
      </w:r>
    </w:p>
    <w:p w:rsidR="00AB1DAE" w:rsidRPr="00FD20B4" w:rsidRDefault="00AB1DAE" w:rsidP="00AB1DAE">
      <w:pPr>
        <w:keepNext/>
        <w:spacing w:before="480" w:line="320" w:lineRule="exact"/>
        <w:outlineLvl w:val="3"/>
        <w:rPr>
          <w:rFonts w:ascii="Arial" w:hAnsi="Arial"/>
          <w:i/>
          <w:sz w:val="24"/>
          <w:szCs w:val="20"/>
        </w:rPr>
      </w:pPr>
      <w:bookmarkStart w:id="43" w:name="_Toc320770832"/>
      <w:bookmarkStart w:id="44" w:name="_Toc348449375"/>
      <w:bookmarkStart w:id="45" w:name="_Toc348952923"/>
      <w:bookmarkStart w:id="46" w:name="_Toc351361364"/>
      <w:bookmarkStart w:id="47" w:name="_Toc384645332"/>
      <w:r w:rsidRPr="00FD20B4">
        <w:rPr>
          <w:rFonts w:ascii="Arial" w:hAnsi="Arial"/>
          <w:i/>
          <w:sz w:val="24"/>
          <w:szCs w:val="20"/>
        </w:rPr>
        <w:t>Rehabilitation — education and training attendance</w:t>
      </w:r>
      <w:bookmarkEnd w:id="43"/>
      <w:bookmarkEnd w:id="44"/>
      <w:bookmarkEnd w:id="45"/>
      <w:bookmarkEnd w:id="46"/>
      <w:bookmarkEnd w:id="47"/>
    </w:p>
    <w:p w:rsidR="00D103EE" w:rsidRPr="00FD20B4" w:rsidRDefault="00155E7D" w:rsidP="00155E7D">
      <w:pPr>
        <w:pStyle w:val="BodyText"/>
        <w:widowControl w:val="0"/>
      </w:pPr>
      <w:r w:rsidRPr="00FD20B4">
        <w:t>‘Education and training attendance’ is an indicator of governments’ objective to provide program interventions in education and training to rehabilitate young offenders and increase their chances of successfully re-integrating into the community (box 16.3).</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662FF" w:rsidRPr="00FD20B4" w:rsidTr="00372932">
        <w:tc>
          <w:tcPr>
            <w:tcW w:w="8771" w:type="dxa"/>
            <w:tcBorders>
              <w:top w:val="single" w:sz="6" w:space="0" w:color="auto"/>
              <w:bottom w:val="nil"/>
            </w:tcBorders>
          </w:tcPr>
          <w:p w:rsidR="00C662FF" w:rsidRPr="00FD20B4" w:rsidRDefault="00C662FF" w:rsidP="009552F0">
            <w:pPr>
              <w:keepNext/>
              <w:keepLines/>
              <w:spacing w:before="120" w:line="280" w:lineRule="exact"/>
              <w:ind w:left="1304" w:hanging="1304"/>
              <w:rPr>
                <w:rFonts w:ascii="Arial" w:hAnsi="Arial"/>
                <w:b/>
                <w:sz w:val="24"/>
              </w:rPr>
            </w:pPr>
            <w:r w:rsidRPr="00FD20B4">
              <w:rPr>
                <w:rFonts w:ascii="Arial" w:hAnsi="Arial"/>
                <w:sz w:val="24"/>
              </w:rPr>
              <w:lastRenderedPageBreak/>
              <w:t xml:space="preserve">Box </w:t>
            </w:r>
            <w:r w:rsidR="00155E7D" w:rsidRPr="00FD20B4">
              <w:rPr>
                <w:rFonts w:ascii="Arial" w:hAnsi="Arial"/>
                <w:sz w:val="24"/>
              </w:rPr>
              <w:t>16</w:t>
            </w:r>
            <w:r w:rsidR="009F41E6" w:rsidRPr="00FD20B4">
              <w:rPr>
                <w:rFonts w:ascii="Arial" w:hAnsi="Arial"/>
                <w:sz w:val="24"/>
              </w:rPr>
              <w:t>.</w:t>
            </w:r>
            <w:r w:rsidR="00155E7D" w:rsidRPr="00FD20B4">
              <w:rPr>
                <w:rFonts w:ascii="Arial" w:hAnsi="Arial"/>
                <w:sz w:val="24"/>
              </w:rPr>
              <w:t>3</w:t>
            </w:r>
            <w:r w:rsidRPr="00FD20B4">
              <w:rPr>
                <w:rFonts w:ascii="Arial" w:hAnsi="Arial"/>
                <w:b/>
                <w:sz w:val="24"/>
              </w:rPr>
              <w:tab/>
              <w:t>Education and training attendance</w:t>
            </w:r>
          </w:p>
        </w:tc>
      </w:tr>
      <w:tr w:rsidR="00C662FF" w:rsidRPr="00FD20B4" w:rsidTr="00372932">
        <w:trPr>
          <w:cantSplit/>
        </w:trPr>
        <w:tc>
          <w:tcPr>
            <w:tcW w:w="8771" w:type="dxa"/>
            <w:tcBorders>
              <w:top w:val="nil"/>
              <w:left w:val="single" w:sz="6" w:space="0" w:color="auto"/>
              <w:bottom w:val="nil"/>
              <w:right w:val="single" w:sz="6" w:space="0" w:color="auto"/>
            </w:tcBorders>
          </w:tcPr>
          <w:p w:rsidR="00155E7D" w:rsidRPr="00FD20B4" w:rsidRDefault="00155E7D" w:rsidP="00155E7D">
            <w:pPr>
              <w:pStyle w:val="Box"/>
            </w:pPr>
            <w:r w:rsidRPr="00FD20B4">
              <w:t>‘Education and training attendance’ is defined by two measures:</w:t>
            </w:r>
          </w:p>
          <w:p w:rsidR="00155E7D" w:rsidRPr="00FD20B4" w:rsidRDefault="00155E7D" w:rsidP="00155E7D">
            <w:pPr>
              <w:pStyle w:val="BoxListBullet"/>
              <w:numPr>
                <w:ilvl w:val="0"/>
                <w:numId w:val="17"/>
              </w:numPr>
            </w:pPr>
            <w:r w:rsidRPr="00FD20B4">
              <w:t>the number of young people of compulsory school age in detention attending an education course, as a percentage of all young people of compulsory school age in detention</w:t>
            </w:r>
          </w:p>
          <w:p w:rsidR="00155E7D" w:rsidRPr="00FD20B4" w:rsidRDefault="00155E7D" w:rsidP="00155E7D">
            <w:pPr>
              <w:pStyle w:val="BoxListBullet"/>
              <w:numPr>
                <w:ilvl w:val="0"/>
                <w:numId w:val="17"/>
              </w:numPr>
            </w:pPr>
            <w:r w:rsidRPr="00FD20B4">
              <w:t xml:space="preserve">the number of young people </w:t>
            </w:r>
            <w:r w:rsidRPr="00FD20B4">
              <w:rPr>
                <w:u w:val="single"/>
              </w:rPr>
              <w:t>not</w:t>
            </w:r>
            <w:r w:rsidRPr="00FD20B4">
              <w:t xml:space="preserve"> of compulsory school age in detention attending an education or training course, as a percentage of all young people </w:t>
            </w:r>
            <w:r w:rsidRPr="00FD20B4">
              <w:rPr>
                <w:u w:val="single"/>
              </w:rPr>
              <w:t>not</w:t>
            </w:r>
            <w:r w:rsidRPr="00FD20B4">
              <w:t xml:space="preserve"> of compulsory school age in detention.</w:t>
            </w:r>
          </w:p>
          <w:p w:rsidR="00155E7D" w:rsidRPr="00FD20B4" w:rsidRDefault="00155E7D" w:rsidP="00155E7D">
            <w:pPr>
              <w:pStyle w:val="Box"/>
            </w:pPr>
            <w:r w:rsidRPr="00FD20B4">
              <w:t xml:space="preserve">Compulsory school age refers to specific State and Territory governments’ requirements for a young person to participate in school, which are based primarily on age (see </w:t>
            </w:r>
            <w:r w:rsidR="00D46D60" w:rsidRPr="00FD20B4">
              <w:t xml:space="preserve">2014 Report, </w:t>
            </w:r>
            <w:r w:rsidRPr="00FD20B4">
              <w:t>chapter 4 School education for further information). Education or training course refers to school education or an accredited education or training course under the Australian Qualifications Framework.</w:t>
            </w:r>
          </w:p>
          <w:p w:rsidR="00155E7D" w:rsidRPr="00FD20B4" w:rsidRDefault="00155E7D" w:rsidP="00155E7D">
            <w:pPr>
              <w:pStyle w:val="Box"/>
            </w:pPr>
            <w:r w:rsidRPr="00FD20B4">
              <w:t>A high or increasing percentage of young people attending education and training is desirable.</w:t>
            </w:r>
          </w:p>
          <w:p w:rsidR="00155E7D" w:rsidRPr="00FD20B4" w:rsidRDefault="00155E7D" w:rsidP="00155E7D">
            <w:pPr>
              <w:pStyle w:val="Box"/>
            </w:pPr>
            <w:r w:rsidRPr="00FD20B4">
              <w:t>Exclusions include young people not under youth justice supervision (for example, in police custody) and young people whose situation might exclude their participation in education programs (including young people who are: on temporary leave such as work release, medically unable to participate, in isolation, and on remand or sentenced for fewer</w:t>
            </w:r>
            <w:r w:rsidR="00285C72" w:rsidRPr="00FD20B4">
              <w:t xml:space="preserve"> than 7 </w:t>
            </w:r>
            <w:r w:rsidRPr="00FD20B4">
              <w:t>days).</w:t>
            </w:r>
          </w:p>
          <w:p w:rsidR="00155E7D" w:rsidRPr="00FD20B4" w:rsidRDefault="00155E7D" w:rsidP="00155E7D">
            <w:pPr>
              <w:pStyle w:val="Box"/>
              <w:rPr>
                <w:rStyle w:val="DraftingNote"/>
                <w:b w:val="0"/>
                <w:color w:val="auto"/>
                <w:sz w:val="22"/>
                <w:u w:val="none"/>
              </w:rPr>
            </w:pPr>
            <w:r w:rsidRPr="00FD20B4">
              <w:rPr>
                <w:rStyle w:val="DraftingNote"/>
                <w:b w:val="0"/>
                <w:color w:val="auto"/>
                <w:sz w:val="22"/>
                <w:u w:val="none"/>
              </w:rPr>
              <w:t>Data reported for these measures are:</w:t>
            </w:r>
          </w:p>
          <w:p w:rsidR="00155E7D" w:rsidRPr="00FD20B4" w:rsidRDefault="00155E7D" w:rsidP="00155E7D">
            <w:pPr>
              <w:pStyle w:val="BoxListBullet"/>
              <w:numPr>
                <w:ilvl w:val="0"/>
                <w:numId w:val="17"/>
              </w:numPr>
              <w:rPr>
                <w:rStyle w:val="DraftingNote"/>
                <w:b w:val="0"/>
                <w:color w:val="auto"/>
                <w:sz w:val="22"/>
                <w:u w:val="none"/>
              </w:rPr>
            </w:pPr>
            <w:r w:rsidRPr="00FD20B4">
              <w:rPr>
                <w:rStyle w:val="DraftingNote"/>
                <w:b w:val="0"/>
                <w:color w:val="auto"/>
                <w:sz w:val="22"/>
                <w:u w:val="none"/>
              </w:rPr>
              <w:t>comparable (subject to caveats) across jurisdictions and over time</w:t>
            </w:r>
          </w:p>
          <w:p w:rsidR="00155E7D" w:rsidRPr="00FD20B4" w:rsidRDefault="00155E7D" w:rsidP="00155E7D">
            <w:pPr>
              <w:pStyle w:val="BoxListBullet"/>
              <w:numPr>
                <w:ilvl w:val="0"/>
                <w:numId w:val="17"/>
              </w:numPr>
            </w:pPr>
            <w:r w:rsidRPr="00FD20B4">
              <w:t>complete for the current reporting period. All required 2012-13 data are a</w:t>
            </w:r>
            <w:r w:rsidR="00D46D60" w:rsidRPr="00FD20B4">
              <w:t>vailable for all jurisdictions.</w:t>
            </w:r>
          </w:p>
          <w:p w:rsidR="00C662FF" w:rsidRPr="00FD20B4" w:rsidRDefault="00155E7D" w:rsidP="00285C72">
            <w:pPr>
              <w:pStyle w:val="Box"/>
            </w:pPr>
            <w:r w:rsidRPr="00FD20B4">
              <w:t>Data quality information for this indicator is at www.pc.gov.au/gsp/reports/rogs/2014.</w:t>
            </w:r>
          </w:p>
        </w:tc>
      </w:tr>
      <w:tr w:rsidR="00C662FF" w:rsidRPr="00FD20B4" w:rsidTr="00372932">
        <w:trPr>
          <w:cantSplit/>
        </w:trPr>
        <w:tc>
          <w:tcPr>
            <w:tcW w:w="8771" w:type="dxa"/>
            <w:tcBorders>
              <w:top w:val="nil"/>
              <w:left w:val="single" w:sz="6" w:space="0" w:color="auto"/>
              <w:bottom w:val="single" w:sz="6" w:space="0" w:color="auto"/>
              <w:right w:val="single" w:sz="6" w:space="0" w:color="auto"/>
            </w:tcBorders>
          </w:tcPr>
          <w:p w:rsidR="00C662FF" w:rsidRPr="00FD20B4" w:rsidRDefault="00C662FF" w:rsidP="00C662FF">
            <w:pPr>
              <w:keepNext/>
              <w:spacing w:line="120" w:lineRule="exact"/>
              <w:jc w:val="both"/>
              <w:rPr>
                <w:rFonts w:ascii="Arial" w:hAnsi="Arial"/>
                <w:sz w:val="22"/>
                <w:szCs w:val="20"/>
              </w:rPr>
            </w:pPr>
          </w:p>
        </w:tc>
      </w:tr>
      <w:tr w:rsidR="00C662FF" w:rsidRPr="00FD20B4" w:rsidTr="00372932">
        <w:tc>
          <w:tcPr>
            <w:tcW w:w="8771" w:type="dxa"/>
            <w:tcBorders>
              <w:top w:val="nil"/>
              <w:left w:val="nil"/>
              <w:bottom w:val="nil"/>
              <w:right w:val="nil"/>
            </w:tcBorders>
          </w:tcPr>
          <w:p w:rsidR="00C662FF" w:rsidRPr="00FD20B4" w:rsidRDefault="00C662FF" w:rsidP="00C662FF">
            <w:pPr>
              <w:spacing w:before="60" w:after="60" w:line="80" w:lineRule="exact"/>
              <w:jc w:val="both"/>
              <w:rPr>
                <w:rFonts w:ascii="Arial" w:hAnsi="Arial"/>
                <w:b/>
                <w:color w:val="FF00FF"/>
                <w:sz w:val="14"/>
                <w:szCs w:val="20"/>
              </w:rPr>
            </w:pPr>
          </w:p>
        </w:tc>
      </w:tr>
    </w:tbl>
    <w:p w:rsidR="00155E7D" w:rsidRPr="00FD20B4" w:rsidRDefault="00155E7D" w:rsidP="00155E7D">
      <w:pPr>
        <w:pStyle w:val="BodyText"/>
      </w:pPr>
      <w:r w:rsidRPr="00FD20B4">
        <w:t xml:space="preserve">Nationally, 97.2 per cent of young people of compulsory school age in detention were attending an education course in 2012-13, while 98.1 per cent of young people in detention </w:t>
      </w:r>
      <w:r w:rsidRPr="00FD20B4">
        <w:rPr>
          <w:u w:val="single"/>
        </w:rPr>
        <w:t>not</w:t>
      </w:r>
      <w:r w:rsidRPr="00FD20B4">
        <w:rPr>
          <w:i/>
        </w:rPr>
        <w:t xml:space="preserve"> </w:t>
      </w:r>
      <w:r w:rsidRPr="00FD20B4">
        <w:t>of compulsory school age were attending an accredited education or training course (figure 16.5). Proportions varied across jurisdictions.</w:t>
      </w:r>
    </w:p>
    <w:p w:rsidR="00155E7D" w:rsidRPr="00FD20B4" w:rsidRDefault="00155E7D" w:rsidP="00155E7D">
      <w:pPr>
        <w:pStyle w:val="FigureTitle"/>
        <w:rPr>
          <w:bCs/>
        </w:rPr>
      </w:pPr>
      <w:r w:rsidRPr="00FD20B4">
        <w:rPr>
          <w:b w:val="0"/>
        </w:rPr>
        <w:lastRenderedPageBreak/>
        <w:t xml:space="preserve">Figure </w:t>
      </w:r>
      <w:bookmarkStart w:id="48" w:name="OLE_LINK90"/>
      <w:r w:rsidRPr="00FD20B4">
        <w:rPr>
          <w:b w:val="0"/>
        </w:rPr>
        <w:t>16.</w:t>
      </w:r>
      <w:bookmarkEnd w:id="48"/>
      <w:r w:rsidRPr="00FD20B4">
        <w:rPr>
          <w:b w:val="0"/>
        </w:rPr>
        <w:t>5</w:t>
      </w:r>
      <w:r w:rsidRPr="00FD20B4">
        <w:rPr>
          <w:b w:val="0"/>
        </w:rPr>
        <w:tab/>
      </w:r>
      <w:r w:rsidRPr="00FD20B4">
        <w:t>Proportion of young people in detention attending an accredited education or training course, by Indigenous status 2012-13</w:t>
      </w:r>
      <w:r w:rsidRPr="00FD20B4">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55E7D" w:rsidRPr="00FD20B4" w:rsidTr="00BA06C7">
        <w:tc>
          <w:tcPr>
            <w:tcW w:w="8777" w:type="dxa"/>
          </w:tcPr>
          <w:p w:rsidR="00155E7D" w:rsidRPr="00FD20B4" w:rsidRDefault="00155E7D" w:rsidP="00BA06C7">
            <w:pPr>
              <w:pStyle w:val="Figure"/>
              <w:rPr>
                <w:rFonts w:ascii="Arial" w:hAnsi="Arial"/>
                <w:b/>
                <w:sz w:val="19"/>
                <w:szCs w:val="19"/>
              </w:rPr>
            </w:pPr>
            <w:r w:rsidRPr="00FD20B4">
              <w:rPr>
                <w:rFonts w:ascii="Arial" w:hAnsi="Arial"/>
                <w:b/>
                <w:sz w:val="19"/>
                <w:szCs w:val="19"/>
              </w:rPr>
              <w:t>(a) Proportion of young people of compulsory school age in detention attending an accredited education or training course</w:t>
            </w:r>
          </w:p>
          <w:p w:rsidR="00155E7D" w:rsidRPr="00FD20B4" w:rsidRDefault="00155E7D" w:rsidP="00BA06C7">
            <w:pPr>
              <w:pStyle w:val="Figure"/>
            </w:pPr>
            <w:r w:rsidRPr="00FD20B4">
              <w:rPr>
                <w:noProof/>
              </w:rPr>
              <w:drawing>
                <wp:inline distT="0" distB="0" distL="0" distR="0" wp14:anchorId="487A8D01" wp14:editId="208027E6">
                  <wp:extent cx="5400000" cy="2520000"/>
                  <wp:effectExtent l="0" t="0" r="0" b="0"/>
                  <wp:docPr id="15" name="Chart 15" descr="Figure 16.5 Proportion of young people in detention attending an accredited education or training course, by Indigenous status 2012-13&#10;&#10;(a) Proportion of young people of compulsory school age in detention attending an accredited education or training cours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55E7D" w:rsidRPr="00FD20B4" w:rsidRDefault="00155E7D" w:rsidP="00BA06C7">
            <w:pPr>
              <w:pStyle w:val="Figure"/>
              <w:rPr>
                <w:rFonts w:ascii="Arial" w:hAnsi="Arial"/>
                <w:b/>
                <w:sz w:val="19"/>
                <w:szCs w:val="19"/>
              </w:rPr>
            </w:pPr>
            <w:r w:rsidRPr="00FD20B4">
              <w:rPr>
                <w:rFonts w:ascii="Arial" w:hAnsi="Arial"/>
                <w:b/>
                <w:sz w:val="19"/>
                <w:szCs w:val="19"/>
              </w:rPr>
              <w:t xml:space="preserve">(b) Proportion of young people </w:t>
            </w:r>
            <w:r w:rsidRPr="00FD20B4">
              <w:rPr>
                <w:rFonts w:ascii="Arial" w:hAnsi="Arial"/>
                <w:b/>
                <w:sz w:val="19"/>
                <w:szCs w:val="19"/>
                <w:u w:val="single"/>
              </w:rPr>
              <w:t>not</w:t>
            </w:r>
            <w:r w:rsidRPr="00FD20B4">
              <w:rPr>
                <w:rFonts w:ascii="Arial" w:hAnsi="Arial"/>
                <w:b/>
                <w:sz w:val="19"/>
                <w:szCs w:val="19"/>
              </w:rPr>
              <w:t xml:space="preserve"> of compulsory school age in detention attending an accredited education or training course</w:t>
            </w:r>
          </w:p>
          <w:p w:rsidR="00155E7D" w:rsidRPr="00FD20B4" w:rsidRDefault="00155E7D" w:rsidP="00BA06C7">
            <w:pPr>
              <w:pStyle w:val="Figure"/>
            </w:pPr>
            <w:r w:rsidRPr="00FD20B4">
              <w:rPr>
                <w:noProof/>
              </w:rPr>
              <w:drawing>
                <wp:inline distT="0" distB="0" distL="0" distR="0" wp14:anchorId="6F875AE6" wp14:editId="36B71A2C">
                  <wp:extent cx="5400000" cy="2520000"/>
                  <wp:effectExtent l="0" t="0" r="0" b="0"/>
                  <wp:docPr id="12" name="Chart 12" descr="Figure 16.5 Proportion of young people in detention attending an accredited education or training course, by Indigenous status 2012-13&#10;&#10;(b) Proportion of young people not of compulsory school age in detention attending an accredited education or training cours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155E7D" w:rsidRPr="00FD20B4" w:rsidRDefault="00155E7D" w:rsidP="00155E7D">
      <w:pPr>
        <w:pStyle w:val="Note"/>
      </w:pPr>
      <w:r w:rsidRPr="00FD20B4">
        <w:rPr>
          <w:rStyle w:val="NoteLabel"/>
        </w:rPr>
        <w:t xml:space="preserve">a </w:t>
      </w:r>
      <w:r w:rsidRPr="00FD20B4">
        <w:t>The low rates for WA for 2012-13 can be attributed to the combination of a number of factors such as building projects, the amalgamation of Rangeview Remand Centre and Banksia Hill Detention Centre, shortage of custodial staff, a serious disruption at Banksia Hill Detention Centre during January 2013 resulting in the transfer of most detainees to Hakea Juvenile Security. Consequently, young people did not have the same education hours and opportunities as in past years. The situation has considerably improved with the return of young people to Banksia Hill Detention Centre and the employment of more youth custodial officers. Therefore, WA expects to see an improvement in the rates for 2013-14.</w:t>
      </w:r>
      <w:r w:rsidRPr="00D504EE">
        <w:rPr>
          <w:rStyle w:val="NoteLabel"/>
          <w:b w:val="0"/>
        </w:rPr>
        <w:t xml:space="preserve"> </w:t>
      </w:r>
      <w:r w:rsidRPr="00FD20B4">
        <w:rPr>
          <w:rStyle w:val="NoteLabel"/>
        </w:rPr>
        <w:t>b</w:t>
      </w:r>
      <w:r w:rsidRPr="00FD20B4">
        <w:sym w:font="Symbol" w:char="F020"/>
      </w:r>
      <w:r w:rsidRPr="00FD20B4">
        <w:t xml:space="preserve"> Refer to table 16A.15 for detailed footnotes.</w:t>
      </w:r>
    </w:p>
    <w:p w:rsidR="00155E7D" w:rsidRPr="00FD20B4" w:rsidRDefault="00155E7D" w:rsidP="00155E7D">
      <w:pPr>
        <w:pStyle w:val="Source"/>
      </w:pPr>
      <w:r w:rsidRPr="00FD20B4">
        <w:rPr>
          <w:i/>
        </w:rPr>
        <w:t>Source</w:t>
      </w:r>
      <w:r w:rsidRPr="00FD20B4">
        <w:t>: State and Territory governments (unpublished); table 16A.15; 2014 Report, figure 16.9, p. 16.</w:t>
      </w:r>
      <w:r w:rsidR="00443B29" w:rsidRPr="00FD20B4">
        <w:t>2</w:t>
      </w:r>
      <w:r w:rsidR="00443B29">
        <w:t>3</w:t>
      </w:r>
      <w:r w:rsidRPr="00FD20B4">
        <w:t>.</w:t>
      </w:r>
    </w:p>
    <w:p w:rsidR="00AB1DAE" w:rsidRPr="00FD20B4" w:rsidRDefault="00AB1DAE" w:rsidP="00AB1DAE">
      <w:pPr>
        <w:keepNext/>
        <w:spacing w:before="480" w:line="320" w:lineRule="exact"/>
        <w:outlineLvl w:val="3"/>
        <w:rPr>
          <w:rFonts w:ascii="Arial" w:hAnsi="Arial"/>
          <w:i/>
          <w:sz w:val="24"/>
          <w:szCs w:val="20"/>
        </w:rPr>
      </w:pPr>
      <w:bookmarkStart w:id="49" w:name="_Toc320770834"/>
      <w:bookmarkStart w:id="50" w:name="_Toc348449377"/>
      <w:bookmarkStart w:id="51" w:name="_Toc348952924"/>
      <w:bookmarkStart w:id="52" w:name="_Toc351361365"/>
      <w:bookmarkStart w:id="53" w:name="_Toc384645333"/>
      <w:r w:rsidRPr="00FD20B4">
        <w:rPr>
          <w:rFonts w:ascii="Arial" w:hAnsi="Arial"/>
          <w:i/>
          <w:sz w:val="24"/>
          <w:szCs w:val="20"/>
        </w:rPr>
        <w:lastRenderedPageBreak/>
        <w:t>Safe and secure environment — escapes</w:t>
      </w:r>
      <w:bookmarkEnd w:id="49"/>
      <w:bookmarkEnd w:id="50"/>
      <w:bookmarkEnd w:id="51"/>
      <w:bookmarkEnd w:id="52"/>
      <w:bookmarkEnd w:id="53"/>
    </w:p>
    <w:p w:rsidR="00155E7D" w:rsidRPr="00FD20B4" w:rsidRDefault="00155E7D" w:rsidP="00155E7D">
      <w:pPr>
        <w:pStyle w:val="BodyText"/>
      </w:pPr>
      <w:r w:rsidRPr="00FD20B4">
        <w:t>‘Escapes’ is an indicator of governments’ objective to ensure that youth justice agencies provide a safe and secure environment for young people in custody, and the community (box 16.4).</w:t>
      </w:r>
    </w:p>
    <w:p w:rsidR="00D103EE" w:rsidRPr="00FD20B4"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DAE" w:rsidRPr="00FD20B4" w:rsidTr="006877C0">
        <w:tc>
          <w:tcPr>
            <w:tcW w:w="8771" w:type="dxa"/>
            <w:tcBorders>
              <w:top w:val="single" w:sz="6" w:space="0" w:color="auto"/>
              <w:bottom w:val="nil"/>
            </w:tcBorders>
          </w:tcPr>
          <w:p w:rsidR="00AB1DAE" w:rsidRPr="00FD20B4" w:rsidRDefault="00AC2983" w:rsidP="00155E7D">
            <w:pPr>
              <w:keepNext/>
              <w:keepLines/>
              <w:spacing w:before="120" w:line="280" w:lineRule="exact"/>
              <w:ind w:left="1304" w:hanging="1304"/>
              <w:rPr>
                <w:rFonts w:ascii="Arial" w:hAnsi="Arial"/>
                <w:b/>
              </w:rPr>
            </w:pPr>
            <w:r w:rsidRPr="00FD20B4">
              <w:rPr>
                <w:rFonts w:ascii="Arial" w:hAnsi="Arial"/>
                <w:sz w:val="24"/>
              </w:rPr>
              <w:t xml:space="preserve">Box </w:t>
            </w:r>
            <w:r w:rsidR="009F41E6" w:rsidRPr="00FD20B4">
              <w:rPr>
                <w:rFonts w:ascii="Arial" w:hAnsi="Arial"/>
                <w:sz w:val="24"/>
              </w:rPr>
              <w:t>1</w:t>
            </w:r>
            <w:r w:rsidR="00155E7D" w:rsidRPr="00FD20B4">
              <w:rPr>
                <w:rFonts w:ascii="Arial" w:hAnsi="Arial"/>
                <w:sz w:val="24"/>
              </w:rPr>
              <w:t>6.4</w:t>
            </w:r>
            <w:r w:rsidR="00AB1DAE" w:rsidRPr="00FD20B4">
              <w:rPr>
                <w:rFonts w:ascii="Arial" w:hAnsi="Arial"/>
                <w:sz w:val="24"/>
              </w:rPr>
              <w:tab/>
            </w:r>
            <w:r w:rsidR="00AB1DAE" w:rsidRPr="00FD20B4">
              <w:rPr>
                <w:rFonts w:ascii="Arial" w:hAnsi="Arial"/>
                <w:b/>
                <w:sz w:val="24"/>
              </w:rPr>
              <w:t>Escapes</w:t>
            </w:r>
          </w:p>
        </w:tc>
      </w:tr>
      <w:tr w:rsidR="00AB1DAE" w:rsidRPr="00FD20B4" w:rsidTr="006877C0">
        <w:trPr>
          <w:cantSplit/>
        </w:trPr>
        <w:tc>
          <w:tcPr>
            <w:tcW w:w="8771" w:type="dxa"/>
            <w:tcBorders>
              <w:top w:val="nil"/>
              <w:left w:val="single" w:sz="6" w:space="0" w:color="auto"/>
              <w:bottom w:val="nil"/>
              <w:right w:val="single" w:sz="6" w:space="0" w:color="auto"/>
            </w:tcBorders>
          </w:tcPr>
          <w:p w:rsidR="00155E7D" w:rsidRPr="00FD20B4" w:rsidRDefault="00155E7D" w:rsidP="00155E7D">
            <w:pPr>
              <w:pStyle w:val="Box"/>
            </w:pPr>
            <w:r w:rsidRPr="00FD20B4">
              <w:t>‘Escapes’ is defined by two measures:</w:t>
            </w:r>
          </w:p>
          <w:p w:rsidR="00155E7D" w:rsidRPr="00FD20B4" w:rsidRDefault="00155E7D" w:rsidP="00155E7D">
            <w:pPr>
              <w:pStyle w:val="BoxListBullet"/>
              <w:numPr>
                <w:ilvl w:val="0"/>
                <w:numId w:val="17"/>
              </w:numPr>
            </w:pPr>
            <w:r w:rsidRPr="00FD20B4">
              <w:t>the number of escapes from a youth justice detention centre, as a proportion of all young people in custody</w:t>
            </w:r>
          </w:p>
          <w:p w:rsidR="00155E7D" w:rsidRPr="00FD20B4" w:rsidRDefault="00155E7D" w:rsidP="00155E7D">
            <w:pPr>
              <w:pStyle w:val="BoxListBullet"/>
              <w:numPr>
                <w:ilvl w:val="0"/>
                <w:numId w:val="17"/>
              </w:numPr>
            </w:pPr>
            <w:r w:rsidRPr="00FD20B4">
              <w:t>the number of escapes during periods of escorted movement, as a proportion of all periods of escorted movement.</w:t>
            </w:r>
          </w:p>
          <w:p w:rsidR="00155E7D" w:rsidRPr="00FD20B4" w:rsidRDefault="00155E7D" w:rsidP="00155E7D">
            <w:pPr>
              <w:pStyle w:val="Box"/>
            </w:pPr>
            <w:r w:rsidRPr="00FD20B4">
              <w:t>An escape from a youth justice detention centre is defined as a breach of a secure perimeter or defined boundary of a youth justice detention centre by a young person under the supervision of the centre.</w:t>
            </w:r>
          </w:p>
          <w:p w:rsidR="00155E7D" w:rsidRPr="00FD20B4" w:rsidRDefault="00155E7D" w:rsidP="00155E7D">
            <w:pPr>
              <w:pStyle w:val="Box"/>
            </w:pPr>
            <w:r w:rsidRPr="00FD20B4">
              <w:t>A period of escorted movement is defined as a period of time during which a young person is in the custody of the youth justice agency while outside a detention centre. The period of escorted movement ends when the young person is returned to the detention centre, or is no longer in the legal or physical custody of the youth justice agency. An escape from an escorted movement is defined as the failure of a young person to remain in the custody of a supervising youth justice worker or approved service provider during a period of escorted movement. An escape is counted each time a young person escapes. For example, if a young person escapes three times in a counting period, three escapes are recorded. If three young people escape at the same time, three escapes are recorded.</w:t>
            </w:r>
          </w:p>
          <w:p w:rsidR="00155E7D" w:rsidRPr="00FD20B4" w:rsidRDefault="00155E7D" w:rsidP="00155E7D">
            <w:pPr>
              <w:pStyle w:val="Box"/>
            </w:pPr>
            <w:r w:rsidRPr="00FD20B4">
              <w:t>A zero or decreasing escape rate is desirable.</w:t>
            </w:r>
          </w:p>
          <w:p w:rsidR="00155E7D" w:rsidRPr="00FD20B4" w:rsidRDefault="00155E7D" w:rsidP="00155E7D">
            <w:pPr>
              <w:pStyle w:val="Box"/>
              <w:rPr>
                <w:rStyle w:val="DraftingNote"/>
                <w:b w:val="0"/>
                <w:color w:val="auto"/>
                <w:sz w:val="22"/>
                <w:u w:val="none"/>
              </w:rPr>
            </w:pPr>
            <w:r w:rsidRPr="00FD20B4">
              <w:rPr>
                <w:rStyle w:val="DraftingNote"/>
                <w:b w:val="0"/>
                <w:color w:val="auto"/>
                <w:sz w:val="22"/>
                <w:u w:val="none"/>
              </w:rPr>
              <w:t>Data reported for these measures are:</w:t>
            </w:r>
          </w:p>
          <w:p w:rsidR="00155E7D" w:rsidRPr="00FD20B4" w:rsidRDefault="00155E7D" w:rsidP="00155E7D">
            <w:pPr>
              <w:pStyle w:val="BoxListBullet"/>
              <w:numPr>
                <w:ilvl w:val="0"/>
                <w:numId w:val="17"/>
              </w:numPr>
              <w:rPr>
                <w:rStyle w:val="DraftingNote"/>
                <w:b w:val="0"/>
                <w:color w:val="auto"/>
                <w:sz w:val="22"/>
                <w:u w:val="none"/>
              </w:rPr>
            </w:pPr>
            <w:r w:rsidRPr="00FD20B4">
              <w:rPr>
                <w:rStyle w:val="DraftingNote"/>
                <w:b w:val="0"/>
                <w:color w:val="auto"/>
                <w:sz w:val="22"/>
                <w:u w:val="none"/>
              </w:rPr>
              <w:t>comparable (subject to caveats) across jurisdictions and over time</w:t>
            </w:r>
          </w:p>
          <w:p w:rsidR="00155E7D" w:rsidRPr="00FD20B4" w:rsidRDefault="00155E7D" w:rsidP="00155E7D">
            <w:pPr>
              <w:pStyle w:val="BoxListBullet"/>
              <w:numPr>
                <w:ilvl w:val="0"/>
                <w:numId w:val="17"/>
              </w:numPr>
              <w:rPr>
                <w:rStyle w:val="DraftingNote"/>
                <w:b w:val="0"/>
                <w:color w:val="auto"/>
                <w:sz w:val="22"/>
                <w:u w:val="none"/>
              </w:rPr>
            </w:pPr>
            <w:r w:rsidRPr="00FD20B4">
              <w:rPr>
                <w:rStyle w:val="DraftingNote"/>
                <w:b w:val="0"/>
                <w:color w:val="auto"/>
                <w:sz w:val="22"/>
                <w:u w:val="none"/>
              </w:rPr>
              <w:t xml:space="preserve">incomplete for the current reporting period. Data for WA were not available for the measure ‘escapes during periods of escorted movement’. </w:t>
            </w:r>
          </w:p>
          <w:p w:rsidR="00AB1DAE" w:rsidRPr="00FD20B4" w:rsidRDefault="00155E7D" w:rsidP="00155E7D">
            <w:pPr>
              <w:pStyle w:val="Box"/>
            </w:pPr>
            <w:r w:rsidRPr="00FD20B4">
              <w:t>Data quality information for this indicator is at www.pc.gov.au/gsp/reports/rogs/2014.</w:t>
            </w:r>
          </w:p>
        </w:tc>
      </w:tr>
      <w:tr w:rsidR="00AB1DAE" w:rsidRPr="00FD20B4" w:rsidTr="006877C0">
        <w:trPr>
          <w:cantSplit/>
        </w:trPr>
        <w:tc>
          <w:tcPr>
            <w:tcW w:w="8771" w:type="dxa"/>
            <w:tcBorders>
              <w:top w:val="nil"/>
              <w:left w:val="single" w:sz="6" w:space="0" w:color="auto"/>
              <w:bottom w:val="single" w:sz="6" w:space="0" w:color="auto"/>
              <w:right w:val="single" w:sz="6" w:space="0" w:color="auto"/>
            </w:tcBorders>
          </w:tcPr>
          <w:p w:rsidR="00AB1DAE" w:rsidRPr="00FD20B4" w:rsidRDefault="00AB1DAE" w:rsidP="00AB1DAE">
            <w:pPr>
              <w:keepNext/>
              <w:spacing w:line="120" w:lineRule="exact"/>
              <w:jc w:val="both"/>
              <w:rPr>
                <w:rFonts w:ascii="Arial" w:hAnsi="Arial"/>
                <w:sz w:val="22"/>
                <w:szCs w:val="20"/>
              </w:rPr>
            </w:pPr>
          </w:p>
        </w:tc>
      </w:tr>
      <w:tr w:rsidR="00AB1DAE" w:rsidRPr="00FD20B4" w:rsidTr="006877C0">
        <w:tc>
          <w:tcPr>
            <w:tcW w:w="8771" w:type="dxa"/>
            <w:tcBorders>
              <w:top w:val="nil"/>
              <w:left w:val="nil"/>
              <w:bottom w:val="nil"/>
              <w:right w:val="nil"/>
            </w:tcBorders>
          </w:tcPr>
          <w:p w:rsidR="00AB1DAE" w:rsidRPr="00FD20B4" w:rsidRDefault="00AB1DAE" w:rsidP="00AB1DAE">
            <w:pPr>
              <w:spacing w:before="60" w:after="60" w:line="80" w:lineRule="exact"/>
              <w:jc w:val="both"/>
              <w:rPr>
                <w:rFonts w:ascii="Arial" w:hAnsi="Arial"/>
                <w:b/>
                <w:color w:val="FF00FF"/>
                <w:sz w:val="14"/>
                <w:szCs w:val="20"/>
              </w:rPr>
            </w:pPr>
          </w:p>
        </w:tc>
      </w:tr>
    </w:tbl>
    <w:p w:rsidR="00155E7D" w:rsidRPr="00FD20B4" w:rsidRDefault="00155E7D" w:rsidP="00155E7D">
      <w:pPr>
        <w:pStyle w:val="BodyText"/>
      </w:pPr>
      <w:bookmarkStart w:id="54" w:name="OLE_LINK94"/>
      <w:r w:rsidRPr="00FD20B4">
        <w:t>Nationally, there were 4 escapes from youth justice detention in 2012-13, which was e</w:t>
      </w:r>
      <w:r w:rsidR="008B00DD">
        <w:t xml:space="preserve">quivalent to 0.1 escapes per 10 </w:t>
      </w:r>
      <w:r w:rsidRPr="00FD20B4">
        <w:t>000 custody nights in 2012-13 (table 16.1). The number of escapes from detention varied across jurisdictions.</w:t>
      </w:r>
    </w:p>
    <w:p w:rsidR="00155E7D" w:rsidRPr="00FD20B4" w:rsidRDefault="00155E7D" w:rsidP="00155E7D">
      <w:pPr>
        <w:pStyle w:val="TableTitle"/>
        <w:rPr>
          <w:bCs/>
        </w:rPr>
      </w:pPr>
      <w:r w:rsidRPr="00FD20B4">
        <w:rPr>
          <w:b w:val="0"/>
        </w:rPr>
        <w:lastRenderedPageBreak/>
        <w:t>Table 16.1</w:t>
      </w:r>
      <w:r w:rsidRPr="00FD20B4">
        <w:tab/>
        <w:t>N</w:t>
      </w:r>
      <w:r w:rsidRPr="00FD20B4">
        <w:rPr>
          <w:bCs/>
        </w:rPr>
        <w:t>umber and rate of escapes from youth justice detention centres, by Indigenous status, 2012-13</w:t>
      </w:r>
      <w:r w:rsidRPr="00FD20B4">
        <w:rPr>
          <w:rStyle w:val="NoteLabel"/>
          <w:b/>
        </w:rPr>
        <w:t>a, b</w:t>
      </w:r>
    </w:p>
    <w:tbl>
      <w:tblPr>
        <w:tblW w:w="5000" w:type="pct"/>
        <w:tblCellMar>
          <w:left w:w="0" w:type="dxa"/>
          <w:right w:w="0" w:type="dxa"/>
        </w:tblCellMar>
        <w:tblLook w:val="0000" w:firstRow="0" w:lastRow="0" w:firstColumn="0" w:lastColumn="0" w:noHBand="0" w:noVBand="0"/>
      </w:tblPr>
      <w:tblGrid>
        <w:gridCol w:w="2221"/>
        <w:gridCol w:w="730"/>
        <w:gridCol w:w="730"/>
        <w:gridCol w:w="730"/>
        <w:gridCol w:w="730"/>
        <w:gridCol w:w="730"/>
        <w:gridCol w:w="730"/>
        <w:gridCol w:w="730"/>
        <w:gridCol w:w="729"/>
        <w:gridCol w:w="729"/>
      </w:tblGrid>
      <w:tr w:rsidR="00155E7D" w:rsidRPr="00FD20B4" w:rsidTr="00BA06C7">
        <w:tc>
          <w:tcPr>
            <w:tcW w:w="1262" w:type="pct"/>
            <w:tcBorders>
              <w:top w:val="single" w:sz="6" w:space="0" w:color="auto"/>
              <w:bottom w:val="single" w:sz="6" w:space="0" w:color="auto"/>
            </w:tcBorders>
          </w:tcPr>
          <w:p w:rsidR="00155E7D" w:rsidRPr="00FD20B4" w:rsidRDefault="00155E7D" w:rsidP="00BA06C7">
            <w:pPr>
              <w:pStyle w:val="TableColumnHeading"/>
              <w:jc w:val="left"/>
              <w:rPr>
                <w:color w:val="0000FF"/>
              </w:rPr>
            </w:pP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NSW</w:t>
            </w: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Vic</w:t>
            </w: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Qld</w:t>
            </w: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WA</w:t>
            </w: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SA</w:t>
            </w: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Tas</w:t>
            </w: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ACT</w:t>
            </w:r>
          </w:p>
        </w:tc>
        <w:tc>
          <w:tcPr>
            <w:tcW w:w="415" w:type="pct"/>
            <w:tcBorders>
              <w:top w:val="single" w:sz="6" w:space="0" w:color="auto"/>
              <w:bottom w:val="single" w:sz="6" w:space="0" w:color="auto"/>
            </w:tcBorders>
          </w:tcPr>
          <w:p w:rsidR="00155E7D" w:rsidRPr="00FD20B4" w:rsidRDefault="00155E7D" w:rsidP="00BA06C7">
            <w:pPr>
              <w:pStyle w:val="TableColumnHeading"/>
              <w:rPr>
                <w:rStyle w:val="NoteLabel"/>
              </w:rPr>
            </w:pPr>
            <w:r w:rsidRPr="00FD20B4">
              <w:t>NT</w:t>
            </w:r>
          </w:p>
        </w:tc>
        <w:tc>
          <w:tcPr>
            <w:tcW w:w="415" w:type="pct"/>
            <w:tcBorders>
              <w:top w:val="single" w:sz="6" w:space="0" w:color="auto"/>
              <w:bottom w:val="single" w:sz="6" w:space="0" w:color="auto"/>
            </w:tcBorders>
          </w:tcPr>
          <w:p w:rsidR="00155E7D" w:rsidRPr="00FD20B4" w:rsidRDefault="00155E7D" w:rsidP="00BA06C7">
            <w:pPr>
              <w:pStyle w:val="TableColumnHeading"/>
            </w:pPr>
            <w:r w:rsidRPr="00FD20B4">
              <w:t>Aust</w:t>
            </w:r>
          </w:p>
        </w:tc>
      </w:tr>
      <w:tr w:rsidR="00155E7D" w:rsidRPr="00FD20B4" w:rsidTr="00BA06C7">
        <w:tc>
          <w:tcPr>
            <w:tcW w:w="1262" w:type="pct"/>
          </w:tcPr>
          <w:p w:rsidR="00155E7D" w:rsidRPr="00FD20B4" w:rsidRDefault="00155E7D" w:rsidP="00BA06C7">
            <w:pPr>
              <w:pStyle w:val="TableBodyText"/>
              <w:jc w:val="left"/>
              <w:rPr>
                <w:b/>
              </w:rPr>
            </w:pPr>
            <w:r w:rsidRPr="00FD20B4">
              <w:rPr>
                <w:b/>
              </w:rPr>
              <w:t>Number of escapes</w:t>
            </w: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tcPr>
          <w:p w:rsidR="00155E7D" w:rsidRPr="00FD20B4" w:rsidRDefault="00155E7D" w:rsidP="00BA06C7">
            <w:pPr>
              <w:pStyle w:val="TableBodyText"/>
            </w:pPr>
          </w:p>
        </w:tc>
      </w:tr>
      <w:tr w:rsidR="00155E7D" w:rsidRPr="00FD20B4" w:rsidTr="00BA06C7">
        <w:tc>
          <w:tcPr>
            <w:tcW w:w="1262" w:type="pct"/>
          </w:tcPr>
          <w:p w:rsidR="00155E7D" w:rsidRPr="00FD20B4" w:rsidRDefault="00155E7D" w:rsidP="00BA06C7">
            <w:pPr>
              <w:pStyle w:val="TableBodyText"/>
              <w:ind w:left="284"/>
              <w:jc w:val="left"/>
            </w:pPr>
            <w:r w:rsidRPr="00FD20B4">
              <w:t>Indigenous</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2.0</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2.0</w:t>
            </w:r>
          </w:p>
        </w:tc>
        <w:tc>
          <w:tcPr>
            <w:tcW w:w="415" w:type="pct"/>
          </w:tcPr>
          <w:p w:rsidR="00155E7D" w:rsidRPr="00FD20B4" w:rsidRDefault="00155E7D" w:rsidP="00BA06C7">
            <w:pPr>
              <w:pStyle w:val="TableBodyText"/>
            </w:pPr>
            <w:r w:rsidRPr="00FD20B4">
              <w:t>4.0</w:t>
            </w:r>
          </w:p>
        </w:tc>
      </w:tr>
      <w:tr w:rsidR="00155E7D" w:rsidRPr="00FD20B4" w:rsidTr="00BA06C7">
        <w:tc>
          <w:tcPr>
            <w:tcW w:w="1262" w:type="pct"/>
          </w:tcPr>
          <w:p w:rsidR="00155E7D" w:rsidRPr="00FD20B4" w:rsidRDefault="00155E7D" w:rsidP="00BA06C7">
            <w:pPr>
              <w:pStyle w:val="TableBodyText"/>
              <w:ind w:left="284"/>
              <w:jc w:val="left"/>
            </w:pPr>
            <w:r w:rsidRPr="00FD20B4">
              <w:t>Non-Indigenous</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tcPr>
          <w:p w:rsidR="00155E7D" w:rsidRPr="00FD20B4" w:rsidRDefault="00155E7D" w:rsidP="00BA06C7">
            <w:pPr>
              <w:pStyle w:val="TableBodyText"/>
            </w:pPr>
            <w:r w:rsidRPr="00FD20B4">
              <w:t>–</w:t>
            </w:r>
          </w:p>
        </w:tc>
      </w:tr>
      <w:tr w:rsidR="00155E7D" w:rsidRPr="00FD20B4" w:rsidTr="00BA06C7">
        <w:tc>
          <w:tcPr>
            <w:tcW w:w="1262" w:type="pct"/>
          </w:tcPr>
          <w:p w:rsidR="00155E7D" w:rsidRPr="00FD20B4" w:rsidRDefault="00155E7D" w:rsidP="00BA06C7">
            <w:pPr>
              <w:pStyle w:val="TableBodyText"/>
              <w:ind w:left="284"/>
              <w:jc w:val="left"/>
            </w:pPr>
            <w:r w:rsidRPr="00FD20B4">
              <w:t>Unknown</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tcPr>
          <w:p w:rsidR="00155E7D" w:rsidRPr="00FD20B4" w:rsidRDefault="00155E7D" w:rsidP="00BA06C7">
            <w:pPr>
              <w:pStyle w:val="TableBodyText"/>
            </w:pPr>
            <w:r w:rsidRPr="00FD20B4">
              <w:t>–</w:t>
            </w:r>
          </w:p>
        </w:tc>
      </w:tr>
      <w:tr w:rsidR="00155E7D" w:rsidRPr="00FD20B4" w:rsidTr="00BA06C7">
        <w:tc>
          <w:tcPr>
            <w:tcW w:w="1262" w:type="pct"/>
          </w:tcPr>
          <w:p w:rsidR="00155E7D" w:rsidRPr="00FD20B4" w:rsidRDefault="00155E7D" w:rsidP="00BA06C7">
            <w:pPr>
              <w:pStyle w:val="TableBodyText"/>
              <w:ind w:left="284"/>
              <w:jc w:val="left"/>
            </w:pPr>
            <w:r w:rsidRPr="00FD20B4">
              <w:t>Total</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2.0</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2.0</w:t>
            </w:r>
          </w:p>
        </w:tc>
        <w:tc>
          <w:tcPr>
            <w:tcW w:w="415" w:type="pct"/>
          </w:tcPr>
          <w:p w:rsidR="00155E7D" w:rsidRPr="00FD20B4" w:rsidRDefault="00155E7D" w:rsidP="00BA06C7">
            <w:pPr>
              <w:pStyle w:val="TableBodyText"/>
            </w:pPr>
            <w:r w:rsidRPr="00FD20B4">
              <w:t>4.0</w:t>
            </w:r>
          </w:p>
        </w:tc>
      </w:tr>
      <w:tr w:rsidR="00155E7D" w:rsidRPr="00FD20B4" w:rsidTr="00BA06C7">
        <w:tc>
          <w:tcPr>
            <w:tcW w:w="1262" w:type="pct"/>
          </w:tcPr>
          <w:p w:rsidR="00155E7D" w:rsidRPr="00FD20B4" w:rsidRDefault="00155E7D" w:rsidP="00BA06C7">
            <w:pPr>
              <w:pStyle w:val="TableBodyText"/>
              <w:ind w:right="0"/>
              <w:jc w:val="left"/>
              <w:rPr>
                <w:b/>
              </w:rPr>
            </w:pPr>
            <w:r w:rsidRPr="00FD20B4">
              <w:rPr>
                <w:b/>
              </w:rPr>
              <w:t>Rate per 10 000 custody nights</w:t>
            </w: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vAlign w:val="center"/>
          </w:tcPr>
          <w:p w:rsidR="00155E7D" w:rsidRPr="00FD20B4" w:rsidRDefault="00155E7D" w:rsidP="00BA06C7">
            <w:pPr>
              <w:pStyle w:val="TableBodyText"/>
            </w:pPr>
          </w:p>
        </w:tc>
        <w:tc>
          <w:tcPr>
            <w:tcW w:w="415" w:type="pct"/>
          </w:tcPr>
          <w:p w:rsidR="00155E7D" w:rsidRPr="00FD20B4" w:rsidRDefault="00155E7D" w:rsidP="00BA06C7">
            <w:pPr>
              <w:pStyle w:val="TableBodyText"/>
            </w:pPr>
          </w:p>
        </w:tc>
      </w:tr>
      <w:tr w:rsidR="00155E7D" w:rsidRPr="00FD20B4" w:rsidTr="00BA06C7">
        <w:tc>
          <w:tcPr>
            <w:tcW w:w="1262" w:type="pct"/>
          </w:tcPr>
          <w:p w:rsidR="00155E7D" w:rsidRPr="00FD20B4" w:rsidRDefault="00155E7D" w:rsidP="00BA06C7">
            <w:pPr>
              <w:pStyle w:val="TableBodyText"/>
              <w:ind w:left="284"/>
              <w:jc w:val="left"/>
            </w:pPr>
            <w:r w:rsidRPr="00FD20B4">
              <w:t>Indigenous</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0.4</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1.2</w:t>
            </w:r>
          </w:p>
        </w:tc>
        <w:tc>
          <w:tcPr>
            <w:tcW w:w="415" w:type="pct"/>
          </w:tcPr>
          <w:p w:rsidR="00155E7D" w:rsidRPr="00FD20B4" w:rsidRDefault="00155E7D" w:rsidP="00BA06C7">
            <w:pPr>
              <w:pStyle w:val="TableBodyText"/>
            </w:pPr>
            <w:r w:rsidRPr="00FD20B4">
              <w:t>0.2</w:t>
            </w:r>
          </w:p>
        </w:tc>
      </w:tr>
      <w:tr w:rsidR="00155E7D" w:rsidRPr="00FD20B4" w:rsidTr="00BA06C7">
        <w:tc>
          <w:tcPr>
            <w:tcW w:w="1262" w:type="pct"/>
          </w:tcPr>
          <w:p w:rsidR="00155E7D" w:rsidRPr="00FD20B4" w:rsidRDefault="00155E7D" w:rsidP="00BA06C7">
            <w:pPr>
              <w:pStyle w:val="TableBodyText"/>
              <w:ind w:left="284"/>
              <w:jc w:val="left"/>
            </w:pPr>
            <w:r w:rsidRPr="00FD20B4">
              <w:t>Non-Indigenous</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tcPr>
          <w:p w:rsidR="00155E7D" w:rsidRPr="00FD20B4" w:rsidRDefault="00155E7D" w:rsidP="00BA06C7">
            <w:pPr>
              <w:pStyle w:val="TableBodyText"/>
            </w:pPr>
            <w:r w:rsidRPr="00FD20B4">
              <w:t>–</w:t>
            </w:r>
          </w:p>
        </w:tc>
      </w:tr>
      <w:tr w:rsidR="00155E7D" w:rsidRPr="00FD20B4" w:rsidTr="00BA06C7">
        <w:tc>
          <w:tcPr>
            <w:tcW w:w="1262" w:type="pct"/>
          </w:tcPr>
          <w:p w:rsidR="00155E7D" w:rsidRPr="00FD20B4" w:rsidRDefault="00155E7D" w:rsidP="00BA06C7">
            <w:pPr>
              <w:pStyle w:val="TableBodyText"/>
              <w:ind w:left="284"/>
              <w:jc w:val="left"/>
            </w:pPr>
            <w:r w:rsidRPr="00FD20B4">
              <w:t>Unknown</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vAlign w:val="center"/>
          </w:tcPr>
          <w:p w:rsidR="00155E7D" w:rsidRPr="00FD20B4" w:rsidRDefault="00155E7D" w:rsidP="00BA06C7">
            <w:pPr>
              <w:pStyle w:val="TableBodyText"/>
            </w:pPr>
            <w:r w:rsidRPr="00FD20B4">
              <w:t>–</w:t>
            </w:r>
          </w:p>
        </w:tc>
        <w:tc>
          <w:tcPr>
            <w:tcW w:w="415" w:type="pct"/>
          </w:tcPr>
          <w:p w:rsidR="00155E7D" w:rsidRPr="00FD20B4" w:rsidRDefault="00155E7D" w:rsidP="00BA06C7">
            <w:pPr>
              <w:pStyle w:val="TableBodyText"/>
            </w:pPr>
            <w:r w:rsidRPr="00FD20B4">
              <w:t>–</w:t>
            </w:r>
          </w:p>
        </w:tc>
      </w:tr>
      <w:tr w:rsidR="00155E7D" w:rsidRPr="00FD20B4" w:rsidTr="00BA06C7">
        <w:tc>
          <w:tcPr>
            <w:tcW w:w="1262" w:type="pct"/>
            <w:tcBorders>
              <w:bottom w:val="single" w:sz="4" w:space="0" w:color="auto"/>
            </w:tcBorders>
          </w:tcPr>
          <w:p w:rsidR="00155E7D" w:rsidRPr="00FD20B4" w:rsidRDefault="00155E7D" w:rsidP="00BA06C7">
            <w:pPr>
              <w:pStyle w:val="TableBodyText"/>
              <w:ind w:left="284"/>
              <w:jc w:val="left"/>
            </w:pPr>
            <w:r w:rsidRPr="00FD20B4">
              <w:t>Total</w:t>
            </w:r>
          </w:p>
        </w:tc>
        <w:tc>
          <w:tcPr>
            <w:tcW w:w="415" w:type="pct"/>
            <w:tcBorders>
              <w:bottom w:val="single" w:sz="4" w:space="0" w:color="auto"/>
            </w:tcBorders>
            <w:vAlign w:val="center"/>
          </w:tcPr>
          <w:p w:rsidR="00155E7D" w:rsidRPr="00FD20B4" w:rsidRDefault="00155E7D" w:rsidP="00BA06C7">
            <w:pPr>
              <w:pStyle w:val="TableBodyText"/>
            </w:pPr>
            <w:r w:rsidRPr="00FD20B4">
              <w:t>–</w:t>
            </w:r>
          </w:p>
        </w:tc>
        <w:tc>
          <w:tcPr>
            <w:tcW w:w="415" w:type="pct"/>
            <w:tcBorders>
              <w:bottom w:val="single" w:sz="4" w:space="0" w:color="auto"/>
            </w:tcBorders>
            <w:vAlign w:val="center"/>
          </w:tcPr>
          <w:p w:rsidR="00155E7D" w:rsidRPr="00FD20B4" w:rsidRDefault="00155E7D" w:rsidP="00BA06C7">
            <w:pPr>
              <w:pStyle w:val="TableBodyText"/>
            </w:pPr>
            <w:r w:rsidRPr="00FD20B4">
              <w:t>–</w:t>
            </w:r>
          </w:p>
        </w:tc>
        <w:tc>
          <w:tcPr>
            <w:tcW w:w="415" w:type="pct"/>
            <w:tcBorders>
              <w:bottom w:val="single" w:sz="4" w:space="0" w:color="auto"/>
            </w:tcBorders>
            <w:vAlign w:val="center"/>
          </w:tcPr>
          <w:p w:rsidR="00155E7D" w:rsidRPr="00FD20B4" w:rsidRDefault="00155E7D" w:rsidP="00BA06C7">
            <w:pPr>
              <w:pStyle w:val="TableBodyText"/>
            </w:pPr>
            <w:r w:rsidRPr="00FD20B4">
              <w:t>–</w:t>
            </w:r>
          </w:p>
        </w:tc>
        <w:tc>
          <w:tcPr>
            <w:tcW w:w="415" w:type="pct"/>
            <w:tcBorders>
              <w:bottom w:val="single" w:sz="4" w:space="0" w:color="auto"/>
            </w:tcBorders>
            <w:vAlign w:val="center"/>
          </w:tcPr>
          <w:p w:rsidR="00155E7D" w:rsidRPr="00FD20B4" w:rsidRDefault="00155E7D" w:rsidP="00BA06C7">
            <w:pPr>
              <w:pStyle w:val="TableBodyText"/>
            </w:pPr>
            <w:r w:rsidRPr="00FD20B4">
              <w:t>0.3</w:t>
            </w:r>
          </w:p>
        </w:tc>
        <w:tc>
          <w:tcPr>
            <w:tcW w:w="415" w:type="pct"/>
            <w:tcBorders>
              <w:bottom w:val="single" w:sz="4" w:space="0" w:color="auto"/>
            </w:tcBorders>
            <w:vAlign w:val="center"/>
          </w:tcPr>
          <w:p w:rsidR="00155E7D" w:rsidRPr="00FD20B4" w:rsidRDefault="00155E7D" w:rsidP="00BA06C7">
            <w:pPr>
              <w:pStyle w:val="TableBodyText"/>
            </w:pPr>
            <w:r w:rsidRPr="00FD20B4">
              <w:t>–</w:t>
            </w:r>
          </w:p>
        </w:tc>
        <w:tc>
          <w:tcPr>
            <w:tcW w:w="415" w:type="pct"/>
            <w:tcBorders>
              <w:bottom w:val="single" w:sz="4" w:space="0" w:color="auto"/>
            </w:tcBorders>
            <w:vAlign w:val="center"/>
          </w:tcPr>
          <w:p w:rsidR="00155E7D" w:rsidRPr="00FD20B4" w:rsidRDefault="00155E7D" w:rsidP="00BA06C7">
            <w:pPr>
              <w:pStyle w:val="TableBodyText"/>
            </w:pPr>
            <w:r w:rsidRPr="00FD20B4">
              <w:t>–</w:t>
            </w:r>
          </w:p>
        </w:tc>
        <w:tc>
          <w:tcPr>
            <w:tcW w:w="415" w:type="pct"/>
            <w:tcBorders>
              <w:bottom w:val="single" w:sz="4" w:space="0" w:color="auto"/>
            </w:tcBorders>
            <w:vAlign w:val="center"/>
          </w:tcPr>
          <w:p w:rsidR="00155E7D" w:rsidRPr="00FD20B4" w:rsidRDefault="00155E7D" w:rsidP="00BA06C7">
            <w:pPr>
              <w:pStyle w:val="TableBodyText"/>
            </w:pPr>
            <w:r w:rsidRPr="00FD20B4">
              <w:t>–</w:t>
            </w:r>
          </w:p>
        </w:tc>
        <w:tc>
          <w:tcPr>
            <w:tcW w:w="415" w:type="pct"/>
            <w:tcBorders>
              <w:bottom w:val="single" w:sz="4" w:space="0" w:color="auto"/>
            </w:tcBorders>
            <w:vAlign w:val="center"/>
          </w:tcPr>
          <w:p w:rsidR="00155E7D" w:rsidRPr="00FD20B4" w:rsidRDefault="00155E7D" w:rsidP="00BA06C7">
            <w:pPr>
              <w:pStyle w:val="TableBodyText"/>
            </w:pPr>
            <w:r w:rsidRPr="00FD20B4">
              <w:t>1.1</w:t>
            </w:r>
          </w:p>
        </w:tc>
        <w:tc>
          <w:tcPr>
            <w:tcW w:w="415" w:type="pct"/>
            <w:tcBorders>
              <w:bottom w:val="single" w:sz="4" w:space="0" w:color="auto"/>
            </w:tcBorders>
          </w:tcPr>
          <w:p w:rsidR="00155E7D" w:rsidRPr="00FD20B4" w:rsidRDefault="00155E7D" w:rsidP="00BA06C7">
            <w:pPr>
              <w:pStyle w:val="TableBodyText"/>
            </w:pPr>
            <w:r w:rsidRPr="00FD20B4">
              <w:t>0.1</w:t>
            </w:r>
          </w:p>
        </w:tc>
      </w:tr>
    </w:tbl>
    <w:p w:rsidR="00155E7D" w:rsidRPr="00FD20B4" w:rsidRDefault="00155E7D" w:rsidP="00155E7D">
      <w:pPr>
        <w:pStyle w:val="NoteCharCharCharChar"/>
        <w:keepNext/>
      </w:pPr>
      <w:r w:rsidRPr="00FD20B4">
        <w:rPr>
          <w:rStyle w:val="NoteLabel"/>
        </w:rPr>
        <w:t xml:space="preserve">a </w:t>
      </w:r>
      <w:r w:rsidRPr="00FD20B4">
        <w:t>Refer to table 16A.16 for detailed footnotes. – Nil or rounded to zero.</w:t>
      </w:r>
    </w:p>
    <w:p w:rsidR="00155E7D" w:rsidRPr="00FD20B4" w:rsidRDefault="00155E7D" w:rsidP="00155E7D">
      <w:pPr>
        <w:pStyle w:val="Source"/>
      </w:pPr>
      <w:r w:rsidRPr="00FD20B4">
        <w:rPr>
          <w:i/>
        </w:rPr>
        <w:t>Source</w:t>
      </w:r>
      <w:r w:rsidRPr="00FD20B4">
        <w:t>: State and Territory governments (unpublished); table 16A.16; 2014 Report, table 16.1, p. 15.26.</w:t>
      </w:r>
    </w:p>
    <w:p w:rsidR="00155E7D" w:rsidRPr="00FD20B4" w:rsidRDefault="00155E7D" w:rsidP="00155E7D">
      <w:pPr>
        <w:pStyle w:val="BodyText"/>
      </w:pPr>
      <w:r w:rsidRPr="00FD20B4">
        <w:t xml:space="preserve">Nationally, there were no escapes from escorted movements in 2012-13, although data were not available for WA </w:t>
      </w:r>
      <w:bookmarkStart w:id="55" w:name="OLE_LINK96"/>
      <w:r w:rsidRPr="00FD20B4">
        <w:t>(table</w:t>
      </w:r>
      <w:bookmarkEnd w:id="55"/>
      <w:r w:rsidRPr="00FD20B4">
        <w:t xml:space="preserve"> 16A.16).</w:t>
      </w:r>
    </w:p>
    <w:p w:rsidR="00AB1DAE" w:rsidRPr="00FD20B4" w:rsidRDefault="00AB1DAE" w:rsidP="00AB1DAE">
      <w:pPr>
        <w:keepNext/>
        <w:spacing w:before="480" w:line="320" w:lineRule="exact"/>
        <w:outlineLvl w:val="3"/>
        <w:rPr>
          <w:rFonts w:ascii="Arial" w:hAnsi="Arial"/>
          <w:i/>
          <w:sz w:val="24"/>
          <w:szCs w:val="20"/>
        </w:rPr>
      </w:pPr>
      <w:bookmarkStart w:id="56" w:name="_Toc320770836"/>
      <w:bookmarkStart w:id="57" w:name="_Toc348449379"/>
      <w:bookmarkStart w:id="58" w:name="_Toc348952926"/>
      <w:bookmarkStart w:id="59" w:name="_Toc351361367"/>
      <w:bookmarkStart w:id="60" w:name="_Toc384645334"/>
      <w:bookmarkEnd w:id="54"/>
      <w:r w:rsidRPr="00FD20B4">
        <w:rPr>
          <w:rFonts w:ascii="Arial" w:hAnsi="Arial"/>
          <w:i/>
          <w:sz w:val="24"/>
          <w:szCs w:val="20"/>
        </w:rPr>
        <w:t>Safe and secure environment — assaults in custody</w:t>
      </w:r>
      <w:bookmarkEnd w:id="56"/>
      <w:bookmarkEnd w:id="57"/>
      <w:bookmarkEnd w:id="58"/>
      <w:bookmarkEnd w:id="59"/>
      <w:bookmarkEnd w:id="60"/>
    </w:p>
    <w:p w:rsidR="00155E7D" w:rsidRPr="00FD20B4" w:rsidRDefault="00155E7D" w:rsidP="007222B6">
      <w:pPr>
        <w:pStyle w:val="BodyText"/>
      </w:pPr>
      <w:r w:rsidRPr="00FD20B4">
        <w:t>‘Assaults in custody’ is an indicator of governments’ objective to provide a custodial environment that is safe and secure in order to rehabilitate young offenders and reintegrate them into their community (box 16.5).</w:t>
      </w:r>
    </w:p>
    <w:p w:rsidR="00155E7D" w:rsidRPr="00FD20B4" w:rsidRDefault="00155E7D" w:rsidP="00155E7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55E7D" w:rsidRPr="00FD20B4" w:rsidTr="00BA06C7">
        <w:tc>
          <w:tcPr>
            <w:tcW w:w="8771" w:type="dxa"/>
            <w:tcBorders>
              <w:top w:val="single" w:sz="6" w:space="0" w:color="auto"/>
              <w:bottom w:val="nil"/>
            </w:tcBorders>
          </w:tcPr>
          <w:p w:rsidR="00155E7D" w:rsidRPr="00FD20B4" w:rsidRDefault="00155E7D" w:rsidP="00BA06C7">
            <w:pPr>
              <w:pStyle w:val="BoxTitle"/>
            </w:pPr>
            <w:r w:rsidRPr="00FD20B4">
              <w:rPr>
                <w:b w:val="0"/>
              </w:rPr>
              <w:t>Box 16.5</w:t>
            </w:r>
            <w:r w:rsidRPr="00FD20B4">
              <w:tab/>
              <w:t>Assaults in custody</w:t>
            </w:r>
          </w:p>
        </w:tc>
      </w:tr>
      <w:tr w:rsidR="00155E7D" w:rsidRPr="00FD20B4" w:rsidTr="00BA06C7">
        <w:trPr>
          <w:cantSplit/>
        </w:trPr>
        <w:tc>
          <w:tcPr>
            <w:tcW w:w="8771" w:type="dxa"/>
            <w:tcBorders>
              <w:top w:val="nil"/>
              <w:left w:val="single" w:sz="6" w:space="0" w:color="auto"/>
              <w:bottom w:val="nil"/>
              <w:right w:val="single" w:sz="4" w:space="0" w:color="auto"/>
            </w:tcBorders>
          </w:tcPr>
          <w:p w:rsidR="00155E7D" w:rsidRPr="00FD20B4" w:rsidRDefault="00155E7D" w:rsidP="00155E7D">
            <w:pPr>
              <w:pStyle w:val="Box"/>
            </w:pPr>
            <w:r w:rsidRPr="00FD20B4">
              <w:t>‘Assaults in custody’ is defined by two measures:</w:t>
            </w:r>
          </w:p>
          <w:p w:rsidR="00155E7D" w:rsidRPr="00FD20B4" w:rsidRDefault="00155E7D" w:rsidP="00155E7D">
            <w:pPr>
              <w:pStyle w:val="BoxListBullet"/>
              <w:numPr>
                <w:ilvl w:val="0"/>
                <w:numId w:val="17"/>
              </w:numPr>
            </w:pPr>
            <w:r w:rsidRPr="00FD20B4">
              <w:t>the rate of detainees and staff (by Indigenous status) who are seriously assaulted (that is, sustain an injury that requires overnight hospitalisation and any act of sexual assault) due to an act perpetrated by one or more detainees, as a proportion of the number of detainees in custody</w:t>
            </w:r>
          </w:p>
          <w:p w:rsidR="00155E7D" w:rsidRPr="00FD20B4" w:rsidRDefault="00155E7D" w:rsidP="00BA06C7">
            <w:pPr>
              <w:pStyle w:val="BoxListBullet"/>
              <w:numPr>
                <w:ilvl w:val="0"/>
                <w:numId w:val="17"/>
              </w:numPr>
            </w:pPr>
            <w:r w:rsidRPr="00FD20B4">
              <w:t>the rate of detainees and staff (by Indigenous status) who are assaulted (that is, sustain an injury, but do not require hospitalisation) due to an act perpetrated by one or more detainees, as a proportion of the number of detainees in custody.</w:t>
            </w:r>
          </w:p>
        </w:tc>
      </w:tr>
      <w:tr w:rsidR="00155E7D" w:rsidRPr="00FD20B4" w:rsidTr="00BA06C7">
        <w:trPr>
          <w:cantSplit/>
        </w:trPr>
        <w:tc>
          <w:tcPr>
            <w:tcW w:w="8771" w:type="dxa"/>
            <w:tcBorders>
              <w:top w:val="nil"/>
              <w:left w:val="single" w:sz="6" w:space="0" w:color="auto"/>
              <w:bottom w:val="nil"/>
              <w:right w:val="single" w:sz="6" w:space="0" w:color="auto"/>
            </w:tcBorders>
          </w:tcPr>
          <w:p w:rsidR="00155E7D" w:rsidRPr="00FD20B4" w:rsidRDefault="00155E7D" w:rsidP="00BA06C7">
            <w:pPr>
              <w:pStyle w:val="Continued"/>
            </w:pPr>
            <w:r w:rsidRPr="00FD20B4">
              <w:t xml:space="preserve">(Continued on next page) </w:t>
            </w:r>
          </w:p>
        </w:tc>
      </w:tr>
      <w:tr w:rsidR="00155E7D" w:rsidRPr="00FD20B4" w:rsidTr="00BA06C7">
        <w:trPr>
          <w:cantSplit/>
        </w:trPr>
        <w:tc>
          <w:tcPr>
            <w:tcW w:w="8771" w:type="dxa"/>
            <w:tcBorders>
              <w:top w:val="nil"/>
              <w:left w:val="single" w:sz="6" w:space="0" w:color="auto"/>
              <w:bottom w:val="single" w:sz="6" w:space="0" w:color="auto"/>
              <w:right w:val="single" w:sz="6" w:space="0" w:color="auto"/>
            </w:tcBorders>
          </w:tcPr>
          <w:p w:rsidR="00155E7D" w:rsidRPr="00FD20B4" w:rsidRDefault="00155E7D" w:rsidP="00BA06C7">
            <w:pPr>
              <w:pStyle w:val="Box"/>
              <w:spacing w:before="0" w:line="120" w:lineRule="exact"/>
            </w:pPr>
          </w:p>
        </w:tc>
      </w:tr>
      <w:tr w:rsidR="00155E7D" w:rsidRPr="00FD20B4" w:rsidTr="00BA06C7">
        <w:tc>
          <w:tcPr>
            <w:tcW w:w="8771" w:type="dxa"/>
            <w:tcBorders>
              <w:top w:val="nil"/>
              <w:left w:val="nil"/>
              <w:bottom w:val="nil"/>
              <w:right w:val="nil"/>
            </w:tcBorders>
          </w:tcPr>
          <w:p w:rsidR="00155E7D" w:rsidRPr="00FD20B4" w:rsidRDefault="00155E7D" w:rsidP="00BA06C7">
            <w:pPr>
              <w:pStyle w:val="Box"/>
              <w:keepNext w:val="0"/>
              <w:spacing w:before="60" w:after="60" w:line="80" w:lineRule="exact"/>
              <w:rPr>
                <w:b/>
                <w:color w:val="FF00FF"/>
                <w:sz w:val="14"/>
              </w:rPr>
            </w:pPr>
          </w:p>
        </w:tc>
      </w:tr>
    </w:tbl>
    <w:p w:rsidR="00155E7D" w:rsidRPr="00FD20B4" w:rsidRDefault="00155E7D" w:rsidP="00155E7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55E7D" w:rsidRPr="00FD20B4" w:rsidTr="00BA06C7">
        <w:tc>
          <w:tcPr>
            <w:tcW w:w="8771" w:type="dxa"/>
            <w:tcBorders>
              <w:top w:val="single" w:sz="6" w:space="0" w:color="auto"/>
              <w:bottom w:val="nil"/>
            </w:tcBorders>
          </w:tcPr>
          <w:p w:rsidR="00155E7D" w:rsidRPr="00FD20B4" w:rsidRDefault="00155E7D" w:rsidP="00BA06C7">
            <w:pPr>
              <w:pStyle w:val="BoxTitle"/>
            </w:pPr>
            <w:r w:rsidRPr="00FD20B4">
              <w:rPr>
                <w:b w:val="0"/>
              </w:rPr>
              <w:t>Box 16.5</w:t>
            </w:r>
            <w:r w:rsidRPr="00FD20B4">
              <w:tab/>
            </w:r>
            <w:r w:rsidRPr="00FD20B4">
              <w:rPr>
                <w:sz w:val="18"/>
                <w:szCs w:val="18"/>
              </w:rPr>
              <w:t>(Continued)</w:t>
            </w:r>
          </w:p>
        </w:tc>
      </w:tr>
      <w:tr w:rsidR="00155E7D" w:rsidRPr="00FD20B4" w:rsidTr="00BA06C7">
        <w:trPr>
          <w:cantSplit/>
        </w:trPr>
        <w:tc>
          <w:tcPr>
            <w:tcW w:w="8771" w:type="dxa"/>
            <w:tcBorders>
              <w:top w:val="nil"/>
              <w:left w:val="single" w:sz="6" w:space="0" w:color="auto"/>
              <w:bottom w:val="nil"/>
              <w:right w:val="single" w:sz="4" w:space="0" w:color="auto"/>
            </w:tcBorders>
          </w:tcPr>
          <w:p w:rsidR="00155E7D" w:rsidRPr="00FD20B4" w:rsidRDefault="00155E7D" w:rsidP="00155E7D">
            <w:pPr>
              <w:pStyle w:val="Box"/>
              <w:rPr>
                <w:rStyle w:val="DraftingNote"/>
                <w:color w:val="auto"/>
              </w:rPr>
            </w:pPr>
            <w:r w:rsidRPr="00FD20B4">
              <w:t>Injuries resulting from a range of actions are captured as part of reporting for this indicator. Types of injuries include bruises, cuts or lacerations, open wounds, fractured or broken bones or teeth, burns or scalds, poisoning, dislocations and sprains, and concussions. Types of actions that constitute assaults include intentional acts of direct infliction of force and violence (for example, fist fights) and intentional acts of indirect and non</w:t>
            </w:r>
            <w:r w:rsidRPr="00FD20B4">
              <w:noBreakHyphen/>
              <w:t>confrontational force or violence (for example, administering illicit drugs or poison, spiking food or drink, and setting traps).</w:t>
            </w:r>
          </w:p>
          <w:p w:rsidR="00155E7D" w:rsidRPr="00FD20B4" w:rsidRDefault="00155E7D" w:rsidP="00155E7D">
            <w:pPr>
              <w:pStyle w:val="Box"/>
            </w:pPr>
            <w:r w:rsidRPr="00FD20B4">
              <w:t>A zero or low, or decreasing assaults in custody rate is desirable.</w:t>
            </w:r>
          </w:p>
          <w:p w:rsidR="00155E7D" w:rsidRPr="00FD20B4" w:rsidRDefault="00155E7D" w:rsidP="00155E7D">
            <w:pPr>
              <w:pStyle w:val="Box"/>
              <w:rPr>
                <w:rStyle w:val="DraftingNote"/>
                <w:b w:val="0"/>
                <w:color w:val="auto"/>
                <w:sz w:val="22"/>
                <w:u w:val="none"/>
              </w:rPr>
            </w:pPr>
            <w:r w:rsidRPr="00FD20B4">
              <w:rPr>
                <w:rStyle w:val="DraftingNote"/>
                <w:b w:val="0"/>
                <w:color w:val="auto"/>
                <w:sz w:val="22"/>
                <w:u w:val="none"/>
              </w:rPr>
              <w:t>Data reported for these measures are:</w:t>
            </w:r>
          </w:p>
          <w:p w:rsidR="00155E7D" w:rsidRPr="00FD20B4" w:rsidRDefault="00155E7D" w:rsidP="00155E7D">
            <w:pPr>
              <w:pStyle w:val="BoxListBullet"/>
              <w:numPr>
                <w:ilvl w:val="0"/>
                <w:numId w:val="17"/>
              </w:numPr>
              <w:rPr>
                <w:rStyle w:val="DraftingNote"/>
                <w:b w:val="0"/>
                <w:color w:val="auto"/>
                <w:sz w:val="22"/>
                <w:u w:val="none"/>
              </w:rPr>
            </w:pPr>
            <w:r w:rsidRPr="00FD20B4">
              <w:rPr>
                <w:rStyle w:val="DraftingNote"/>
                <w:b w:val="0"/>
                <w:color w:val="auto"/>
                <w:sz w:val="22"/>
                <w:u w:val="none"/>
              </w:rPr>
              <w:t>comparable (subject to caveats) within some jurisdictions over time but are not comparable across jurisdictions or over time for other jurisdictions (see caveats in attachment tables for specific jurisdictions)</w:t>
            </w:r>
          </w:p>
          <w:p w:rsidR="00155E7D" w:rsidRPr="00FD20B4" w:rsidRDefault="00155E7D" w:rsidP="00155E7D">
            <w:pPr>
              <w:pStyle w:val="BoxListBullet"/>
              <w:numPr>
                <w:ilvl w:val="0"/>
                <w:numId w:val="17"/>
              </w:numPr>
              <w:rPr>
                <w:rStyle w:val="DraftingNote"/>
                <w:b w:val="0"/>
                <w:color w:val="auto"/>
                <w:sz w:val="22"/>
                <w:u w:val="none"/>
              </w:rPr>
            </w:pPr>
            <w:r w:rsidRPr="00FD20B4">
              <w:rPr>
                <w:rStyle w:val="DraftingNote"/>
                <w:b w:val="0"/>
                <w:color w:val="auto"/>
                <w:sz w:val="22"/>
                <w:u w:val="none"/>
              </w:rPr>
              <w:t xml:space="preserve">incomplete for the current reporting period. All required data were not available for the following jurisdictions: no data were available for WA and data for assaults were not available for Victoria. </w:t>
            </w:r>
          </w:p>
          <w:p w:rsidR="00155E7D" w:rsidRPr="00FD20B4" w:rsidRDefault="00155E7D" w:rsidP="00155E7D">
            <w:pPr>
              <w:pStyle w:val="Box"/>
            </w:pPr>
            <w:r w:rsidRPr="00FD20B4">
              <w:rPr>
                <w:szCs w:val="22"/>
              </w:rPr>
              <w:t xml:space="preserve">Data quality information for this indicator is </w:t>
            </w:r>
            <w:r w:rsidRPr="00FD20B4">
              <w:t>at www.pc.gov.au/gsp/reports/rogs/2014.</w:t>
            </w:r>
          </w:p>
        </w:tc>
      </w:tr>
      <w:tr w:rsidR="00155E7D" w:rsidRPr="00FD20B4" w:rsidTr="00BA06C7">
        <w:trPr>
          <w:cantSplit/>
        </w:trPr>
        <w:tc>
          <w:tcPr>
            <w:tcW w:w="8771" w:type="dxa"/>
            <w:tcBorders>
              <w:top w:val="nil"/>
              <w:left w:val="single" w:sz="6" w:space="0" w:color="auto"/>
              <w:bottom w:val="single" w:sz="6" w:space="0" w:color="auto"/>
              <w:right w:val="single" w:sz="6" w:space="0" w:color="auto"/>
            </w:tcBorders>
          </w:tcPr>
          <w:p w:rsidR="00155E7D" w:rsidRPr="00FD20B4" w:rsidRDefault="00155E7D" w:rsidP="00BA06C7">
            <w:pPr>
              <w:pStyle w:val="Box"/>
              <w:spacing w:before="0" w:line="120" w:lineRule="exact"/>
            </w:pPr>
          </w:p>
        </w:tc>
      </w:tr>
      <w:tr w:rsidR="00155E7D" w:rsidRPr="00FD20B4" w:rsidTr="00BA06C7">
        <w:tc>
          <w:tcPr>
            <w:tcW w:w="8771" w:type="dxa"/>
            <w:tcBorders>
              <w:top w:val="nil"/>
              <w:left w:val="nil"/>
              <w:bottom w:val="nil"/>
              <w:right w:val="nil"/>
            </w:tcBorders>
          </w:tcPr>
          <w:p w:rsidR="00155E7D" w:rsidRPr="00FD20B4" w:rsidRDefault="00155E7D" w:rsidP="00BA06C7">
            <w:pPr>
              <w:pStyle w:val="Box"/>
              <w:keepNext w:val="0"/>
              <w:spacing w:before="60" w:after="60" w:line="80" w:lineRule="exact"/>
              <w:rPr>
                <w:b/>
                <w:color w:val="FF00FF"/>
                <w:sz w:val="14"/>
              </w:rPr>
            </w:pPr>
          </w:p>
        </w:tc>
      </w:tr>
    </w:tbl>
    <w:p w:rsidR="00AA4E65" w:rsidRPr="00FD20B4" w:rsidRDefault="00AA4E65" w:rsidP="00AA4E65">
      <w:pPr>
        <w:pStyle w:val="BodyText"/>
      </w:pPr>
      <w:r w:rsidRPr="00FD20B4">
        <w:t>Nationally, 5 detainees were reported as injured in custody due to a serious assault in 2012-13 (table 16.2). Nationally, 4 staff were reported as injured due to a serious assault in 2012-13 (table 16.3). The proportions of young people and staff injured in custody due to a serious assault varied across jurisdictions.</w:t>
      </w:r>
    </w:p>
    <w:p w:rsidR="00AA4E65" w:rsidRPr="00FD20B4" w:rsidRDefault="00AA4E65" w:rsidP="00AA4E65">
      <w:pPr>
        <w:pStyle w:val="TableTitle"/>
        <w:rPr>
          <w:bCs/>
        </w:rPr>
      </w:pPr>
      <w:r w:rsidRPr="00FD20B4">
        <w:rPr>
          <w:b w:val="0"/>
        </w:rPr>
        <w:t>Table 16.2</w:t>
      </w:r>
      <w:r w:rsidRPr="00FD20B4">
        <w:tab/>
        <w:t>N</w:t>
      </w:r>
      <w:r w:rsidRPr="00FD20B4">
        <w:rPr>
          <w:bCs/>
        </w:rPr>
        <w:t>umber and rate of young people injured as a result of a serious assault, by Indigenous status, 2012-13</w:t>
      </w:r>
      <w:r w:rsidRPr="00FD20B4">
        <w:rPr>
          <w:rStyle w:val="NoteLabel"/>
          <w:b/>
        </w:rPr>
        <w:t>a, b</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AA4E65" w:rsidRPr="00FD20B4" w:rsidTr="00BA06C7">
        <w:tc>
          <w:tcPr>
            <w:tcW w:w="1550" w:type="pct"/>
            <w:tcBorders>
              <w:top w:val="single" w:sz="6" w:space="0" w:color="auto"/>
              <w:bottom w:val="single" w:sz="6" w:space="0" w:color="auto"/>
            </w:tcBorders>
          </w:tcPr>
          <w:p w:rsidR="00AA4E65" w:rsidRPr="00FD20B4" w:rsidRDefault="00AA4E65" w:rsidP="00BA06C7">
            <w:pPr>
              <w:pStyle w:val="TableColumnHeading"/>
              <w:jc w:val="left"/>
            </w:pP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NSW</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Vic</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Qld</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WA</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SA</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Tas</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ACT</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NT</w:t>
            </w:r>
          </w:p>
        </w:tc>
      </w:tr>
      <w:tr w:rsidR="00AA4E65" w:rsidRPr="00FD20B4" w:rsidTr="00BA06C7">
        <w:tc>
          <w:tcPr>
            <w:tcW w:w="1550" w:type="pct"/>
          </w:tcPr>
          <w:p w:rsidR="00AA4E65" w:rsidRPr="00FD20B4" w:rsidRDefault="00AA4E65" w:rsidP="00BA06C7">
            <w:pPr>
              <w:pStyle w:val="TableBodyText"/>
              <w:jc w:val="left"/>
              <w:rPr>
                <w:b/>
              </w:rPr>
            </w:pPr>
            <w:r w:rsidRPr="00FD20B4">
              <w:rPr>
                <w:b/>
              </w:rPr>
              <w:t>Number of young people injured as a result of a serious assault</w:t>
            </w: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r>
      <w:tr w:rsidR="00AA4E65" w:rsidRPr="00FD20B4" w:rsidTr="00BA06C7">
        <w:tc>
          <w:tcPr>
            <w:tcW w:w="1550" w:type="pct"/>
          </w:tcPr>
          <w:p w:rsidR="00AA4E65" w:rsidRPr="00FD20B4" w:rsidRDefault="00AA4E65" w:rsidP="00BA06C7">
            <w:pPr>
              <w:pStyle w:val="TableBodyText"/>
              <w:ind w:left="284"/>
              <w:jc w:val="left"/>
            </w:pPr>
            <w:r w:rsidRPr="00FD20B4">
              <w:t>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1.0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Non-Indigenous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4.0</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Unknown</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Total</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4.0</w:t>
            </w:r>
          </w:p>
        </w:tc>
        <w:tc>
          <w:tcPr>
            <w:tcW w:w="431" w:type="pct"/>
            <w:vAlign w:val="center"/>
          </w:tcPr>
          <w:p w:rsidR="00AA4E65" w:rsidRPr="00FD20B4" w:rsidRDefault="00AA4E65" w:rsidP="00BA06C7">
            <w:pPr>
              <w:pStyle w:val="TableBodyText"/>
            </w:pPr>
            <w:r w:rsidRPr="00FD20B4">
              <w:t>1.0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right="0"/>
              <w:jc w:val="left"/>
              <w:rPr>
                <w:b/>
              </w:rPr>
            </w:pPr>
            <w:r w:rsidRPr="00FD20B4">
              <w:rPr>
                <w:b/>
              </w:rPr>
              <w:t>Rate per 10 000 custody nights</w:t>
            </w: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r>
      <w:tr w:rsidR="00AA4E65" w:rsidRPr="00FD20B4" w:rsidTr="00BA06C7">
        <w:tc>
          <w:tcPr>
            <w:tcW w:w="1550" w:type="pct"/>
          </w:tcPr>
          <w:p w:rsidR="00AA4E65" w:rsidRPr="00FD20B4" w:rsidRDefault="00AA4E65" w:rsidP="00BA06C7">
            <w:pPr>
              <w:pStyle w:val="TableBodyText"/>
              <w:ind w:left="284"/>
              <w:jc w:val="left"/>
            </w:pPr>
            <w:r w:rsidRPr="00FD20B4">
              <w:t>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0.3</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Non-Indigenous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0.7</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Unknown</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Borders>
              <w:bottom w:val="single" w:sz="4" w:space="0" w:color="auto"/>
            </w:tcBorders>
          </w:tcPr>
          <w:p w:rsidR="00AA4E65" w:rsidRPr="00FD20B4" w:rsidRDefault="00AA4E65" w:rsidP="00BA06C7">
            <w:pPr>
              <w:pStyle w:val="TableBodyText"/>
              <w:ind w:left="284"/>
              <w:jc w:val="left"/>
            </w:pPr>
            <w:r w:rsidRPr="00FD20B4">
              <w:t>Total</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0.7</w:t>
            </w:r>
          </w:p>
        </w:tc>
        <w:tc>
          <w:tcPr>
            <w:tcW w:w="431" w:type="pct"/>
            <w:tcBorders>
              <w:bottom w:val="single" w:sz="4" w:space="0" w:color="auto"/>
            </w:tcBorders>
            <w:vAlign w:val="center"/>
          </w:tcPr>
          <w:p w:rsidR="00AA4E65" w:rsidRPr="00FD20B4" w:rsidRDefault="00AA4E65" w:rsidP="00BA06C7">
            <w:pPr>
              <w:pStyle w:val="TableBodyText"/>
            </w:pPr>
            <w:r w:rsidRPr="00FD20B4">
              <w:t>0.2</w:t>
            </w:r>
          </w:p>
        </w:tc>
        <w:tc>
          <w:tcPr>
            <w:tcW w:w="431" w:type="pct"/>
            <w:tcBorders>
              <w:bottom w:val="single" w:sz="4" w:space="0" w:color="auto"/>
            </w:tcBorders>
            <w:vAlign w:val="center"/>
          </w:tcPr>
          <w:p w:rsidR="00AA4E65" w:rsidRPr="00FD20B4" w:rsidRDefault="00AA4E65" w:rsidP="00BA06C7">
            <w:pPr>
              <w:pStyle w:val="TableBodyText"/>
            </w:pPr>
            <w:r w:rsidRPr="00FD20B4">
              <w:t>na</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w:t>
            </w:r>
          </w:p>
        </w:tc>
      </w:tr>
    </w:tbl>
    <w:p w:rsidR="00AA4E65" w:rsidRPr="00FD20B4" w:rsidRDefault="00AA4E65" w:rsidP="00AA4E65">
      <w:pPr>
        <w:pStyle w:val="Note"/>
      </w:pPr>
      <w:r w:rsidRPr="00FD20B4">
        <w:rPr>
          <w:rStyle w:val="NoteLabel"/>
        </w:rPr>
        <w:t xml:space="preserve">a </w:t>
      </w:r>
      <w:r w:rsidRPr="00FD20B4">
        <w:t xml:space="preserve">Data were not available for WA. </w:t>
      </w:r>
      <w:r w:rsidRPr="00FD20B4">
        <w:rPr>
          <w:rStyle w:val="NoteLabel"/>
        </w:rPr>
        <w:t>b</w:t>
      </w:r>
      <w:r w:rsidRPr="00FD20B4">
        <w:t xml:space="preserve"> Refer to table 16A.18 for detailed footnotes. </w:t>
      </w:r>
      <w:r w:rsidRPr="00FD20B4">
        <w:rPr>
          <w:b/>
        </w:rPr>
        <w:t>na</w:t>
      </w:r>
      <w:r w:rsidRPr="00FD20B4">
        <w:t xml:space="preserve"> Not available. </w:t>
      </w:r>
      <w:r w:rsidRPr="00FD20B4">
        <w:br/>
        <w:t>– Nil or rounded to zero.</w:t>
      </w:r>
    </w:p>
    <w:p w:rsidR="00AA4E65" w:rsidRPr="00FD20B4" w:rsidRDefault="00AA4E65" w:rsidP="00AA4E65">
      <w:pPr>
        <w:pStyle w:val="BoxSource"/>
        <w:spacing w:before="80" w:after="120"/>
      </w:pPr>
      <w:r w:rsidRPr="00FD20B4">
        <w:rPr>
          <w:i/>
        </w:rPr>
        <w:t>Source</w:t>
      </w:r>
      <w:r w:rsidRPr="00FD20B4">
        <w:t>: State and Territory governments (unpublished); table 16A.18; 2014 Report, table 16.2, p. 15.29.</w:t>
      </w:r>
    </w:p>
    <w:p w:rsidR="00AA4E65" w:rsidRPr="00FD20B4" w:rsidRDefault="00AA4E65" w:rsidP="00AA4E65">
      <w:pPr>
        <w:pStyle w:val="TableTitle"/>
        <w:rPr>
          <w:bCs/>
        </w:rPr>
      </w:pPr>
      <w:r w:rsidRPr="00FD20B4">
        <w:rPr>
          <w:b w:val="0"/>
        </w:rPr>
        <w:lastRenderedPageBreak/>
        <w:t>Table 16.3</w:t>
      </w:r>
      <w:r w:rsidRPr="00FD20B4">
        <w:tab/>
        <w:t>N</w:t>
      </w:r>
      <w:r w:rsidRPr="00FD20B4">
        <w:rPr>
          <w:bCs/>
        </w:rPr>
        <w:t>umber and rate of staff injured as a result of a serious assault, by Indigenous status, 2012-13</w:t>
      </w:r>
      <w:r w:rsidRPr="00FD20B4">
        <w:rPr>
          <w:rStyle w:val="NoteLabel"/>
          <w:b/>
        </w:rPr>
        <w:t>a, b</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AA4E65" w:rsidRPr="00FD20B4" w:rsidTr="00BA06C7">
        <w:tc>
          <w:tcPr>
            <w:tcW w:w="1550" w:type="pct"/>
            <w:tcBorders>
              <w:top w:val="single" w:sz="6" w:space="0" w:color="auto"/>
              <w:bottom w:val="single" w:sz="6" w:space="0" w:color="auto"/>
            </w:tcBorders>
          </w:tcPr>
          <w:p w:rsidR="00AA4E65" w:rsidRPr="00FD20B4" w:rsidRDefault="00AA4E65" w:rsidP="00BA06C7">
            <w:pPr>
              <w:pStyle w:val="TableColumnHeading"/>
              <w:jc w:val="left"/>
            </w:pP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NSW</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Vic</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Qld</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WA</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SA</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Tas</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ACT</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NT</w:t>
            </w:r>
          </w:p>
        </w:tc>
      </w:tr>
      <w:tr w:rsidR="00AA4E65" w:rsidRPr="00FD20B4" w:rsidTr="00BA06C7">
        <w:tc>
          <w:tcPr>
            <w:tcW w:w="1550" w:type="pct"/>
          </w:tcPr>
          <w:p w:rsidR="00AA4E65" w:rsidRPr="00FD20B4" w:rsidRDefault="00AA4E65" w:rsidP="00BA06C7">
            <w:pPr>
              <w:pStyle w:val="TableBodyText"/>
              <w:jc w:val="left"/>
              <w:rPr>
                <w:b/>
              </w:rPr>
            </w:pPr>
            <w:r w:rsidRPr="00FD20B4">
              <w:rPr>
                <w:b/>
              </w:rPr>
              <w:t>Number of staff injured as a result of a serious assault</w:t>
            </w: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r>
      <w:tr w:rsidR="00AA4E65" w:rsidRPr="00FD20B4" w:rsidTr="00BA06C7">
        <w:tc>
          <w:tcPr>
            <w:tcW w:w="1550" w:type="pct"/>
          </w:tcPr>
          <w:p w:rsidR="00AA4E65" w:rsidRPr="00FD20B4" w:rsidRDefault="00AA4E65" w:rsidP="00BA06C7">
            <w:pPr>
              <w:pStyle w:val="TableBodyText"/>
              <w:ind w:left="284"/>
              <w:jc w:val="left"/>
            </w:pPr>
            <w:r w:rsidRPr="00FD20B4">
              <w:t>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Non-Indigenous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1.0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Unknown</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3.0</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Total</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3.0</w:t>
            </w:r>
          </w:p>
        </w:tc>
        <w:tc>
          <w:tcPr>
            <w:tcW w:w="431" w:type="pct"/>
            <w:vAlign w:val="center"/>
          </w:tcPr>
          <w:p w:rsidR="00AA4E65" w:rsidRPr="00FD20B4" w:rsidRDefault="00AA4E65" w:rsidP="00BA06C7">
            <w:pPr>
              <w:pStyle w:val="TableBodyText"/>
            </w:pPr>
            <w:r w:rsidRPr="00FD20B4">
              <w:t>1.0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right="0"/>
              <w:jc w:val="left"/>
              <w:rPr>
                <w:b/>
              </w:rPr>
            </w:pPr>
            <w:r w:rsidRPr="00FD20B4">
              <w:rPr>
                <w:b/>
              </w:rPr>
              <w:t>Rate per 10 000 custody nights</w:t>
            </w: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r>
      <w:tr w:rsidR="00AA4E65" w:rsidRPr="00FD20B4" w:rsidTr="00BA06C7">
        <w:tc>
          <w:tcPr>
            <w:tcW w:w="1550" w:type="pct"/>
          </w:tcPr>
          <w:p w:rsidR="00AA4E65" w:rsidRPr="00FD20B4" w:rsidRDefault="00AA4E65" w:rsidP="00BA06C7">
            <w:pPr>
              <w:pStyle w:val="TableBodyText"/>
              <w:ind w:left="284"/>
              <w:jc w:val="left"/>
            </w:pPr>
            <w:r w:rsidRPr="00FD20B4">
              <w:t>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Non-Indigenous</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0.5</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Unknown</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Borders>
              <w:bottom w:val="single" w:sz="4" w:space="0" w:color="auto"/>
            </w:tcBorders>
          </w:tcPr>
          <w:p w:rsidR="00AA4E65" w:rsidRPr="00FD20B4" w:rsidRDefault="00AA4E65" w:rsidP="00BA06C7">
            <w:pPr>
              <w:pStyle w:val="TableBodyText"/>
              <w:ind w:left="284"/>
              <w:jc w:val="left"/>
            </w:pPr>
            <w:r w:rsidRPr="00FD20B4">
              <w:t>Total</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0.5</w:t>
            </w:r>
          </w:p>
        </w:tc>
        <w:tc>
          <w:tcPr>
            <w:tcW w:w="431" w:type="pct"/>
            <w:tcBorders>
              <w:bottom w:val="single" w:sz="4" w:space="0" w:color="auto"/>
            </w:tcBorders>
            <w:vAlign w:val="center"/>
          </w:tcPr>
          <w:p w:rsidR="00AA4E65" w:rsidRPr="00FD20B4" w:rsidRDefault="00AA4E65" w:rsidP="00BA06C7">
            <w:pPr>
              <w:pStyle w:val="TableBodyText"/>
            </w:pPr>
            <w:r w:rsidRPr="00FD20B4">
              <w:t>0.2</w:t>
            </w:r>
          </w:p>
        </w:tc>
        <w:tc>
          <w:tcPr>
            <w:tcW w:w="431" w:type="pct"/>
            <w:tcBorders>
              <w:bottom w:val="single" w:sz="4" w:space="0" w:color="auto"/>
            </w:tcBorders>
            <w:vAlign w:val="center"/>
          </w:tcPr>
          <w:p w:rsidR="00AA4E65" w:rsidRPr="00FD20B4" w:rsidRDefault="00AA4E65" w:rsidP="00BA06C7">
            <w:pPr>
              <w:pStyle w:val="TableBodyText"/>
            </w:pPr>
            <w:r w:rsidRPr="00FD20B4">
              <w:t>na</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w:t>
            </w:r>
          </w:p>
        </w:tc>
        <w:tc>
          <w:tcPr>
            <w:tcW w:w="431" w:type="pct"/>
            <w:tcBorders>
              <w:bottom w:val="single" w:sz="4" w:space="0" w:color="auto"/>
            </w:tcBorders>
            <w:vAlign w:val="center"/>
          </w:tcPr>
          <w:p w:rsidR="00AA4E65" w:rsidRPr="00FD20B4" w:rsidRDefault="00AA4E65" w:rsidP="00BA06C7">
            <w:pPr>
              <w:pStyle w:val="TableBodyText"/>
            </w:pPr>
            <w:r w:rsidRPr="00FD20B4">
              <w:t>–</w:t>
            </w:r>
          </w:p>
        </w:tc>
      </w:tr>
    </w:tbl>
    <w:p w:rsidR="00AA4E65" w:rsidRPr="00FD20B4" w:rsidRDefault="00AA4E65" w:rsidP="00AA4E65">
      <w:pPr>
        <w:pStyle w:val="Note"/>
      </w:pPr>
      <w:r w:rsidRPr="00FD20B4">
        <w:rPr>
          <w:rStyle w:val="NoteLabel"/>
        </w:rPr>
        <w:t xml:space="preserve">a </w:t>
      </w:r>
      <w:r w:rsidRPr="00FD20B4">
        <w:t xml:space="preserve">Data were not available for WA. </w:t>
      </w:r>
      <w:r w:rsidRPr="00FD20B4">
        <w:rPr>
          <w:rStyle w:val="NoteLabel"/>
        </w:rPr>
        <w:t>b</w:t>
      </w:r>
      <w:r w:rsidRPr="00FD20B4">
        <w:t xml:space="preserve"> Refer to table 16A.18 for detailed footnotes. </w:t>
      </w:r>
      <w:r w:rsidRPr="00FD20B4">
        <w:rPr>
          <w:b/>
        </w:rPr>
        <w:t>na</w:t>
      </w:r>
      <w:r w:rsidRPr="00FD20B4">
        <w:t xml:space="preserve"> Not available. </w:t>
      </w:r>
      <w:r w:rsidRPr="00FD20B4">
        <w:br/>
        <w:t>– Nil or rounded to zero.</w:t>
      </w:r>
    </w:p>
    <w:p w:rsidR="00AA4E65" w:rsidRPr="00FD20B4" w:rsidRDefault="00AA4E65" w:rsidP="00AA4E65">
      <w:pPr>
        <w:pStyle w:val="BoxSource"/>
        <w:spacing w:before="80" w:after="120"/>
      </w:pPr>
      <w:r w:rsidRPr="00FD20B4">
        <w:rPr>
          <w:i/>
        </w:rPr>
        <w:t>Source</w:t>
      </w:r>
      <w:r w:rsidRPr="00FD20B4">
        <w:t>: State and Territory governments (unpublished); table 16A.18; 2014 Report, table 16.3, p. 15.29.</w:t>
      </w:r>
    </w:p>
    <w:p w:rsidR="00AA4E65" w:rsidRPr="00FD20B4" w:rsidRDefault="00AA4E65" w:rsidP="00AA4E65">
      <w:pPr>
        <w:pStyle w:val="BodyText"/>
      </w:pPr>
      <w:r w:rsidRPr="00FD20B4">
        <w:t>Nationally, 83 detainees were reported as injured in custody due to an assault in 2012-13 (table 16.4). Proportions varied across jurisdictions.</w:t>
      </w:r>
    </w:p>
    <w:p w:rsidR="00AA4E65" w:rsidRPr="00FD20B4" w:rsidRDefault="00AA4E65" w:rsidP="00AA4E65">
      <w:pPr>
        <w:pStyle w:val="TableTitle"/>
        <w:rPr>
          <w:bCs/>
        </w:rPr>
      </w:pPr>
      <w:r w:rsidRPr="00FD20B4">
        <w:rPr>
          <w:b w:val="0"/>
        </w:rPr>
        <w:t>Table 16.4</w:t>
      </w:r>
      <w:r w:rsidRPr="00FD20B4">
        <w:tab/>
        <w:t>N</w:t>
      </w:r>
      <w:r w:rsidRPr="00FD20B4">
        <w:rPr>
          <w:bCs/>
        </w:rPr>
        <w:t>umber and rate of detainees injured as a result of an assault, by Indigenous status, 2012-13</w:t>
      </w:r>
      <w:r w:rsidRPr="00FD20B4">
        <w:rPr>
          <w:rStyle w:val="NoteLabel"/>
          <w:b/>
        </w:rPr>
        <w:t>a, b, c</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AA4E65" w:rsidRPr="00FD20B4" w:rsidTr="00BA06C7">
        <w:tc>
          <w:tcPr>
            <w:tcW w:w="1550" w:type="pct"/>
            <w:tcBorders>
              <w:top w:val="single" w:sz="6" w:space="0" w:color="auto"/>
              <w:bottom w:val="single" w:sz="6" w:space="0" w:color="auto"/>
            </w:tcBorders>
          </w:tcPr>
          <w:p w:rsidR="00AA4E65" w:rsidRPr="00FD20B4" w:rsidRDefault="00AA4E65" w:rsidP="00BA06C7">
            <w:pPr>
              <w:pStyle w:val="TableColumnHeading"/>
              <w:jc w:val="left"/>
            </w:pP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NSW</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Vic</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Qld</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WA</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SA</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Tas</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ACT</w:t>
            </w:r>
          </w:p>
        </w:tc>
        <w:tc>
          <w:tcPr>
            <w:tcW w:w="431"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NT</w:t>
            </w:r>
          </w:p>
        </w:tc>
      </w:tr>
      <w:tr w:rsidR="00AA4E65" w:rsidRPr="00FD20B4" w:rsidTr="00BA06C7">
        <w:tc>
          <w:tcPr>
            <w:tcW w:w="1550" w:type="pct"/>
          </w:tcPr>
          <w:p w:rsidR="00AA4E65" w:rsidRPr="00FD20B4" w:rsidRDefault="00AA4E65" w:rsidP="00BA06C7">
            <w:pPr>
              <w:pStyle w:val="TableBodyText"/>
              <w:jc w:val="left"/>
              <w:rPr>
                <w:b/>
              </w:rPr>
            </w:pPr>
            <w:r w:rsidRPr="00FD20B4">
              <w:rPr>
                <w:b/>
              </w:rPr>
              <w:t>Number of detainees injured as a result of an assault</w:t>
            </w: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r>
      <w:tr w:rsidR="00AA4E65" w:rsidRPr="00FD20B4" w:rsidTr="00BA06C7">
        <w:tc>
          <w:tcPr>
            <w:tcW w:w="1550" w:type="pct"/>
          </w:tcPr>
          <w:p w:rsidR="00AA4E65" w:rsidRPr="00FD20B4" w:rsidRDefault="00AA4E65" w:rsidP="00BA06C7">
            <w:pPr>
              <w:pStyle w:val="TableBodyText"/>
              <w:ind w:left="284"/>
              <w:jc w:val="left"/>
            </w:pPr>
            <w:r w:rsidRPr="00FD20B4">
              <w:t>Indigenous</w:t>
            </w:r>
          </w:p>
        </w:tc>
        <w:tc>
          <w:tcPr>
            <w:tcW w:w="431" w:type="pct"/>
            <w:vAlign w:val="center"/>
          </w:tcPr>
          <w:p w:rsidR="00AA4E65" w:rsidRPr="00FD20B4" w:rsidRDefault="00AA4E65" w:rsidP="00BA06C7">
            <w:pPr>
              <w:pStyle w:val="TableBodyText"/>
            </w:pPr>
            <w:r w:rsidRPr="00FD20B4">
              <w:t>8.0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10.0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7.0</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6.0</w:t>
            </w:r>
          </w:p>
        </w:tc>
      </w:tr>
      <w:tr w:rsidR="00AA4E65" w:rsidRPr="00FD20B4" w:rsidTr="00BA06C7">
        <w:tc>
          <w:tcPr>
            <w:tcW w:w="1550" w:type="pct"/>
          </w:tcPr>
          <w:p w:rsidR="00AA4E65" w:rsidRPr="00FD20B4" w:rsidRDefault="00AA4E65" w:rsidP="00BA06C7">
            <w:pPr>
              <w:pStyle w:val="TableBodyText"/>
              <w:ind w:left="284"/>
              <w:jc w:val="left"/>
            </w:pPr>
            <w:r w:rsidRPr="00FD20B4">
              <w:t>Non-Indigenous</w:t>
            </w:r>
          </w:p>
        </w:tc>
        <w:tc>
          <w:tcPr>
            <w:tcW w:w="431" w:type="pct"/>
            <w:vAlign w:val="center"/>
          </w:tcPr>
          <w:p w:rsidR="00AA4E65" w:rsidRPr="00FD20B4" w:rsidRDefault="00AA4E65" w:rsidP="00BA06C7">
            <w:pPr>
              <w:pStyle w:val="TableBodyText"/>
            </w:pPr>
            <w:r w:rsidRPr="00FD20B4">
              <w:t>4.0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8.0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26.0</w:t>
            </w:r>
          </w:p>
        </w:tc>
        <w:tc>
          <w:tcPr>
            <w:tcW w:w="431" w:type="pct"/>
            <w:vAlign w:val="center"/>
          </w:tcPr>
          <w:p w:rsidR="00AA4E65" w:rsidRPr="00FD20B4" w:rsidRDefault="00AA4E65" w:rsidP="00BA06C7">
            <w:pPr>
              <w:pStyle w:val="TableBodyText"/>
            </w:pPr>
            <w:r w:rsidRPr="00FD20B4">
              <w:t>12.0</w:t>
            </w:r>
          </w:p>
        </w:tc>
        <w:tc>
          <w:tcPr>
            <w:tcW w:w="431" w:type="pct"/>
            <w:vAlign w:val="center"/>
          </w:tcPr>
          <w:p w:rsidR="00AA4E65" w:rsidRPr="00FD20B4" w:rsidRDefault="00AA4E65" w:rsidP="00BA06C7">
            <w:pPr>
              <w:pStyle w:val="TableBodyText"/>
            </w:pPr>
            <w:r w:rsidRPr="00FD20B4">
              <w:t>2.0</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Unknown</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Total</w:t>
            </w:r>
          </w:p>
        </w:tc>
        <w:tc>
          <w:tcPr>
            <w:tcW w:w="431" w:type="pct"/>
            <w:vAlign w:val="center"/>
          </w:tcPr>
          <w:p w:rsidR="00AA4E65" w:rsidRPr="00FD20B4" w:rsidRDefault="00AA4E65" w:rsidP="00BA06C7">
            <w:pPr>
              <w:pStyle w:val="TableBodyText"/>
            </w:pPr>
            <w:r w:rsidRPr="00FD20B4">
              <w:t>12.0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18.0</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33.0</w:t>
            </w:r>
          </w:p>
        </w:tc>
        <w:tc>
          <w:tcPr>
            <w:tcW w:w="431" w:type="pct"/>
            <w:vAlign w:val="center"/>
          </w:tcPr>
          <w:p w:rsidR="00AA4E65" w:rsidRPr="00FD20B4" w:rsidRDefault="00AA4E65" w:rsidP="00BA06C7">
            <w:pPr>
              <w:pStyle w:val="TableBodyText"/>
            </w:pPr>
            <w:r w:rsidRPr="00FD20B4">
              <w:t>12.0</w:t>
            </w:r>
          </w:p>
        </w:tc>
        <w:tc>
          <w:tcPr>
            <w:tcW w:w="431" w:type="pct"/>
            <w:vAlign w:val="center"/>
          </w:tcPr>
          <w:p w:rsidR="00AA4E65" w:rsidRPr="00FD20B4" w:rsidRDefault="00AA4E65" w:rsidP="00BA06C7">
            <w:pPr>
              <w:pStyle w:val="TableBodyText"/>
            </w:pPr>
            <w:r w:rsidRPr="00FD20B4">
              <w:t>2.0</w:t>
            </w:r>
          </w:p>
        </w:tc>
        <w:tc>
          <w:tcPr>
            <w:tcW w:w="431" w:type="pct"/>
            <w:vAlign w:val="center"/>
          </w:tcPr>
          <w:p w:rsidR="00AA4E65" w:rsidRPr="00FD20B4" w:rsidRDefault="00AA4E65" w:rsidP="00BA06C7">
            <w:pPr>
              <w:pStyle w:val="TableBodyText"/>
            </w:pPr>
            <w:r w:rsidRPr="00FD20B4">
              <w:t>6.0</w:t>
            </w:r>
          </w:p>
        </w:tc>
      </w:tr>
      <w:tr w:rsidR="00AA4E65" w:rsidRPr="00FD20B4" w:rsidTr="00BA06C7">
        <w:tc>
          <w:tcPr>
            <w:tcW w:w="1550" w:type="pct"/>
          </w:tcPr>
          <w:p w:rsidR="00AA4E65" w:rsidRPr="00FD20B4" w:rsidRDefault="00AA4E65" w:rsidP="00BA06C7">
            <w:pPr>
              <w:pStyle w:val="TableBodyText"/>
              <w:ind w:right="0"/>
              <w:jc w:val="left"/>
              <w:rPr>
                <w:b/>
              </w:rPr>
            </w:pPr>
            <w:r w:rsidRPr="00FD20B4">
              <w:rPr>
                <w:b/>
              </w:rPr>
              <w:t>Rate per 10 000 custody nights</w:t>
            </w: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c>
          <w:tcPr>
            <w:tcW w:w="431" w:type="pct"/>
            <w:vAlign w:val="center"/>
          </w:tcPr>
          <w:p w:rsidR="00AA4E65" w:rsidRPr="00FD20B4" w:rsidRDefault="00AA4E65" w:rsidP="00BA06C7">
            <w:pPr>
              <w:pStyle w:val="TableBodyText"/>
            </w:pPr>
          </w:p>
        </w:tc>
      </w:tr>
      <w:tr w:rsidR="00AA4E65" w:rsidRPr="00FD20B4" w:rsidTr="00BA06C7">
        <w:tc>
          <w:tcPr>
            <w:tcW w:w="1550" w:type="pct"/>
          </w:tcPr>
          <w:p w:rsidR="00AA4E65" w:rsidRPr="00FD20B4" w:rsidRDefault="00AA4E65" w:rsidP="00BA06C7">
            <w:pPr>
              <w:pStyle w:val="TableBodyText"/>
              <w:ind w:left="284"/>
              <w:jc w:val="left"/>
            </w:pPr>
            <w:r w:rsidRPr="00FD20B4">
              <w:t>Indigenous</w:t>
            </w:r>
          </w:p>
        </w:tc>
        <w:tc>
          <w:tcPr>
            <w:tcW w:w="431" w:type="pct"/>
            <w:vAlign w:val="center"/>
          </w:tcPr>
          <w:p w:rsidR="00AA4E65" w:rsidRPr="00FD20B4" w:rsidRDefault="00AA4E65" w:rsidP="00BA06C7">
            <w:pPr>
              <w:pStyle w:val="TableBodyText"/>
            </w:pPr>
            <w:r w:rsidRPr="00FD20B4">
              <w:t>1.3</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2.6</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7.4</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3.5</w:t>
            </w:r>
          </w:p>
        </w:tc>
      </w:tr>
      <w:tr w:rsidR="00AA4E65" w:rsidRPr="00FD20B4" w:rsidTr="00BA06C7">
        <w:tc>
          <w:tcPr>
            <w:tcW w:w="1550" w:type="pct"/>
          </w:tcPr>
          <w:p w:rsidR="00AA4E65" w:rsidRPr="00FD20B4" w:rsidRDefault="00AA4E65" w:rsidP="00BA06C7">
            <w:pPr>
              <w:pStyle w:val="TableBodyText"/>
              <w:ind w:left="284"/>
              <w:jc w:val="left"/>
            </w:pPr>
            <w:r w:rsidRPr="00FD20B4">
              <w:t>Non-Indigenous</w:t>
            </w:r>
          </w:p>
        </w:tc>
        <w:tc>
          <w:tcPr>
            <w:tcW w:w="431" w:type="pct"/>
            <w:vAlign w:val="center"/>
          </w:tcPr>
          <w:p w:rsidR="00AA4E65" w:rsidRPr="00FD20B4" w:rsidRDefault="00AA4E65" w:rsidP="00BA06C7">
            <w:pPr>
              <w:pStyle w:val="TableBodyText"/>
            </w:pPr>
            <w:r w:rsidRPr="00FD20B4">
              <w:t>0.7</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4.1</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21.6</w:t>
            </w:r>
          </w:p>
        </w:tc>
        <w:tc>
          <w:tcPr>
            <w:tcW w:w="431" w:type="pct"/>
            <w:vAlign w:val="center"/>
          </w:tcPr>
          <w:p w:rsidR="00AA4E65" w:rsidRPr="00FD20B4" w:rsidRDefault="00AA4E65" w:rsidP="00BA06C7">
            <w:pPr>
              <w:pStyle w:val="TableBodyText"/>
            </w:pPr>
            <w:r w:rsidRPr="00FD20B4">
              <w:t>18.6</w:t>
            </w:r>
          </w:p>
        </w:tc>
        <w:tc>
          <w:tcPr>
            <w:tcW w:w="431" w:type="pct"/>
            <w:vAlign w:val="center"/>
          </w:tcPr>
          <w:p w:rsidR="00AA4E65" w:rsidRPr="00FD20B4" w:rsidRDefault="00AA4E65" w:rsidP="00BA06C7">
            <w:pPr>
              <w:pStyle w:val="TableBodyText"/>
            </w:pPr>
            <w:r w:rsidRPr="00FD20B4">
              <w:t>4.1</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Pr>
          <w:p w:rsidR="00AA4E65" w:rsidRPr="00FD20B4" w:rsidRDefault="00AA4E65" w:rsidP="00BA06C7">
            <w:pPr>
              <w:pStyle w:val="TableBodyText"/>
              <w:ind w:left="284"/>
              <w:jc w:val="left"/>
            </w:pPr>
            <w:r w:rsidRPr="00FD20B4">
              <w:t>Unknown</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na</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c>
          <w:tcPr>
            <w:tcW w:w="431" w:type="pct"/>
            <w:vAlign w:val="center"/>
          </w:tcPr>
          <w:p w:rsidR="00AA4E65" w:rsidRPr="00FD20B4" w:rsidRDefault="00AA4E65" w:rsidP="00BA06C7">
            <w:pPr>
              <w:pStyle w:val="TableBodyText"/>
            </w:pPr>
            <w:r w:rsidRPr="00FD20B4">
              <w:t>–</w:t>
            </w:r>
          </w:p>
        </w:tc>
      </w:tr>
      <w:tr w:rsidR="00AA4E65" w:rsidRPr="00FD20B4" w:rsidTr="00BA06C7">
        <w:tc>
          <w:tcPr>
            <w:tcW w:w="1550" w:type="pct"/>
            <w:tcBorders>
              <w:bottom w:val="single" w:sz="4" w:space="0" w:color="auto"/>
            </w:tcBorders>
          </w:tcPr>
          <w:p w:rsidR="00AA4E65" w:rsidRPr="00FD20B4" w:rsidRDefault="00AA4E65" w:rsidP="00BA06C7">
            <w:pPr>
              <w:pStyle w:val="TableBodyText"/>
              <w:ind w:left="284"/>
              <w:jc w:val="left"/>
            </w:pPr>
            <w:r w:rsidRPr="00FD20B4">
              <w:t>Total</w:t>
            </w:r>
          </w:p>
        </w:tc>
        <w:tc>
          <w:tcPr>
            <w:tcW w:w="431" w:type="pct"/>
            <w:tcBorders>
              <w:bottom w:val="single" w:sz="4" w:space="0" w:color="auto"/>
            </w:tcBorders>
            <w:vAlign w:val="center"/>
          </w:tcPr>
          <w:p w:rsidR="00AA4E65" w:rsidRPr="00FD20B4" w:rsidRDefault="00AA4E65" w:rsidP="00BA06C7">
            <w:pPr>
              <w:pStyle w:val="TableBodyText"/>
            </w:pPr>
            <w:r w:rsidRPr="00FD20B4">
              <w:t>1.0</w:t>
            </w:r>
          </w:p>
        </w:tc>
        <w:tc>
          <w:tcPr>
            <w:tcW w:w="431" w:type="pct"/>
            <w:tcBorders>
              <w:bottom w:val="single" w:sz="4" w:space="0" w:color="auto"/>
            </w:tcBorders>
            <w:vAlign w:val="center"/>
          </w:tcPr>
          <w:p w:rsidR="00AA4E65" w:rsidRPr="00FD20B4" w:rsidRDefault="00AA4E65" w:rsidP="00BA06C7">
            <w:pPr>
              <w:pStyle w:val="TableBodyText"/>
            </w:pPr>
            <w:r w:rsidRPr="00FD20B4">
              <w:t>na</w:t>
            </w:r>
          </w:p>
        </w:tc>
        <w:tc>
          <w:tcPr>
            <w:tcW w:w="431" w:type="pct"/>
            <w:tcBorders>
              <w:bottom w:val="single" w:sz="4" w:space="0" w:color="auto"/>
            </w:tcBorders>
            <w:vAlign w:val="center"/>
          </w:tcPr>
          <w:p w:rsidR="00AA4E65" w:rsidRPr="00FD20B4" w:rsidRDefault="00AA4E65" w:rsidP="00BA06C7">
            <w:pPr>
              <w:pStyle w:val="TableBodyText"/>
            </w:pPr>
            <w:r w:rsidRPr="00FD20B4">
              <w:t>3.1</w:t>
            </w:r>
          </w:p>
        </w:tc>
        <w:tc>
          <w:tcPr>
            <w:tcW w:w="431" w:type="pct"/>
            <w:tcBorders>
              <w:bottom w:val="single" w:sz="4" w:space="0" w:color="auto"/>
            </w:tcBorders>
            <w:vAlign w:val="center"/>
          </w:tcPr>
          <w:p w:rsidR="00AA4E65" w:rsidRPr="00FD20B4" w:rsidRDefault="00AA4E65" w:rsidP="00BA06C7">
            <w:pPr>
              <w:pStyle w:val="TableBodyText"/>
            </w:pPr>
            <w:r w:rsidRPr="00FD20B4">
              <w:t>na</w:t>
            </w:r>
          </w:p>
        </w:tc>
        <w:tc>
          <w:tcPr>
            <w:tcW w:w="431" w:type="pct"/>
            <w:tcBorders>
              <w:bottom w:val="single" w:sz="4" w:space="0" w:color="auto"/>
            </w:tcBorders>
            <w:vAlign w:val="center"/>
          </w:tcPr>
          <w:p w:rsidR="00AA4E65" w:rsidRPr="00FD20B4" w:rsidRDefault="00AA4E65" w:rsidP="00BA06C7">
            <w:pPr>
              <w:pStyle w:val="TableBodyText"/>
            </w:pPr>
            <w:r w:rsidRPr="00FD20B4">
              <w:t>15.1</w:t>
            </w:r>
          </w:p>
        </w:tc>
        <w:tc>
          <w:tcPr>
            <w:tcW w:w="431" w:type="pct"/>
            <w:tcBorders>
              <w:bottom w:val="single" w:sz="4" w:space="0" w:color="auto"/>
            </w:tcBorders>
            <w:vAlign w:val="center"/>
          </w:tcPr>
          <w:p w:rsidR="00AA4E65" w:rsidRPr="00FD20B4" w:rsidRDefault="00AA4E65" w:rsidP="00BA06C7">
            <w:pPr>
              <w:pStyle w:val="TableBodyText"/>
            </w:pPr>
            <w:r w:rsidRPr="00FD20B4">
              <w:t>17.8</w:t>
            </w:r>
          </w:p>
        </w:tc>
        <w:tc>
          <w:tcPr>
            <w:tcW w:w="431" w:type="pct"/>
            <w:tcBorders>
              <w:bottom w:val="single" w:sz="4" w:space="0" w:color="auto"/>
            </w:tcBorders>
            <w:vAlign w:val="center"/>
          </w:tcPr>
          <w:p w:rsidR="00AA4E65" w:rsidRPr="00FD20B4" w:rsidRDefault="00AA4E65" w:rsidP="00BA06C7">
            <w:pPr>
              <w:pStyle w:val="TableBodyText"/>
            </w:pPr>
            <w:r w:rsidRPr="00FD20B4">
              <w:t>3.1</w:t>
            </w:r>
          </w:p>
        </w:tc>
        <w:tc>
          <w:tcPr>
            <w:tcW w:w="431" w:type="pct"/>
            <w:tcBorders>
              <w:bottom w:val="single" w:sz="4" w:space="0" w:color="auto"/>
            </w:tcBorders>
            <w:vAlign w:val="center"/>
          </w:tcPr>
          <w:p w:rsidR="00AA4E65" w:rsidRPr="00FD20B4" w:rsidRDefault="00AA4E65" w:rsidP="00BA06C7">
            <w:pPr>
              <w:pStyle w:val="TableBodyText"/>
            </w:pPr>
            <w:r w:rsidRPr="00FD20B4">
              <w:t>3.3</w:t>
            </w:r>
          </w:p>
        </w:tc>
      </w:tr>
    </w:tbl>
    <w:p w:rsidR="00AA4E65" w:rsidRPr="00FD20B4" w:rsidRDefault="00AA4E65" w:rsidP="00AA4E65">
      <w:pPr>
        <w:pStyle w:val="Note"/>
      </w:pPr>
      <w:r w:rsidRPr="00FD20B4">
        <w:rPr>
          <w:rStyle w:val="NoteLabel"/>
        </w:rPr>
        <w:t xml:space="preserve">a </w:t>
      </w:r>
      <w:r w:rsidRPr="00FD20B4">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FD20B4">
        <w:rPr>
          <w:rStyle w:val="NoteLabel"/>
        </w:rPr>
        <w:t>b</w:t>
      </w:r>
      <w:r w:rsidRPr="00FD20B4">
        <w:t xml:space="preserve"> Data were not available for Victoria and WA. </w:t>
      </w:r>
      <w:r w:rsidRPr="00FD20B4">
        <w:rPr>
          <w:rStyle w:val="NoteLabel"/>
        </w:rPr>
        <w:t>c</w:t>
      </w:r>
      <w:r w:rsidRPr="00FD20B4">
        <w:t xml:space="preserve"> Refer to </w:t>
      </w:r>
      <w:r w:rsidR="00285C72" w:rsidRPr="00FD20B4">
        <w:br/>
      </w:r>
      <w:r w:rsidRPr="00FD20B4">
        <w:t xml:space="preserve">table 16A.19 for detailed footnotes. </w:t>
      </w:r>
      <w:r w:rsidRPr="00FD20B4">
        <w:rPr>
          <w:b/>
        </w:rPr>
        <w:t>na</w:t>
      </w:r>
      <w:r w:rsidRPr="00FD20B4">
        <w:t xml:space="preserve"> Not available. – Nil or rounded to zero.</w:t>
      </w:r>
    </w:p>
    <w:p w:rsidR="00AA4E65" w:rsidRPr="00FD20B4" w:rsidRDefault="00AA4E65" w:rsidP="00AA4E65">
      <w:pPr>
        <w:pStyle w:val="BoxSource"/>
        <w:spacing w:before="80" w:after="120"/>
      </w:pPr>
      <w:r w:rsidRPr="00FD20B4">
        <w:rPr>
          <w:i/>
        </w:rPr>
        <w:t>Source</w:t>
      </w:r>
      <w:r w:rsidRPr="00FD20B4">
        <w:t>: State and Territory governments (unpublished); table 16A.19; 2014 Report, table 16.4, p. 15.30.</w:t>
      </w:r>
    </w:p>
    <w:p w:rsidR="00AA4E65" w:rsidRPr="00FD20B4" w:rsidRDefault="00AA4E65" w:rsidP="00D504EE">
      <w:pPr>
        <w:pStyle w:val="BodyText"/>
        <w:keepNext/>
        <w:rPr>
          <w:b/>
        </w:rPr>
      </w:pPr>
      <w:r w:rsidRPr="00FD20B4">
        <w:lastRenderedPageBreak/>
        <w:t>Nationally, 76 staff were reported as injured due to an assault while supervising detainees in 2012-13 (table 16.5). Proportions varied across jurisdictions.</w:t>
      </w:r>
    </w:p>
    <w:p w:rsidR="00AA4E65" w:rsidRPr="00FD20B4" w:rsidRDefault="00AA4E65" w:rsidP="00AA4E65">
      <w:pPr>
        <w:pStyle w:val="TableTitle"/>
        <w:rPr>
          <w:bCs/>
        </w:rPr>
      </w:pPr>
      <w:r w:rsidRPr="00FD20B4">
        <w:rPr>
          <w:b w:val="0"/>
        </w:rPr>
        <w:t>Table 16.5</w:t>
      </w:r>
      <w:r w:rsidRPr="00FD20B4">
        <w:tab/>
        <w:t>N</w:t>
      </w:r>
      <w:r w:rsidRPr="00FD20B4">
        <w:rPr>
          <w:bCs/>
        </w:rPr>
        <w:t>umber and rate of staff injured as a result of an assault, by Indigenous status, 2012-13</w:t>
      </w:r>
      <w:r w:rsidRPr="00FD20B4">
        <w:rPr>
          <w:rStyle w:val="NoteLabel"/>
          <w:b/>
        </w:rPr>
        <w:t>a, b, c, d</w:t>
      </w:r>
    </w:p>
    <w:tbl>
      <w:tblPr>
        <w:tblW w:w="5000" w:type="pct"/>
        <w:tblLayout w:type="fixed"/>
        <w:tblCellMar>
          <w:left w:w="0" w:type="dxa"/>
          <w:right w:w="0" w:type="dxa"/>
        </w:tblCellMar>
        <w:tblLook w:val="0000" w:firstRow="0" w:lastRow="0" w:firstColumn="0" w:lastColumn="0" w:noHBand="0" w:noVBand="0"/>
      </w:tblPr>
      <w:tblGrid>
        <w:gridCol w:w="2996"/>
        <w:gridCol w:w="725"/>
        <w:gridCol w:w="724"/>
        <w:gridCol w:w="724"/>
        <w:gridCol w:w="724"/>
        <w:gridCol w:w="724"/>
        <w:gridCol w:w="724"/>
        <w:gridCol w:w="724"/>
        <w:gridCol w:w="724"/>
      </w:tblGrid>
      <w:tr w:rsidR="00AA4E65" w:rsidRPr="00FD20B4" w:rsidTr="00BA06C7">
        <w:tc>
          <w:tcPr>
            <w:tcW w:w="1704" w:type="pct"/>
            <w:tcBorders>
              <w:top w:val="single" w:sz="6" w:space="0" w:color="auto"/>
              <w:bottom w:val="single" w:sz="6" w:space="0" w:color="auto"/>
            </w:tcBorders>
          </w:tcPr>
          <w:p w:rsidR="00AA4E65" w:rsidRPr="00FD20B4" w:rsidRDefault="00AA4E65" w:rsidP="00BA06C7">
            <w:pPr>
              <w:pStyle w:val="TableColumnHeading"/>
              <w:jc w:val="left"/>
            </w:pP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NSW</w:t>
            </w: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Vic</w:t>
            </w: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Qld</w:t>
            </w: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WA</w:t>
            </w: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SA</w:t>
            </w: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Tas</w:t>
            </w: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ACT</w:t>
            </w:r>
          </w:p>
        </w:tc>
        <w:tc>
          <w:tcPr>
            <w:tcW w:w="412" w:type="pct"/>
            <w:tcBorders>
              <w:top w:val="single" w:sz="6" w:space="0" w:color="auto"/>
              <w:bottom w:val="single" w:sz="6" w:space="0" w:color="auto"/>
            </w:tcBorders>
          </w:tcPr>
          <w:p w:rsidR="00AA4E65" w:rsidRPr="00FD20B4" w:rsidRDefault="00AA4E65" w:rsidP="00BA06C7">
            <w:pPr>
              <w:pStyle w:val="TableColumnHeading"/>
              <w:rPr>
                <w:rStyle w:val="NoteLabel"/>
              </w:rPr>
            </w:pPr>
            <w:r w:rsidRPr="00FD20B4">
              <w:t>NT</w:t>
            </w:r>
          </w:p>
        </w:tc>
      </w:tr>
      <w:tr w:rsidR="00AA4E65" w:rsidRPr="00FD20B4" w:rsidTr="00BA06C7">
        <w:tc>
          <w:tcPr>
            <w:tcW w:w="1704" w:type="pct"/>
          </w:tcPr>
          <w:p w:rsidR="00AA4E65" w:rsidRPr="00FD20B4" w:rsidRDefault="00AA4E65" w:rsidP="00BA06C7">
            <w:pPr>
              <w:pStyle w:val="TableBodyText"/>
              <w:jc w:val="left"/>
              <w:rPr>
                <w:b/>
              </w:rPr>
            </w:pPr>
            <w:r w:rsidRPr="00FD20B4">
              <w:rPr>
                <w:b/>
              </w:rPr>
              <w:t>Number of staff injured as a result of an assault</w:t>
            </w: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r>
      <w:tr w:rsidR="00AA4E65" w:rsidRPr="00FD20B4" w:rsidTr="00BA06C7">
        <w:tc>
          <w:tcPr>
            <w:tcW w:w="1704" w:type="pct"/>
          </w:tcPr>
          <w:p w:rsidR="00AA4E65" w:rsidRPr="00FD20B4" w:rsidRDefault="00AA4E65" w:rsidP="00BA06C7">
            <w:pPr>
              <w:pStyle w:val="TableBodyText"/>
              <w:ind w:left="284"/>
              <w:jc w:val="left"/>
            </w:pPr>
            <w:r w:rsidRPr="00FD20B4">
              <w:t>Indigenous</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6.0</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1.0</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r>
      <w:tr w:rsidR="00AA4E65" w:rsidRPr="00FD20B4" w:rsidTr="00BA06C7">
        <w:tc>
          <w:tcPr>
            <w:tcW w:w="1704" w:type="pct"/>
          </w:tcPr>
          <w:p w:rsidR="00AA4E65" w:rsidRPr="00FD20B4" w:rsidRDefault="00AA4E65" w:rsidP="00BA06C7">
            <w:pPr>
              <w:pStyle w:val="TableBodyText"/>
              <w:ind w:left="284"/>
              <w:jc w:val="left"/>
            </w:pPr>
            <w:r w:rsidRPr="00FD20B4">
              <w:t>Non-Indigenous</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16.0</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18.0</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3.0</w:t>
            </w:r>
          </w:p>
        </w:tc>
      </w:tr>
      <w:tr w:rsidR="00AA4E65" w:rsidRPr="00FD20B4" w:rsidTr="00BA06C7">
        <w:tc>
          <w:tcPr>
            <w:tcW w:w="1704" w:type="pct"/>
          </w:tcPr>
          <w:p w:rsidR="00AA4E65" w:rsidRPr="00FD20B4" w:rsidRDefault="00AA4E65" w:rsidP="00BA06C7">
            <w:pPr>
              <w:pStyle w:val="TableBodyText"/>
              <w:ind w:left="284"/>
              <w:jc w:val="left"/>
            </w:pPr>
            <w:r w:rsidRPr="00FD20B4">
              <w:t>Unknown</w:t>
            </w:r>
          </w:p>
        </w:tc>
        <w:tc>
          <w:tcPr>
            <w:tcW w:w="412" w:type="pct"/>
            <w:vAlign w:val="center"/>
          </w:tcPr>
          <w:p w:rsidR="00AA4E65" w:rsidRPr="00FD20B4" w:rsidRDefault="00AA4E65" w:rsidP="00BA06C7">
            <w:pPr>
              <w:pStyle w:val="TableBodyText"/>
            </w:pPr>
            <w:r w:rsidRPr="00FD20B4">
              <w:t xml:space="preserve">  21.0</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1.0</w:t>
            </w:r>
          </w:p>
        </w:tc>
        <w:tc>
          <w:tcPr>
            <w:tcW w:w="412" w:type="pct"/>
            <w:vAlign w:val="center"/>
          </w:tcPr>
          <w:p w:rsidR="00AA4E65" w:rsidRPr="00FD20B4" w:rsidRDefault="00AA4E65" w:rsidP="00BA06C7">
            <w:pPr>
              <w:pStyle w:val="TableBodyText"/>
            </w:pPr>
            <w:r w:rsidRPr="00FD20B4">
              <w:t>10.0</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r>
      <w:tr w:rsidR="00AA4E65" w:rsidRPr="00FD20B4" w:rsidTr="00BA06C7">
        <w:tc>
          <w:tcPr>
            <w:tcW w:w="1704" w:type="pct"/>
          </w:tcPr>
          <w:p w:rsidR="00AA4E65" w:rsidRPr="00FD20B4" w:rsidRDefault="00AA4E65" w:rsidP="00BA06C7">
            <w:pPr>
              <w:pStyle w:val="TableBodyText"/>
              <w:ind w:left="284"/>
              <w:jc w:val="left"/>
            </w:pPr>
            <w:r w:rsidRPr="00FD20B4">
              <w:t>Total</w:t>
            </w:r>
          </w:p>
        </w:tc>
        <w:tc>
          <w:tcPr>
            <w:tcW w:w="412" w:type="pct"/>
            <w:vAlign w:val="center"/>
          </w:tcPr>
          <w:p w:rsidR="00AA4E65" w:rsidRPr="00FD20B4" w:rsidRDefault="00AA4E65" w:rsidP="00BA06C7">
            <w:pPr>
              <w:pStyle w:val="TableBodyText"/>
            </w:pPr>
            <w:r w:rsidRPr="00FD20B4">
              <w:t xml:space="preserve">  21.0</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 xml:space="preserve">  22.0</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20.0</w:t>
            </w:r>
          </w:p>
        </w:tc>
        <w:tc>
          <w:tcPr>
            <w:tcW w:w="412" w:type="pct"/>
            <w:vAlign w:val="center"/>
          </w:tcPr>
          <w:p w:rsidR="00AA4E65" w:rsidRPr="00FD20B4" w:rsidRDefault="00AA4E65" w:rsidP="00BA06C7">
            <w:pPr>
              <w:pStyle w:val="TableBodyText"/>
            </w:pPr>
            <w:r w:rsidRPr="00FD20B4">
              <w:t>10.0</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3.0</w:t>
            </w:r>
          </w:p>
        </w:tc>
      </w:tr>
      <w:tr w:rsidR="00AA4E65" w:rsidRPr="00FD20B4" w:rsidTr="00BA06C7">
        <w:tc>
          <w:tcPr>
            <w:tcW w:w="1704" w:type="pct"/>
          </w:tcPr>
          <w:p w:rsidR="00AA4E65" w:rsidRPr="00FD20B4" w:rsidRDefault="00AA4E65" w:rsidP="00BA06C7">
            <w:pPr>
              <w:pStyle w:val="TableBodyText"/>
              <w:ind w:right="0"/>
              <w:jc w:val="left"/>
              <w:rPr>
                <w:b/>
              </w:rPr>
            </w:pPr>
            <w:r w:rsidRPr="00FD20B4">
              <w:rPr>
                <w:b/>
              </w:rPr>
              <w:t>Rate per 10 000 custody nights</w:t>
            </w: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c>
          <w:tcPr>
            <w:tcW w:w="412" w:type="pct"/>
            <w:vAlign w:val="center"/>
          </w:tcPr>
          <w:p w:rsidR="00AA4E65" w:rsidRPr="00FD20B4" w:rsidRDefault="00AA4E65" w:rsidP="00BA06C7">
            <w:pPr>
              <w:pStyle w:val="TableBodyText"/>
            </w:pPr>
          </w:p>
        </w:tc>
      </w:tr>
      <w:tr w:rsidR="00AA4E65" w:rsidRPr="00FD20B4" w:rsidTr="00BA06C7">
        <w:tc>
          <w:tcPr>
            <w:tcW w:w="1704" w:type="pct"/>
          </w:tcPr>
          <w:p w:rsidR="00AA4E65" w:rsidRPr="00FD20B4" w:rsidRDefault="00AA4E65" w:rsidP="00BA06C7">
            <w:pPr>
              <w:pStyle w:val="TableBodyText"/>
              <w:ind w:left="284"/>
              <w:jc w:val="left"/>
            </w:pPr>
            <w:r w:rsidRPr="00FD20B4">
              <w:t>Indigenous</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1.5</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1.1</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r>
      <w:tr w:rsidR="00AA4E65" w:rsidRPr="00FD20B4" w:rsidTr="00BA06C7">
        <w:tc>
          <w:tcPr>
            <w:tcW w:w="1704" w:type="pct"/>
          </w:tcPr>
          <w:p w:rsidR="00AA4E65" w:rsidRPr="00FD20B4" w:rsidRDefault="00AA4E65" w:rsidP="00BA06C7">
            <w:pPr>
              <w:pStyle w:val="TableBodyText"/>
              <w:ind w:left="284"/>
              <w:jc w:val="left"/>
            </w:pPr>
            <w:r w:rsidRPr="00FD20B4">
              <w:t>Non-Indigenous</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8.2</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15.0</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30.9</w:t>
            </w:r>
          </w:p>
        </w:tc>
      </w:tr>
      <w:tr w:rsidR="00AA4E65" w:rsidRPr="00FD20B4" w:rsidTr="00BA06C7">
        <w:tc>
          <w:tcPr>
            <w:tcW w:w="1704" w:type="pct"/>
          </w:tcPr>
          <w:p w:rsidR="00AA4E65" w:rsidRPr="00FD20B4" w:rsidRDefault="00AA4E65" w:rsidP="00BA06C7">
            <w:pPr>
              <w:pStyle w:val="TableBodyText"/>
              <w:ind w:left="284"/>
              <w:jc w:val="left"/>
            </w:pPr>
            <w:r w:rsidRPr="00FD20B4">
              <w:t>Unknown</w:t>
            </w:r>
          </w:p>
        </w:tc>
        <w:tc>
          <w:tcPr>
            <w:tcW w:w="412" w:type="pct"/>
            <w:vAlign w:val="center"/>
          </w:tcPr>
          <w:p w:rsidR="00AA4E65" w:rsidRPr="00FD20B4" w:rsidRDefault="00AA4E65" w:rsidP="00BA06C7">
            <w:pPr>
              <w:pStyle w:val="TableBodyText"/>
            </w:pPr>
            <w:r w:rsidRPr="00FD20B4">
              <w:t>122.3</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24.8</w:t>
            </w:r>
          </w:p>
        </w:tc>
        <w:tc>
          <w:tcPr>
            <w:tcW w:w="412" w:type="pct"/>
            <w:vAlign w:val="center"/>
          </w:tcPr>
          <w:p w:rsidR="00AA4E65" w:rsidRPr="00FD20B4" w:rsidRDefault="00AA4E65" w:rsidP="00BA06C7">
            <w:pPr>
              <w:pStyle w:val="TableBodyText"/>
            </w:pPr>
            <w:r w:rsidRPr="00FD20B4">
              <w:t>na</w:t>
            </w:r>
          </w:p>
        </w:tc>
        <w:tc>
          <w:tcPr>
            <w:tcW w:w="412" w:type="pct"/>
            <w:vAlign w:val="center"/>
          </w:tcPr>
          <w:p w:rsidR="00AA4E65" w:rsidRPr="00FD20B4" w:rsidRDefault="00AA4E65" w:rsidP="00BA06C7">
            <w:pPr>
              <w:pStyle w:val="TableBodyText"/>
            </w:pPr>
            <w:r w:rsidRPr="00FD20B4">
              <w:t>–</w:t>
            </w:r>
          </w:p>
        </w:tc>
        <w:tc>
          <w:tcPr>
            <w:tcW w:w="412" w:type="pct"/>
            <w:vAlign w:val="center"/>
          </w:tcPr>
          <w:p w:rsidR="00AA4E65" w:rsidRPr="00FD20B4" w:rsidRDefault="00AA4E65" w:rsidP="00BA06C7">
            <w:pPr>
              <w:pStyle w:val="TableBodyText"/>
            </w:pPr>
            <w:r w:rsidRPr="00FD20B4">
              <w:t>–</w:t>
            </w:r>
          </w:p>
        </w:tc>
      </w:tr>
      <w:tr w:rsidR="00AA4E65" w:rsidRPr="00FD20B4" w:rsidTr="00BA06C7">
        <w:tc>
          <w:tcPr>
            <w:tcW w:w="1704" w:type="pct"/>
            <w:tcBorders>
              <w:bottom w:val="single" w:sz="4" w:space="0" w:color="auto"/>
            </w:tcBorders>
          </w:tcPr>
          <w:p w:rsidR="00AA4E65" w:rsidRPr="00FD20B4" w:rsidRDefault="00AA4E65" w:rsidP="00BA06C7">
            <w:pPr>
              <w:pStyle w:val="TableBodyText"/>
              <w:ind w:left="284"/>
              <w:jc w:val="left"/>
            </w:pPr>
            <w:r w:rsidRPr="00FD20B4">
              <w:t>Total</w:t>
            </w:r>
          </w:p>
        </w:tc>
        <w:tc>
          <w:tcPr>
            <w:tcW w:w="412" w:type="pct"/>
            <w:tcBorders>
              <w:bottom w:val="single" w:sz="4" w:space="0" w:color="auto"/>
            </w:tcBorders>
            <w:vAlign w:val="center"/>
          </w:tcPr>
          <w:p w:rsidR="00AA4E65" w:rsidRPr="00FD20B4" w:rsidRDefault="00AA4E65" w:rsidP="00BA06C7">
            <w:pPr>
              <w:pStyle w:val="TableBodyText"/>
            </w:pPr>
            <w:r w:rsidRPr="00FD20B4">
              <w:t xml:space="preserve"> 1.8</w:t>
            </w:r>
          </w:p>
        </w:tc>
        <w:tc>
          <w:tcPr>
            <w:tcW w:w="412" w:type="pct"/>
            <w:tcBorders>
              <w:bottom w:val="single" w:sz="4" w:space="0" w:color="auto"/>
            </w:tcBorders>
            <w:vAlign w:val="center"/>
          </w:tcPr>
          <w:p w:rsidR="00AA4E65" w:rsidRPr="00FD20B4" w:rsidRDefault="00AA4E65" w:rsidP="00BA06C7">
            <w:pPr>
              <w:pStyle w:val="TableBodyText"/>
            </w:pPr>
            <w:r w:rsidRPr="00FD20B4">
              <w:t>na</w:t>
            </w:r>
          </w:p>
        </w:tc>
        <w:tc>
          <w:tcPr>
            <w:tcW w:w="412" w:type="pct"/>
            <w:tcBorders>
              <w:bottom w:val="single" w:sz="4" w:space="0" w:color="auto"/>
            </w:tcBorders>
            <w:vAlign w:val="center"/>
          </w:tcPr>
          <w:p w:rsidR="00AA4E65" w:rsidRPr="00FD20B4" w:rsidRDefault="00AA4E65" w:rsidP="00BA06C7">
            <w:pPr>
              <w:pStyle w:val="TableBodyText"/>
            </w:pPr>
            <w:r w:rsidRPr="00FD20B4">
              <w:t xml:space="preserve">  3.8</w:t>
            </w:r>
          </w:p>
        </w:tc>
        <w:tc>
          <w:tcPr>
            <w:tcW w:w="412" w:type="pct"/>
            <w:tcBorders>
              <w:bottom w:val="single" w:sz="4" w:space="0" w:color="auto"/>
            </w:tcBorders>
            <w:vAlign w:val="center"/>
          </w:tcPr>
          <w:p w:rsidR="00AA4E65" w:rsidRPr="00FD20B4" w:rsidRDefault="00AA4E65" w:rsidP="00BA06C7">
            <w:pPr>
              <w:pStyle w:val="TableBodyText"/>
            </w:pPr>
            <w:r w:rsidRPr="00FD20B4">
              <w:t>na</w:t>
            </w:r>
          </w:p>
        </w:tc>
        <w:tc>
          <w:tcPr>
            <w:tcW w:w="412" w:type="pct"/>
            <w:tcBorders>
              <w:bottom w:val="single" w:sz="4" w:space="0" w:color="auto"/>
            </w:tcBorders>
            <w:vAlign w:val="center"/>
          </w:tcPr>
          <w:p w:rsidR="00AA4E65" w:rsidRPr="00FD20B4" w:rsidRDefault="00AA4E65" w:rsidP="00BA06C7">
            <w:pPr>
              <w:pStyle w:val="TableBodyText"/>
            </w:pPr>
            <w:r w:rsidRPr="00FD20B4">
              <w:t>9.1</w:t>
            </w:r>
          </w:p>
        </w:tc>
        <w:tc>
          <w:tcPr>
            <w:tcW w:w="412" w:type="pct"/>
            <w:tcBorders>
              <w:bottom w:val="single" w:sz="4" w:space="0" w:color="auto"/>
            </w:tcBorders>
            <w:vAlign w:val="center"/>
          </w:tcPr>
          <w:p w:rsidR="00AA4E65" w:rsidRPr="00FD20B4" w:rsidRDefault="00AA4E65" w:rsidP="00BA06C7">
            <w:pPr>
              <w:pStyle w:val="TableBodyText"/>
            </w:pPr>
            <w:r w:rsidRPr="00FD20B4">
              <w:t>14.8</w:t>
            </w:r>
          </w:p>
        </w:tc>
        <w:tc>
          <w:tcPr>
            <w:tcW w:w="412" w:type="pct"/>
            <w:tcBorders>
              <w:bottom w:val="single" w:sz="4" w:space="0" w:color="auto"/>
            </w:tcBorders>
            <w:vAlign w:val="center"/>
          </w:tcPr>
          <w:p w:rsidR="00AA4E65" w:rsidRPr="00FD20B4" w:rsidRDefault="00AA4E65" w:rsidP="00BA06C7">
            <w:pPr>
              <w:pStyle w:val="TableBodyText"/>
            </w:pPr>
            <w:r w:rsidRPr="00FD20B4">
              <w:t>–</w:t>
            </w:r>
          </w:p>
        </w:tc>
        <w:tc>
          <w:tcPr>
            <w:tcW w:w="412" w:type="pct"/>
            <w:tcBorders>
              <w:bottom w:val="single" w:sz="4" w:space="0" w:color="auto"/>
            </w:tcBorders>
            <w:vAlign w:val="center"/>
          </w:tcPr>
          <w:p w:rsidR="00AA4E65" w:rsidRPr="00FD20B4" w:rsidRDefault="00AA4E65" w:rsidP="00BA06C7">
            <w:pPr>
              <w:pStyle w:val="TableBodyText"/>
            </w:pPr>
            <w:r w:rsidRPr="00FD20B4">
              <w:t>1.7</w:t>
            </w:r>
          </w:p>
        </w:tc>
      </w:tr>
    </w:tbl>
    <w:p w:rsidR="00AA4E65" w:rsidRPr="00FD20B4" w:rsidRDefault="00AA4E65" w:rsidP="00AA4E65">
      <w:pPr>
        <w:pStyle w:val="Note"/>
      </w:pPr>
      <w:r w:rsidRPr="00FD20B4">
        <w:rPr>
          <w:rStyle w:val="NoteLabel"/>
        </w:rPr>
        <w:t xml:space="preserve">a </w:t>
      </w:r>
      <w:r w:rsidRPr="00FD20B4">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FD20B4">
        <w:rPr>
          <w:rStyle w:val="NoteLabel"/>
        </w:rPr>
        <w:t>b</w:t>
      </w:r>
      <w:r w:rsidRPr="00FD20B4">
        <w:t xml:space="preserve"> Data report the Indigenous status of staff who were reported as injured due to an assault.</w:t>
      </w:r>
      <w:r w:rsidRPr="00FD20B4">
        <w:rPr>
          <w:rStyle w:val="NoteLabel"/>
        </w:rPr>
        <w:t xml:space="preserve"> c </w:t>
      </w:r>
      <w:r w:rsidRPr="00FD20B4">
        <w:t xml:space="preserve">Data were not available for Victoria and WA. </w:t>
      </w:r>
      <w:r w:rsidRPr="00FD20B4">
        <w:rPr>
          <w:rStyle w:val="NoteLabel"/>
        </w:rPr>
        <w:t>d</w:t>
      </w:r>
      <w:r w:rsidRPr="00FD20B4">
        <w:t xml:space="preserve"> Refer to table 16A.19 for detailed footnotes. </w:t>
      </w:r>
      <w:r w:rsidRPr="00FD20B4">
        <w:rPr>
          <w:b/>
        </w:rPr>
        <w:t>na</w:t>
      </w:r>
      <w:r w:rsidRPr="00FD20B4">
        <w:t xml:space="preserve"> Not available. – Nil or rounded to zero.</w:t>
      </w:r>
    </w:p>
    <w:p w:rsidR="00AA4E65" w:rsidRPr="00FD20B4" w:rsidRDefault="00AA4E65" w:rsidP="00AA4E65">
      <w:pPr>
        <w:pStyle w:val="Source"/>
      </w:pPr>
      <w:r w:rsidRPr="00FD20B4">
        <w:rPr>
          <w:i/>
        </w:rPr>
        <w:t>Source</w:t>
      </w:r>
      <w:r w:rsidRPr="00FD20B4">
        <w:t>: State and Territory governments (unpublished); table 16A.19; 2014 Report, table 16.5, p. 15.30.</w:t>
      </w:r>
    </w:p>
    <w:p w:rsidR="00AB1DAE" w:rsidRPr="00FD20B4" w:rsidRDefault="00AB1DAE" w:rsidP="00AB1DAE">
      <w:pPr>
        <w:keepNext/>
        <w:spacing w:before="480" w:line="320" w:lineRule="exact"/>
        <w:outlineLvl w:val="3"/>
        <w:rPr>
          <w:rFonts w:ascii="Arial" w:hAnsi="Arial"/>
          <w:i/>
          <w:sz w:val="24"/>
          <w:szCs w:val="20"/>
        </w:rPr>
      </w:pPr>
      <w:bookmarkStart w:id="61" w:name="_Toc320770837"/>
      <w:bookmarkStart w:id="62" w:name="_Toc348449380"/>
      <w:bookmarkStart w:id="63" w:name="_Toc348952927"/>
      <w:bookmarkStart w:id="64" w:name="_Toc351361368"/>
      <w:bookmarkStart w:id="65" w:name="_Toc384645335"/>
      <w:r w:rsidRPr="00FD20B4">
        <w:rPr>
          <w:rFonts w:ascii="Arial" w:hAnsi="Arial"/>
          <w:i/>
          <w:sz w:val="24"/>
          <w:szCs w:val="20"/>
        </w:rPr>
        <w:t>Safe and secure environment — self-harm and attempted suicide in custody</w:t>
      </w:r>
      <w:bookmarkEnd w:id="61"/>
      <w:bookmarkEnd w:id="62"/>
      <w:bookmarkEnd w:id="63"/>
      <w:bookmarkEnd w:id="64"/>
      <w:bookmarkEnd w:id="65"/>
    </w:p>
    <w:p w:rsidR="00E64259" w:rsidRPr="00FD20B4" w:rsidRDefault="00E64259" w:rsidP="00E64259">
      <w:pPr>
        <w:pStyle w:val="BodyText"/>
      </w:pPr>
      <w:r w:rsidRPr="00FD20B4">
        <w:t>‘Self-harm and attempted suicide in custody’ is an indicator of governments’ objective to provide a custodial environment that is safe and secure in order to rehabilitate young offenders and reintegrate them into their community (box 16.6).</w:t>
      </w:r>
    </w:p>
    <w:p w:rsidR="00285C72" w:rsidRPr="00FD20B4" w:rsidRDefault="00285C72" w:rsidP="00285C7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5C72" w:rsidRPr="00FD20B4" w:rsidTr="00D46D60">
        <w:tc>
          <w:tcPr>
            <w:tcW w:w="8771" w:type="dxa"/>
            <w:tcBorders>
              <w:top w:val="single" w:sz="6" w:space="0" w:color="auto"/>
              <w:bottom w:val="nil"/>
            </w:tcBorders>
          </w:tcPr>
          <w:p w:rsidR="00285C72" w:rsidRPr="00FD20B4" w:rsidRDefault="00285C72" w:rsidP="00285C72">
            <w:pPr>
              <w:pStyle w:val="BoxTitle"/>
            </w:pPr>
            <w:r w:rsidRPr="00FD20B4">
              <w:rPr>
                <w:b w:val="0"/>
              </w:rPr>
              <w:t>Box 16.6</w:t>
            </w:r>
            <w:r w:rsidRPr="00FD20B4">
              <w:tab/>
              <w:t>Self-harm and attempted suicide in custody</w:t>
            </w:r>
          </w:p>
        </w:tc>
      </w:tr>
      <w:tr w:rsidR="00285C72" w:rsidRPr="00FD20B4" w:rsidTr="00D46D60">
        <w:trPr>
          <w:cantSplit/>
        </w:trPr>
        <w:tc>
          <w:tcPr>
            <w:tcW w:w="8771" w:type="dxa"/>
            <w:tcBorders>
              <w:top w:val="nil"/>
              <w:left w:val="single" w:sz="6" w:space="0" w:color="auto"/>
              <w:bottom w:val="nil"/>
              <w:right w:val="single" w:sz="4" w:space="0" w:color="auto"/>
            </w:tcBorders>
          </w:tcPr>
          <w:p w:rsidR="00285C72" w:rsidRPr="00FD20B4" w:rsidRDefault="00285C72" w:rsidP="00285C72">
            <w:pPr>
              <w:pStyle w:val="Box"/>
            </w:pPr>
            <w:r w:rsidRPr="00FD20B4">
              <w:t>‘Self-harm and attempted suicide in custody’ is defined by four measures:</w:t>
            </w:r>
          </w:p>
          <w:p w:rsidR="00285C72" w:rsidRPr="00FD20B4" w:rsidRDefault="00285C72" w:rsidP="00285C72">
            <w:pPr>
              <w:pStyle w:val="BoxListBullet"/>
              <w:numPr>
                <w:ilvl w:val="0"/>
                <w:numId w:val="17"/>
              </w:numPr>
            </w:pPr>
            <w:r w:rsidRPr="00FD20B4">
              <w:t>the number of incidents of self-harm or attempted suicide in custody requiring hospitalisation</w:t>
            </w:r>
          </w:p>
          <w:p w:rsidR="00285C72" w:rsidRPr="00FD20B4" w:rsidRDefault="00285C72" w:rsidP="00285C72">
            <w:pPr>
              <w:pStyle w:val="BoxListBullet"/>
              <w:numPr>
                <w:ilvl w:val="0"/>
                <w:numId w:val="17"/>
              </w:numPr>
            </w:pPr>
            <w:r w:rsidRPr="00FD20B4">
              <w:t xml:space="preserve">the number of incidents of self-harm or attempted suicide in custody </w:t>
            </w:r>
            <w:r w:rsidRPr="00FD20B4">
              <w:rPr>
                <w:u w:val="single"/>
              </w:rPr>
              <w:t>not</w:t>
            </w:r>
            <w:r w:rsidRPr="00FD20B4">
              <w:t xml:space="preserve"> requiring hospitalisation</w:t>
            </w:r>
          </w:p>
          <w:p w:rsidR="00285C72" w:rsidRPr="00FD20B4" w:rsidRDefault="00285C72" w:rsidP="00285C72">
            <w:pPr>
              <w:pStyle w:val="BoxListBullet"/>
              <w:numPr>
                <w:ilvl w:val="0"/>
                <w:numId w:val="17"/>
              </w:numPr>
            </w:pPr>
            <w:r w:rsidRPr="00FD20B4">
              <w:t>the number of detainees who self-harmed or attempted suicide in custody requiring hospitalisation</w:t>
            </w:r>
          </w:p>
          <w:p w:rsidR="00285C72" w:rsidRPr="00FD20B4" w:rsidRDefault="00285C72" w:rsidP="00285C72">
            <w:pPr>
              <w:pStyle w:val="BoxListBullet"/>
              <w:numPr>
                <w:ilvl w:val="0"/>
                <w:numId w:val="17"/>
              </w:numPr>
            </w:pPr>
            <w:r w:rsidRPr="00FD20B4">
              <w:t xml:space="preserve">the number of detainees who self-harmed or attempted suicide in custody </w:t>
            </w:r>
            <w:r w:rsidRPr="00FD20B4">
              <w:rPr>
                <w:u w:val="single"/>
              </w:rPr>
              <w:t>not</w:t>
            </w:r>
            <w:r w:rsidRPr="00FD20B4">
              <w:t xml:space="preserve"> requiring hospitalisation.</w:t>
            </w:r>
          </w:p>
        </w:tc>
      </w:tr>
      <w:tr w:rsidR="00285C72" w:rsidRPr="00FD20B4" w:rsidTr="00D46D60">
        <w:trPr>
          <w:cantSplit/>
        </w:trPr>
        <w:tc>
          <w:tcPr>
            <w:tcW w:w="8771" w:type="dxa"/>
            <w:tcBorders>
              <w:top w:val="nil"/>
              <w:left w:val="single" w:sz="6" w:space="0" w:color="auto"/>
              <w:bottom w:val="nil"/>
              <w:right w:val="single" w:sz="6" w:space="0" w:color="auto"/>
            </w:tcBorders>
          </w:tcPr>
          <w:p w:rsidR="00285C72" w:rsidRPr="00FD20B4" w:rsidRDefault="00285C72" w:rsidP="00D46D60">
            <w:pPr>
              <w:pStyle w:val="Continued"/>
            </w:pPr>
            <w:r w:rsidRPr="00FD20B4">
              <w:t xml:space="preserve">(Continued on next page) </w:t>
            </w:r>
          </w:p>
        </w:tc>
      </w:tr>
      <w:tr w:rsidR="00285C72" w:rsidRPr="00FD20B4" w:rsidTr="00D46D60">
        <w:trPr>
          <w:cantSplit/>
        </w:trPr>
        <w:tc>
          <w:tcPr>
            <w:tcW w:w="8771" w:type="dxa"/>
            <w:tcBorders>
              <w:top w:val="nil"/>
              <w:left w:val="single" w:sz="6" w:space="0" w:color="auto"/>
              <w:bottom w:val="single" w:sz="6" w:space="0" w:color="auto"/>
              <w:right w:val="single" w:sz="6" w:space="0" w:color="auto"/>
            </w:tcBorders>
          </w:tcPr>
          <w:p w:rsidR="00285C72" w:rsidRPr="00FD20B4" w:rsidRDefault="00285C72" w:rsidP="00D46D60">
            <w:pPr>
              <w:pStyle w:val="Box"/>
              <w:spacing w:before="0" w:line="120" w:lineRule="exact"/>
            </w:pPr>
          </w:p>
        </w:tc>
      </w:tr>
      <w:tr w:rsidR="00285C72" w:rsidRPr="00FD20B4" w:rsidTr="00D46D60">
        <w:tc>
          <w:tcPr>
            <w:tcW w:w="8771" w:type="dxa"/>
            <w:tcBorders>
              <w:top w:val="nil"/>
              <w:left w:val="nil"/>
              <w:bottom w:val="nil"/>
              <w:right w:val="nil"/>
            </w:tcBorders>
          </w:tcPr>
          <w:p w:rsidR="00285C72" w:rsidRPr="00FD20B4" w:rsidRDefault="00285C72" w:rsidP="00D46D60">
            <w:pPr>
              <w:pStyle w:val="Box"/>
              <w:keepNext w:val="0"/>
              <w:spacing w:before="60" w:after="60" w:line="80" w:lineRule="exact"/>
              <w:rPr>
                <w:b/>
                <w:color w:val="FF00FF"/>
                <w:sz w:val="14"/>
              </w:rPr>
            </w:pPr>
          </w:p>
        </w:tc>
      </w:tr>
    </w:tbl>
    <w:p w:rsidR="00285C72" w:rsidRPr="00FD20B4" w:rsidRDefault="00285C72" w:rsidP="00285C7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85C72" w:rsidRPr="00FD20B4" w:rsidTr="00D46D60">
        <w:tc>
          <w:tcPr>
            <w:tcW w:w="8771" w:type="dxa"/>
            <w:tcBorders>
              <w:top w:val="single" w:sz="6" w:space="0" w:color="auto"/>
              <w:bottom w:val="nil"/>
            </w:tcBorders>
          </w:tcPr>
          <w:p w:rsidR="00285C72" w:rsidRPr="00FD20B4" w:rsidRDefault="00285C72" w:rsidP="00285C72">
            <w:pPr>
              <w:pStyle w:val="BoxTitle"/>
            </w:pPr>
            <w:r w:rsidRPr="00FD20B4">
              <w:rPr>
                <w:b w:val="0"/>
              </w:rPr>
              <w:t>Box 16.6</w:t>
            </w:r>
            <w:r w:rsidRPr="00FD20B4">
              <w:tab/>
            </w:r>
            <w:r w:rsidRPr="00FD20B4">
              <w:rPr>
                <w:sz w:val="18"/>
                <w:szCs w:val="18"/>
              </w:rPr>
              <w:t>(Continued)</w:t>
            </w:r>
          </w:p>
        </w:tc>
      </w:tr>
      <w:tr w:rsidR="00285C72" w:rsidRPr="00FD20B4" w:rsidTr="00D46D60">
        <w:trPr>
          <w:cantSplit/>
        </w:trPr>
        <w:tc>
          <w:tcPr>
            <w:tcW w:w="8771" w:type="dxa"/>
            <w:tcBorders>
              <w:top w:val="nil"/>
              <w:left w:val="single" w:sz="6" w:space="0" w:color="auto"/>
              <w:bottom w:val="nil"/>
              <w:right w:val="single" w:sz="4" w:space="0" w:color="auto"/>
            </w:tcBorders>
          </w:tcPr>
          <w:p w:rsidR="00285C72" w:rsidRPr="00FD20B4" w:rsidRDefault="00285C72" w:rsidP="00285C72">
            <w:pPr>
              <w:pStyle w:val="Box"/>
            </w:pPr>
            <w:r w:rsidRPr="00FD20B4">
              <w:t>An incident of self-harm or attempted suicide is counted each time a young person self</w:t>
            </w:r>
            <w:r w:rsidRPr="00FD20B4">
              <w:noBreakHyphen/>
              <w:t>harms or attempts suicide. For example, if one young person self-harms or attempts suicide three times in a counting period, three incidents are recorded. Therefore, the number of incidents of self-harm or attempted suicide and the number of detainees who self-harm or attempt suicide will differ when one detainee has self</w:t>
            </w:r>
            <w:r w:rsidRPr="00FD20B4">
              <w:noBreakHyphen/>
              <w:t>harmed on two or more occasions, as each occasion will be counted as a separate incident.</w:t>
            </w:r>
          </w:p>
          <w:p w:rsidR="00285C72" w:rsidRPr="00FD20B4" w:rsidRDefault="00285C72" w:rsidP="00285C72">
            <w:pPr>
              <w:pStyle w:val="Box"/>
            </w:pPr>
            <w:r w:rsidRPr="00FD20B4">
              <w:t>Types of self-inflicted incidents that constitute self-harm include poisoning by drugs, alcohol, gases and vapours, hanging, strangulation, suffocation, drowning or submersion in water, burning, cutting, jumping from a high place, jumping or lying in front of a moving object, and electrocution.</w:t>
            </w:r>
          </w:p>
          <w:p w:rsidR="00285C72" w:rsidRPr="00FD20B4" w:rsidRDefault="00285C72" w:rsidP="00285C72">
            <w:pPr>
              <w:pStyle w:val="Box"/>
            </w:pPr>
            <w:r w:rsidRPr="00FD20B4">
              <w:t>A zero or low, or decreasing self-harm and attempted suicide in custody rate is desirable.</w:t>
            </w:r>
          </w:p>
          <w:p w:rsidR="00285C72" w:rsidRPr="00FD20B4" w:rsidRDefault="00285C72" w:rsidP="00285C72">
            <w:pPr>
              <w:pStyle w:val="Box"/>
              <w:rPr>
                <w:rStyle w:val="DraftingNote"/>
                <w:b w:val="0"/>
                <w:color w:val="auto"/>
                <w:sz w:val="22"/>
                <w:u w:val="none"/>
              </w:rPr>
            </w:pPr>
            <w:r w:rsidRPr="00FD20B4">
              <w:rPr>
                <w:rStyle w:val="DraftingNote"/>
                <w:b w:val="0"/>
                <w:color w:val="auto"/>
                <w:sz w:val="22"/>
                <w:u w:val="none"/>
              </w:rPr>
              <w:t xml:space="preserve">Data reported for these measures are: </w:t>
            </w:r>
          </w:p>
          <w:p w:rsidR="00285C72" w:rsidRPr="00FD20B4" w:rsidRDefault="00285C72" w:rsidP="00285C72">
            <w:pPr>
              <w:pStyle w:val="BoxListBullet"/>
              <w:numPr>
                <w:ilvl w:val="0"/>
                <w:numId w:val="17"/>
              </w:numPr>
              <w:rPr>
                <w:rStyle w:val="DraftingNote"/>
                <w:b w:val="0"/>
                <w:color w:val="auto"/>
                <w:sz w:val="22"/>
                <w:u w:val="none"/>
              </w:rPr>
            </w:pPr>
            <w:r w:rsidRPr="00FD20B4">
              <w:rPr>
                <w:rStyle w:val="DraftingNote"/>
                <w:b w:val="0"/>
                <w:color w:val="auto"/>
                <w:sz w:val="22"/>
                <w:u w:val="none"/>
              </w:rPr>
              <w:t>comparable (subject to caveats) within some jurisdictions over time but are not comparable across jurisdictions or over time for other jurisdictions (see caveats in attachment tables for specific jurisdictions)</w:t>
            </w:r>
          </w:p>
          <w:p w:rsidR="00285C72" w:rsidRPr="00FD20B4" w:rsidRDefault="00285C72" w:rsidP="00285C72">
            <w:pPr>
              <w:pStyle w:val="BoxListBullet"/>
              <w:numPr>
                <w:ilvl w:val="0"/>
                <w:numId w:val="17"/>
              </w:numPr>
              <w:rPr>
                <w:rStyle w:val="DraftingNote"/>
                <w:b w:val="0"/>
                <w:color w:val="auto"/>
                <w:sz w:val="22"/>
                <w:u w:val="none"/>
              </w:rPr>
            </w:pPr>
            <w:r w:rsidRPr="00FD20B4">
              <w:rPr>
                <w:rStyle w:val="DraftingNote"/>
                <w:b w:val="0"/>
                <w:color w:val="auto"/>
                <w:sz w:val="22"/>
                <w:u w:val="none"/>
              </w:rPr>
              <w:t>incomplete for the current reporting period. Data were not available for WA.</w:t>
            </w:r>
          </w:p>
          <w:p w:rsidR="00285C72" w:rsidRPr="00FD20B4" w:rsidRDefault="00285C72" w:rsidP="00285C72">
            <w:pPr>
              <w:pStyle w:val="Box"/>
            </w:pPr>
            <w:r w:rsidRPr="00FD20B4">
              <w:rPr>
                <w:szCs w:val="22"/>
              </w:rPr>
              <w:t xml:space="preserve">Data quality information for this indicator is </w:t>
            </w:r>
            <w:r w:rsidRPr="00FD20B4">
              <w:t>at www.pc.gov.au/gsp/reports/rogs/2014.</w:t>
            </w:r>
          </w:p>
        </w:tc>
      </w:tr>
      <w:tr w:rsidR="00285C72" w:rsidRPr="00FD20B4" w:rsidTr="00D46D60">
        <w:trPr>
          <w:cantSplit/>
        </w:trPr>
        <w:tc>
          <w:tcPr>
            <w:tcW w:w="8771" w:type="dxa"/>
            <w:tcBorders>
              <w:top w:val="nil"/>
              <w:left w:val="single" w:sz="6" w:space="0" w:color="auto"/>
              <w:bottom w:val="single" w:sz="6" w:space="0" w:color="auto"/>
              <w:right w:val="single" w:sz="6" w:space="0" w:color="auto"/>
            </w:tcBorders>
          </w:tcPr>
          <w:p w:rsidR="00285C72" w:rsidRPr="00FD20B4" w:rsidRDefault="00285C72" w:rsidP="00D46D60">
            <w:pPr>
              <w:pStyle w:val="Box"/>
              <w:spacing w:before="0" w:line="120" w:lineRule="exact"/>
            </w:pPr>
          </w:p>
        </w:tc>
      </w:tr>
      <w:tr w:rsidR="00285C72" w:rsidRPr="00FD20B4" w:rsidTr="00D46D60">
        <w:tc>
          <w:tcPr>
            <w:tcW w:w="8771" w:type="dxa"/>
            <w:tcBorders>
              <w:top w:val="nil"/>
              <w:left w:val="nil"/>
              <w:bottom w:val="nil"/>
              <w:right w:val="nil"/>
            </w:tcBorders>
          </w:tcPr>
          <w:p w:rsidR="00285C72" w:rsidRPr="00FD20B4" w:rsidRDefault="00285C72" w:rsidP="00D46D60">
            <w:pPr>
              <w:pStyle w:val="Box"/>
              <w:keepNext w:val="0"/>
              <w:spacing w:before="60" w:after="60" w:line="80" w:lineRule="exact"/>
              <w:rPr>
                <w:b/>
                <w:color w:val="FF00FF"/>
                <w:sz w:val="14"/>
              </w:rPr>
            </w:pPr>
          </w:p>
        </w:tc>
      </w:tr>
    </w:tbl>
    <w:p w:rsidR="00285C72" w:rsidRPr="00FD20B4" w:rsidRDefault="00285C72" w:rsidP="00285C72">
      <w:pPr>
        <w:pStyle w:val="BodyText"/>
      </w:pPr>
      <w:r w:rsidRPr="00FD20B4">
        <w:t>Nationally, seven detainees in eight separate incidents were reported as having self</w:t>
      </w:r>
      <w:r w:rsidRPr="00FD20B4">
        <w:noBreakHyphen/>
        <w:t>harmed or attempted suicide in custody requiring hospitalisation in 2012-13. Proportions varied across jurisdictions (tables 16.6 and 16.7).</w:t>
      </w:r>
    </w:p>
    <w:p w:rsidR="00285C72" w:rsidRPr="00FD20B4" w:rsidRDefault="00285C72" w:rsidP="00285C72">
      <w:pPr>
        <w:pStyle w:val="TableTitle"/>
        <w:rPr>
          <w:bCs/>
        </w:rPr>
      </w:pPr>
      <w:r w:rsidRPr="00FD20B4">
        <w:rPr>
          <w:b w:val="0"/>
        </w:rPr>
        <w:lastRenderedPageBreak/>
        <w:t>Table 16.6</w:t>
      </w:r>
      <w:r w:rsidRPr="00FD20B4">
        <w:tab/>
        <w:t>N</w:t>
      </w:r>
      <w:r w:rsidRPr="00FD20B4">
        <w:rPr>
          <w:bCs/>
        </w:rPr>
        <w:t>umber and rate of detainees who self-harmed or attempted suicide in custody requiring hospitalisation, by Indigenous status, 2012-13</w:t>
      </w:r>
      <w:r w:rsidRPr="00FD20B4">
        <w:rPr>
          <w:rStyle w:val="NoteLabel"/>
          <w:b/>
        </w:rPr>
        <w:t>a, b</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285C72" w:rsidRPr="00FD20B4" w:rsidTr="00D46D60">
        <w:tc>
          <w:tcPr>
            <w:tcW w:w="1732" w:type="pct"/>
            <w:tcBorders>
              <w:top w:val="single" w:sz="6" w:space="0" w:color="auto"/>
              <w:bottom w:val="single" w:sz="6" w:space="0" w:color="auto"/>
            </w:tcBorders>
          </w:tcPr>
          <w:p w:rsidR="00285C72" w:rsidRPr="00FD20B4" w:rsidRDefault="00285C72" w:rsidP="00D46D60">
            <w:pPr>
              <w:pStyle w:val="TableColumnHeading"/>
              <w:jc w:val="left"/>
            </w:pP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NSW</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Vic</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Qld</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WA</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SA</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Tas</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ACT</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NT</w:t>
            </w:r>
          </w:p>
        </w:tc>
      </w:tr>
      <w:tr w:rsidR="00285C72" w:rsidRPr="00FD20B4" w:rsidTr="00D46D60">
        <w:tc>
          <w:tcPr>
            <w:tcW w:w="1732" w:type="pct"/>
          </w:tcPr>
          <w:p w:rsidR="00285C72" w:rsidRPr="00FD20B4" w:rsidRDefault="00285C72" w:rsidP="00D46D60">
            <w:pPr>
              <w:pStyle w:val="TableBodyText"/>
              <w:jc w:val="left"/>
              <w:rPr>
                <w:b/>
              </w:rPr>
            </w:pPr>
            <w:r w:rsidRPr="00FD20B4">
              <w:rPr>
                <w:b/>
              </w:rPr>
              <w:t>Number of detainees who self</w:t>
            </w:r>
            <w:r w:rsidRPr="00FD20B4">
              <w:rPr>
                <w:b/>
              </w:rPr>
              <w:noBreakHyphen/>
              <w:t>harmed or attempted suicide in custody requiring hospitalisation</w:t>
            </w: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r>
      <w:tr w:rsidR="00285C72" w:rsidRPr="00FD20B4" w:rsidTr="00D46D60">
        <w:tc>
          <w:tcPr>
            <w:tcW w:w="1732" w:type="pct"/>
          </w:tcPr>
          <w:p w:rsidR="00285C72" w:rsidRPr="00FD20B4" w:rsidRDefault="00285C72" w:rsidP="00D46D60">
            <w:pPr>
              <w:pStyle w:val="TableBodyText"/>
              <w:ind w:left="284"/>
              <w:jc w:val="left"/>
            </w:pPr>
            <w:r w:rsidRPr="00FD20B4">
              <w:t>Indigenous</w:t>
            </w:r>
          </w:p>
        </w:tc>
        <w:tc>
          <w:tcPr>
            <w:tcW w:w="408" w:type="pct"/>
            <w:vAlign w:val="center"/>
          </w:tcPr>
          <w:p w:rsidR="00285C72" w:rsidRPr="00FD20B4" w:rsidRDefault="00285C72" w:rsidP="00D46D60">
            <w:pPr>
              <w:pStyle w:val="TableBodyText"/>
            </w:pPr>
            <w:r w:rsidRPr="00FD20B4">
              <w:t>5.0</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1.0</w:t>
            </w:r>
          </w:p>
        </w:tc>
      </w:tr>
      <w:tr w:rsidR="00285C72" w:rsidRPr="00FD20B4" w:rsidTr="00D46D60">
        <w:tc>
          <w:tcPr>
            <w:tcW w:w="1732" w:type="pct"/>
          </w:tcPr>
          <w:p w:rsidR="00285C72" w:rsidRPr="00FD20B4" w:rsidRDefault="00285C72" w:rsidP="00D46D60">
            <w:pPr>
              <w:pStyle w:val="TableBodyText"/>
              <w:ind w:left="284"/>
              <w:jc w:val="left"/>
            </w:pPr>
            <w:r w:rsidRPr="00FD20B4">
              <w:t>Non-Indigenous</w:t>
            </w:r>
          </w:p>
        </w:tc>
        <w:tc>
          <w:tcPr>
            <w:tcW w:w="408" w:type="pct"/>
            <w:vAlign w:val="center"/>
          </w:tcPr>
          <w:p w:rsidR="00285C72" w:rsidRPr="00FD20B4" w:rsidRDefault="00285C72" w:rsidP="00D46D60">
            <w:pPr>
              <w:pStyle w:val="TableBodyText"/>
            </w:pPr>
            <w:r w:rsidRPr="00FD20B4">
              <w:t>1.0</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Pr>
          <w:p w:rsidR="00285C72" w:rsidRPr="00FD20B4" w:rsidRDefault="00285C72" w:rsidP="00D46D60">
            <w:pPr>
              <w:pStyle w:val="TableBodyText"/>
              <w:ind w:left="284"/>
              <w:jc w:val="left"/>
            </w:pPr>
            <w:r w:rsidRPr="00FD20B4">
              <w:t>Unknown</w:t>
            </w:r>
          </w:p>
        </w:tc>
        <w:tc>
          <w:tcPr>
            <w:tcW w:w="408" w:type="pct"/>
            <w:vAlign w:val="center"/>
          </w:tcPr>
          <w:p w:rsidR="00285C72" w:rsidRPr="00FD20B4" w:rsidRDefault="00285C72" w:rsidP="00D46D60">
            <w:pPr>
              <w:pStyle w:val="TableBodyText"/>
            </w:pPr>
            <w:r w:rsidRPr="00FD20B4">
              <w:t>na</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Pr>
          <w:p w:rsidR="00285C72" w:rsidRPr="00FD20B4" w:rsidRDefault="00285C72" w:rsidP="00D46D60">
            <w:pPr>
              <w:pStyle w:val="TableBodyText"/>
              <w:ind w:left="284"/>
              <w:jc w:val="left"/>
            </w:pPr>
            <w:r w:rsidRPr="00FD20B4">
              <w:t>Total</w:t>
            </w:r>
          </w:p>
        </w:tc>
        <w:tc>
          <w:tcPr>
            <w:tcW w:w="408" w:type="pct"/>
            <w:vAlign w:val="center"/>
          </w:tcPr>
          <w:p w:rsidR="00285C72" w:rsidRPr="00FD20B4" w:rsidRDefault="00285C72" w:rsidP="00D46D60">
            <w:pPr>
              <w:pStyle w:val="TableBodyText"/>
            </w:pPr>
            <w:r w:rsidRPr="00FD20B4">
              <w:t>6.0</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1.0</w:t>
            </w:r>
          </w:p>
        </w:tc>
      </w:tr>
      <w:tr w:rsidR="00285C72" w:rsidRPr="00FD20B4" w:rsidTr="00D46D60">
        <w:tc>
          <w:tcPr>
            <w:tcW w:w="1732" w:type="pct"/>
          </w:tcPr>
          <w:p w:rsidR="00285C72" w:rsidRPr="00FD20B4" w:rsidRDefault="00285C72" w:rsidP="00D46D60">
            <w:pPr>
              <w:pStyle w:val="TableBodyText"/>
              <w:ind w:right="0"/>
              <w:jc w:val="left"/>
              <w:rPr>
                <w:b/>
              </w:rPr>
            </w:pPr>
            <w:r w:rsidRPr="00FD20B4">
              <w:rPr>
                <w:b/>
              </w:rPr>
              <w:t>Rate per 10 000 custody nights</w:t>
            </w: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r>
      <w:tr w:rsidR="00285C72" w:rsidRPr="00FD20B4" w:rsidTr="00D46D60">
        <w:tc>
          <w:tcPr>
            <w:tcW w:w="1732" w:type="pct"/>
          </w:tcPr>
          <w:p w:rsidR="00285C72" w:rsidRPr="00FD20B4" w:rsidRDefault="00285C72" w:rsidP="00D46D60">
            <w:pPr>
              <w:pStyle w:val="TableBodyText"/>
              <w:ind w:left="284"/>
              <w:jc w:val="left"/>
            </w:pPr>
            <w:r w:rsidRPr="00FD20B4">
              <w:t>Indigenous</w:t>
            </w:r>
          </w:p>
        </w:tc>
        <w:tc>
          <w:tcPr>
            <w:tcW w:w="408" w:type="pct"/>
            <w:vAlign w:val="center"/>
          </w:tcPr>
          <w:p w:rsidR="00285C72" w:rsidRPr="00FD20B4" w:rsidRDefault="00285C72" w:rsidP="00D46D60">
            <w:pPr>
              <w:pStyle w:val="TableBodyText"/>
            </w:pPr>
            <w:r w:rsidRPr="00FD20B4">
              <w:t>0.8</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0.6</w:t>
            </w:r>
          </w:p>
        </w:tc>
      </w:tr>
      <w:tr w:rsidR="00285C72" w:rsidRPr="00FD20B4" w:rsidTr="00D46D60">
        <w:tc>
          <w:tcPr>
            <w:tcW w:w="1732" w:type="pct"/>
          </w:tcPr>
          <w:p w:rsidR="00285C72" w:rsidRPr="00FD20B4" w:rsidRDefault="00285C72" w:rsidP="00D46D60">
            <w:pPr>
              <w:pStyle w:val="TableBodyText"/>
              <w:ind w:left="284"/>
              <w:jc w:val="left"/>
            </w:pPr>
            <w:r w:rsidRPr="00FD20B4">
              <w:t>Non-Indigenous</w:t>
            </w:r>
          </w:p>
        </w:tc>
        <w:tc>
          <w:tcPr>
            <w:tcW w:w="408" w:type="pct"/>
            <w:vAlign w:val="center"/>
          </w:tcPr>
          <w:p w:rsidR="00285C72" w:rsidRPr="00FD20B4" w:rsidRDefault="00285C72" w:rsidP="00D46D60">
            <w:pPr>
              <w:pStyle w:val="TableBodyText"/>
            </w:pPr>
            <w:r w:rsidRPr="00FD20B4">
              <w:t>0.2</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Pr>
          <w:p w:rsidR="00285C72" w:rsidRPr="00FD20B4" w:rsidRDefault="00285C72" w:rsidP="00D46D60">
            <w:pPr>
              <w:pStyle w:val="TableBodyText"/>
              <w:ind w:left="284"/>
              <w:jc w:val="left"/>
            </w:pPr>
            <w:r w:rsidRPr="00FD20B4">
              <w:t>Unknown</w:t>
            </w:r>
          </w:p>
        </w:tc>
        <w:tc>
          <w:tcPr>
            <w:tcW w:w="408" w:type="pct"/>
            <w:vAlign w:val="center"/>
          </w:tcPr>
          <w:p w:rsidR="00285C72" w:rsidRPr="00FD20B4" w:rsidRDefault="00285C72" w:rsidP="00D46D60">
            <w:pPr>
              <w:pStyle w:val="TableBodyText"/>
            </w:pPr>
            <w:r w:rsidRPr="00FD20B4">
              <w:t>na</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Borders>
              <w:bottom w:val="single" w:sz="4" w:space="0" w:color="auto"/>
            </w:tcBorders>
          </w:tcPr>
          <w:p w:rsidR="00285C72" w:rsidRPr="00FD20B4" w:rsidRDefault="00285C72" w:rsidP="00D46D60">
            <w:pPr>
              <w:pStyle w:val="TableBodyText"/>
              <w:ind w:left="284"/>
              <w:jc w:val="left"/>
            </w:pPr>
            <w:r w:rsidRPr="00FD20B4">
              <w:t>Total</w:t>
            </w:r>
          </w:p>
        </w:tc>
        <w:tc>
          <w:tcPr>
            <w:tcW w:w="408" w:type="pct"/>
            <w:tcBorders>
              <w:bottom w:val="single" w:sz="4" w:space="0" w:color="auto"/>
            </w:tcBorders>
            <w:vAlign w:val="center"/>
          </w:tcPr>
          <w:p w:rsidR="00285C72" w:rsidRPr="00FD20B4" w:rsidRDefault="00285C72" w:rsidP="00D46D60">
            <w:pPr>
              <w:pStyle w:val="TableBodyText"/>
            </w:pPr>
            <w:r w:rsidRPr="00FD20B4">
              <w:t>0.5</w:t>
            </w:r>
          </w:p>
        </w:tc>
        <w:tc>
          <w:tcPr>
            <w:tcW w:w="409" w:type="pct"/>
            <w:tcBorders>
              <w:bottom w:val="single" w:sz="4" w:space="0" w:color="auto"/>
            </w:tcBorders>
            <w:vAlign w:val="center"/>
          </w:tcPr>
          <w:p w:rsidR="00285C72" w:rsidRPr="00FD20B4" w:rsidRDefault="00285C72" w:rsidP="00D46D60">
            <w:pPr>
              <w:pStyle w:val="TableBodyText"/>
            </w:pPr>
            <w:r w:rsidRPr="00FD20B4">
              <w:t>–</w:t>
            </w:r>
          </w:p>
        </w:tc>
        <w:tc>
          <w:tcPr>
            <w:tcW w:w="408" w:type="pct"/>
            <w:tcBorders>
              <w:bottom w:val="single" w:sz="4" w:space="0" w:color="auto"/>
            </w:tcBorders>
            <w:vAlign w:val="center"/>
          </w:tcPr>
          <w:p w:rsidR="00285C72" w:rsidRPr="00FD20B4" w:rsidRDefault="00285C72" w:rsidP="00D46D60">
            <w:pPr>
              <w:pStyle w:val="TableBodyText"/>
            </w:pPr>
            <w:r w:rsidRPr="00FD20B4">
              <w:t>–</w:t>
            </w:r>
          </w:p>
        </w:tc>
        <w:tc>
          <w:tcPr>
            <w:tcW w:w="409" w:type="pct"/>
            <w:tcBorders>
              <w:bottom w:val="single" w:sz="4" w:space="0" w:color="auto"/>
            </w:tcBorders>
            <w:vAlign w:val="center"/>
          </w:tcPr>
          <w:p w:rsidR="00285C72" w:rsidRPr="00FD20B4" w:rsidRDefault="00285C72" w:rsidP="00D46D60">
            <w:pPr>
              <w:pStyle w:val="TableBodyText"/>
            </w:pPr>
            <w:r w:rsidRPr="00FD20B4">
              <w:t>na</w:t>
            </w:r>
          </w:p>
        </w:tc>
        <w:tc>
          <w:tcPr>
            <w:tcW w:w="408" w:type="pct"/>
            <w:tcBorders>
              <w:bottom w:val="single" w:sz="4" w:space="0" w:color="auto"/>
            </w:tcBorders>
            <w:vAlign w:val="center"/>
          </w:tcPr>
          <w:p w:rsidR="00285C72" w:rsidRPr="00FD20B4" w:rsidRDefault="00285C72" w:rsidP="00D46D60">
            <w:pPr>
              <w:pStyle w:val="TableBodyText"/>
            </w:pPr>
            <w:r w:rsidRPr="00FD20B4">
              <w:t>–</w:t>
            </w:r>
          </w:p>
        </w:tc>
        <w:tc>
          <w:tcPr>
            <w:tcW w:w="409" w:type="pct"/>
            <w:tcBorders>
              <w:bottom w:val="single" w:sz="4" w:space="0" w:color="auto"/>
            </w:tcBorders>
            <w:vAlign w:val="center"/>
          </w:tcPr>
          <w:p w:rsidR="00285C72" w:rsidRPr="00FD20B4" w:rsidRDefault="00285C72" w:rsidP="00D46D60">
            <w:pPr>
              <w:pStyle w:val="TableBodyText"/>
            </w:pPr>
            <w:r w:rsidRPr="00FD20B4">
              <w:t>–</w:t>
            </w:r>
          </w:p>
        </w:tc>
        <w:tc>
          <w:tcPr>
            <w:tcW w:w="408" w:type="pct"/>
            <w:tcBorders>
              <w:bottom w:val="single" w:sz="4" w:space="0" w:color="auto"/>
            </w:tcBorders>
            <w:vAlign w:val="center"/>
          </w:tcPr>
          <w:p w:rsidR="00285C72" w:rsidRPr="00FD20B4" w:rsidRDefault="00285C72" w:rsidP="00D46D60">
            <w:pPr>
              <w:pStyle w:val="TableBodyText"/>
            </w:pPr>
            <w:r w:rsidRPr="00FD20B4">
              <w:t>–</w:t>
            </w:r>
          </w:p>
        </w:tc>
        <w:tc>
          <w:tcPr>
            <w:tcW w:w="409" w:type="pct"/>
            <w:tcBorders>
              <w:bottom w:val="single" w:sz="4" w:space="0" w:color="auto"/>
            </w:tcBorders>
            <w:vAlign w:val="center"/>
          </w:tcPr>
          <w:p w:rsidR="00285C72" w:rsidRPr="00FD20B4" w:rsidRDefault="00285C72" w:rsidP="00D46D60">
            <w:pPr>
              <w:pStyle w:val="TableBodyText"/>
            </w:pPr>
            <w:r w:rsidRPr="00FD20B4">
              <w:t>0.6</w:t>
            </w:r>
          </w:p>
        </w:tc>
      </w:tr>
    </w:tbl>
    <w:p w:rsidR="00285C72" w:rsidRPr="00FD20B4" w:rsidRDefault="00285C72" w:rsidP="00285C72">
      <w:pPr>
        <w:pStyle w:val="Note"/>
      </w:pPr>
      <w:r w:rsidRPr="00FD20B4">
        <w:rPr>
          <w:rStyle w:val="NoteLabel"/>
        </w:rPr>
        <w:t xml:space="preserve">a </w:t>
      </w:r>
      <w:r w:rsidRPr="00FD20B4">
        <w:t xml:space="preserve">Data were not available for WA. </w:t>
      </w:r>
      <w:r w:rsidRPr="00FD20B4">
        <w:rPr>
          <w:rStyle w:val="NoteLabel"/>
        </w:rPr>
        <w:t>b</w:t>
      </w:r>
      <w:r w:rsidRPr="00FD20B4">
        <w:t xml:space="preserve"> Refer to table 16A.20 for detailed footnotes. </w:t>
      </w:r>
      <w:r w:rsidRPr="00FD20B4">
        <w:rPr>
          <w:b/>
        </w:rPr>
        <w:t>na</w:t>
      </w:r>
      <w:r w:rsidRPr="00FD20B4">
        <w:t xml:space="preserve"> Not available. </w:t>
      </w:r>
      <w:r w:rsidRPr="00FD20B4">
        <w:br/>
        <w:t>– Nil or rounded to zero.</w:t>
      </w:r>
    </w:p>
    <w:p w:rsidR="00285C72" w:rsidRPr="00FD20B4" w:rsidRDefault="00285C72" w:rsidP="00285C72">
      <w:pPr>
        <w:pStyle w:val="Source"/>
      </w:pPr>
      <w:r w:rsidRPr="00FD20B4">
        <w:rPr>
          <w:i/>
        </w:rPr>
        <w:t>Source</w:t>
      </w:r>
      <w:r w:rsidRPr="00FD20B4">
        <w:t>: State and Territory governments (unpublished); table 16A.20; 2014 Report, table 16.6, p. 15.32.</w:t>
      </w:r>
    </w:p>
    <w:p w:rsidR="00285C72" w:rsidRPr="00FD20B4" w:rsidRDefault="00285C72" w:rsidP="00285C72">
      <w:pPr>
        <w:pStyle w:val="TableTitle"/>
        <w:rPr>
          <w:bCs/>
        </w:rPr>
      </w:pPr>
      <w:r w:rsidRPr="00FD20B4">
        <w:rPr>
          <w:b w:val="0"/>
        </w:rPr>
        <w:t>Table 16.7</w:t>
      </w:r>
      <w:r w:rsidRPr="00FD20B4">
        <w:tab/>
        <w:t>N</w:t>
      </w:r>
      <w:r w:rsidRPr="00FD20B4">
        <w:rPr>
          <w:bCs/>
        </w:rPr>
        <w:t>umber and rate of incidents of self-harm or attempted suicide in custody requiring hospitalisation, by Indigenous status, 2012-13</w:t>
      </w:r>
      <w:r w:rsidRPr="00FD20B4">
        <w:rPr>
          <w:rStyle w:val="NoteLabel"/>
          <w:b/>
        </w:rPr>
        <w:t>a, b</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285C72" w:rsidRPr="00FD20B4" w:rsidTr="00D46D60">
        <w:tc>
          <w:tcPr>
            <w:tcW w:w="1732" w:type="pct"/>
            <w:tcBorders>
              <w:top w:val="single" w:sz="6" w:space="0" w:color="auto"/>
              <w:bottom w:val="single" w:sz="6" w:space="0" w:color="auto"/>
            </w:tcBorders>
          </w:tcPr>
          <w:p w:rsidR="00285C72" w:rsidRPr="00FD20B4" w:rsidRDefault="00285C72" w:rsidP="00D46D60">
            <w:pPr>
              <w:pStyle w:val="TableColumnHeading"/>
              <w:jc w:val="left"/>
            </w:pP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NSW</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Vic</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Qld</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WA</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SA</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Tas</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ACT</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NT</w:t>
            </w:r>
          </w:p>
        </w:tc>
      </w:tr>
      <w:tr w:rsidR="00285C72" w:rsidRPr="00FD20B4" w:rsidTr="00D46D60">
        <w:tc>
          <w:tcPr>
            <w:tcW w:w="1732" w:type="pct"/>
          </w:tcPr>
          <w:p w:rsidR="00285C72" w:rsidRPr="00FD20B4" w:rsidRDefault="00285C72" w:rsidP="00D46D60">
            <w:pPr>
              <w:pStyle w:val="TableBodyText"/>
              <w:jc w:val="left"/>
              <w:rPr>
                <w:b/>
              </w:rPr>
            </w:pPr>
            <w:r w:rsidRPr="00FD20B4">
              <w:rPr>
                <w:b/>
              </w:rPr>
              <w:t>Number of incidents of self</w:t>
            </w:r>
            <w:r w:rsidRPr="00FD20B4">
              <w:rPr>
                <w:b/>
              </w:rPr>
              <w:noBreakHyphen/>
              <w:t>harm or attempted suicide in custody requiring hospitalisation</w:t>
            </w: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r>
      <w:tr w:rsidR="00285C72" w:rsidRPr="00FD20B4" w:rsidTr="00D46D60">
        <w:tc>
          <w:tcPr>
            <w:tcW w:w="1732" w:type="pct"/>
          </w:tcPr>
          <w:p w:rsidR="00285C72" w:rsidRPr="00FD20B4" w:rsidRDefault="00285C72" w:rsidP="00D46D60">
            <w:pPr>
              <w:pStyle w:val="TableBodyText"/>
              <w:ind w:left="284"/>
              <w:jc w:val="left"/>
            </w:pPr>
            <w:r w:rsidRPr="00FD20B4">
              <w:t>Indigenous</w:t>
            </w:r>
          </w:p>
        </w:tc>
        <w:tc>
          <w:tcPr>
            <w:tcW w:w="408" w:type="pct"/>
            <w:vAlign w:val="center"/>
          </w:tcPr>
          <w:p w:rsidR="00285C72" w:rsidRPr="00FD20B4" w:rsidRDefault="00285C72" w:rsidP="00D46D60">
            <w:pPr>
              <w:pStyle w:val="TableBodyText"/>
            </w:pPr>
            <w:r w:rsidRPr="00FD20B4">
              <w:t>6.0</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1.0</w:t>
            </w:r>
          </w:p>
        </w:tc>
      </w:tr>
      <w:tr w:rsidR="00285C72" w:rsidRPr="00FD20B4" w:rsidTr="00D46D60">
        <w:tc>
          <w:tcPr>
            <w:tcW w:w="1732" w:type="pct"/>
          </w:tcPr>
          <w:p w:rsidR="00285C72" w:rsidRPr="00FD20B4" w:rsidRDefault="00285C72" w:rsidP="00D46D60">
            <w:pPr>
              <w:pStyle w:val="TableBodyText"/>
              <w:ind w:left="284"/>
              <w:jc w:val="left"/>
            </w:pPr>
            <w:r w:rsidRPr="00FD20B4">
              <w:t>Non-Indigenous</w:t>
            </w:r>
          </w:p>
        </w:tc>
        <w:tc>
          <w:tcPr>
            <w:tcW w:w="408" w:type="pct"/>
            <w:vAlign w:val="center"/>
          </w:tcPr>
          <w:p w:rsidR="00285C72" w:rsidRPr="00FD20B4" w:rsidRDefault="00285C72" w:rsidP="00D46D60">
            <w:pPr>
              <w:pStyle w:val="TableBodyText"/>
            </w:pPr>
            <w:r w:rsidRPr="00FD20B4">
              <w:t>1.0</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Pr>
          <w:p w:rsidR="00285C72" w:rsidRPr="00FD20B4" w:rsidRDefault="00285C72" w:rsidP="00D46D60">
            <w:pPr>
              <w:pStyle w:val="TableBodyText"/>
              <w:ind w:left="284"/>
              <w:jc w:val="left"/>
            </w:pPr>
            <w:r w:rsidRPr="00FD20B4">
              <w:t>Unknown</w:t>
            </w:r>
          </w:p>
        </w:tc>
        <w:tc>
          <w:tcPr>
            <w:tcW w:w="408" w:type="pct"/>
            <w:vAlign w:val="center"/>
          </w:tcPr>
          <w:p w:rsidR="00285C72" w:rsidRPr="00FD20B4" w:rsidRDefault="00285C72" w:rsidP="00D46D60">
            <w:pPr>
              <w:pStyle w:val="TableBodyText"/>
            </w:pPr>
            <w:r w:rsidRPr="00FD20B4">
              <w:t>na</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Pr>
          <w:p w:rsidR="00285C72" w:rsidRPr="00FD20B4" w:rsidRDefault="00285C72" w:rsidP="00D46D60">
            <w:pPr>
              <w:pStyle w:val="TableBodyText"/>
              <w:ind w:left="284"/>
              <w:jc w:val="left"/>
            </w:pPr>
            <w:r w:rsidRPr="00FD20B4">
              <w:t>Total</w:t>
            </w:r>
          </w:p>
        </w:tc>
        <w:tc>
          <w:tcPr>
            <w:tcW w:w="408" w:type="pct"/>
            <w:vAlign w:val="center"/>
          </w:tcPr>
          <w:p w:rsidR="00285C72" w:rsidRPr="00FD20B4" w:rsidRDefault="00285C72" w:rsidP="00D46D60">
            <w:pPr>
              <w:pStyle w:val="TableBodyText"/>
            </w:pPr>
            <w:r w:rsidRPr="00FD20B4">
              <w:t>7.0</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1.0</w:t>
            </w:r>
          </w:p>
        </w:tc>
      </w:tr>
      <w:tr w:rsidR="00285C72" w:rsidRPr="00FD20B4" w:rsidTr="00D46D60">
        <w:tc>
          <w:tcPr>
            <w:tcW w:w="1732" w:type="pct"/>
          </w:tcPr>
          <w:p w:rsidR="00285C72" w:rsidRPr="00FD20B4" w:rsidRDefault="00285C72" w:rsidP="00D46D60">
            <w:pPr>
              <w:pStyle w:val="TableBodyText"/>
              <w:ind w:right="0"/>
              <w:jc w:val="left"/>
              <w:rPr>
                <w:b/>
              </w:rPr>
            </w:pPr>
            <w:r w:rsidRPr="00FD20B4">
              <w:rPr>
                <w:b/>
              </w:rPr>
              <w:t>Rate per 10 000 custody nights</w:t>
            </w: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r>
      <w:tr w:rsidR="00285C72" w:rsidRPr="00FD20B4" w:rsidTr="00D46D60">
        <w:tc>
          <w:tcPr>
            <w:tcW w:w="1732" w:type="pct"/>
          </w:tcPr>
          <w:p w:rsidR="00285C72" w:rsidRPr="00FD20B4" w:rsidRDefault="00285C72" w:rsidP="00D46D60">
            <w:pPr>
              <w:pStyle w:val="TableBodyText"/>
              <w:ind w:left="284"/>
              <w:jc w:val="left"/>
            </w:pPr>
            <w:r w:rsidRPr="00FD20B4">
              <w:t>Indigenous</w:t>
            </w:r>
          </w:p>
        </w:tc>
        <w:tc>
          <w:tcPr>
            <w:tcW w:w="408" w:type="pct"/>
            <w:vAlign w:val="center"/>
          </w:tcPr>
          <w:p w:rsidR="00285C72" w:rsidRPr="00FD20B4" w:rsidRDefault="00285C72" w:rsidP="00D46D60">
            <w:pPr>
              <w:pStyle w:val="TableBodyText"/>
            </w:pPr>
            <w:r w:rsidRPr="00FD20B4">
              <w:t>1.0</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0.6</w:t>
            </w:r>
          </w:p>
        </w:tc>
      </w:tr>
      <w:tr w:rsidR="00285C72" w:rsidRPr="00FD20B4" w:rsidTr="00D46D60">
        <w:tc>
          <w:tcPr>
            <w:tcW w:w="1732" w:type="pct"/>
          </w:tcPr>
          <w:p w:rsidR="00285C72" w:rsidRPr="00FD20B4" w:rsidRDefault="00285C72" w:rsidP="00D46D60">
            <w:pPr>
              <w:pStyle w:val="TableBodyText"/>
              <w:ind w:left="284"/>
              <w:jc w:val="left"/>
            </w:pPr>
            <w:r w:rsidRPr="00FD20B4">
              <w:t>Non-Indigenous</w:t>
            </w:r>
          </w:p>
        </w:tc>
        <w:tc>
          <w:tcPr>
            <w:tcW w:w="408" w:type="pct"/>
            <w:vAlign w:val="center"/>
          </w:tcPr>
          <w:p w:rsidR="00285C72" w:rsidRPr="00FD20B4" w:rsidRDefault="00285C72" w:rsidP="00D46D60">
            <w:pPr>
              <w:pStyle w:val="TableBodyText"/>
            </w:pPr>
            <w:r w:rsidRPr="00FD20B4">
              <w:t>0.2</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Pr>
          <w:p w:rsidR="00285C72" w:rsidRPr="00FD20B4" w:rsidRDefault="00285C72" w:rsidP="00D46D60">
            <w:pPr>
              <w:pStyle w:val="TableBodyText"/>
              <w:ind w:left="284"/>
              <w:jc w:val="left"/>
            </w:pPr>
            <w:r w:rsidRPr="00FD20B4">
              <w:t>Unknown</w:t>
            </w:r>
          </w:p>
        </w:tc>
        <w:tc>
          <w:tcPr>
            <w:tcW w:w="408" w:type="pct"/>
            <w:vAlign w:val="center"/>
          </w:tcPr>
          <w:p w:rsidR="00285C72" w:rsidRPr="00FD20B4" w:rsidRDefault="00285C72" w:rsidP="00D46D60">
            <w:pPr>
              <w:pStyle w:val="TableBodyText"/>
            </w:pPr>
            <w:r w:rsidRPr="00FD20B4">
              <w:t>na</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Borders>
              <w:bottom w:val="single" w:sz="4" w:space="0" w:color="auto"/>
            </w:tcBorders>
          </w:tcPr>
          <w:p w:rsidR="00285C72" w:rsidRPr="00FD20B4" w:rsidRDefault="00285C72" w:rsidP="00D46D60">
            <w:pPr>
              <w:pStyle w:val="TableBodyText"/>
              <w:ind w:left="284"/>
              <w:jc w:val="left"/>
            </w:pPr>
            <w:r w:rsidRPr="00FD20B4">
              <w:t>Total</w:t>
            </w:r>
          </w:p>
        </w:tc>
        <w:tc>
          <w:tcPr>
            <w:tcW w:w="408" w:type="pct"/>
            <w:tcBorders>
              <w:bottom w:val="single" w:sz="4" w:space="0" w:color="auto"/>
            </w:tcBorders>
            <w:vAlign w:val="center"/>
          </w:tcPr>
          <w:p w:rsidR="00285C72" w:rsidRPr="00FD20B4" w:rsidRDefault="00285C72" w:rsidP="00D46D60">
            <w:pPr>
              <w:pStyle w:val="TableBodyText"/>
            </w:pPr>
            <w:r w:rsidRPr="00FD20B4">
              <w:t>0.6</w:t>
            </w:r>
          </w:p>
        </w:tc>
        <w:tc>
          <w:tcPr>
            <w:tcW w:w="409" w:type="pct"/>
            <w:tcBorders>
              <w:bottom w:val="single" w:sz="4" w:space="0" w:color="auto"/>
            </w:tcBorders>
            <w:vAlign w:val="center"/>
          </w:tcPr>
          <w:p w:rsidR="00285C72" w:rsidRPr="00FD20B4" w:rsidRDefault="00285C72" w:rsidP="00D46D60">
            <w:pPr>
              <w:pStyle w:val="TableBodyText"/>
            </w:pPr>
            <w:r w:rsidRPr="00FD20B4">
              <w:t>–</w:t>
            </w:r>
          </w:p>
        </w:tc>
        <w:tc>
          <w:tcPr>
            <w:tcW w:w="408" w:type="pct"/>
            <w:tcBorders>
              <w:bottom w:val="single" w:sz="4" w:space="0" w:color="auto"/>
            </w:tcBorders>
            <w:vAlign w:val="center"/>
          </w:tcPr>
          <w:p w:rsidR="00285C72" w:rsidRPr="00FD20B4" w:rsidRDefault="00285C72" w:rsidP="00D46D60">
            <w:pPr>
              <w:pStyle w:val="TableBodyText"/>
            </w:pPr>
            <w:r w:rsidRPr="00FD20B4">
              <w:t>–</w:t>
            </w:r>
          </w:p>
        </w:tc>
        <w:tc>
          <w:tcPr>
            <w:tcW w:w="409" w:type="pct"/>
            <w:tcBorders>
              <w:bottom w:val="single" w:sz="4" w:space="0" w:color="auto"/>
            </w:tcBorders>
            <w:vAlign w:val="center"/>
          </w:tcPr>
          <w:p w:rsidR="00285C72" w:rsidRPr="00FD20B4" w:rsidRDefault="00285C72" w:rsidP="00D46D60">
            <w:pPr>
              <w:pStyle w:val="TableBodyText"/>
            </w:pPr>
            <w:r w:rsidRPr="00FD20B4">
              <w:t>na</w:t>
            </w:r>
          </w:p>
        </w:tc>
        <w:tc>
          <w:tcPr>
            <w:tcW w:w="408" w:type="pct"/>
            <w:tcBorders>
              <w:bottom w:val="single" w:sz="4" w:space="0" w:color="auto"/>
            </w:tcBorders>
            <w:vAlign w:val="center"/>
          </w:tcPr>
          <w:p w:rsidR="00285C72" w:rsidRPr="00FD20B4" w:rsidRDefault="00285C72" w:rsidP="00D46D60">
            <w:pPr>
              <w:pStyle w:val="TableBodyText"/>
            </w:pPr>
            <w:r w:rsidRPr="00FD20B4">
              <w:t>–</w:t>
            </w:r>
          </w:p>
        </w:tc>
        <w:tc>
          <w:tcPr>
            <w:tcW w:w="409" w:type="pct"/>
            <w:tcBorders>
              <w:bottom w:val="single" w:sz="4" w:space="0" w:color="auto"/>
            </w:tcBorders>
            <w:vAlign w:val="center"/>
          </w:tcPr>
          <w:p w:rsidR="00285C72" w:rsidRPr="00FD20B4" w:rsidRDefault="00285C72" w:rsidP="00D46D60">
            <w:pPr>
              <w:pStyle w:val="TableBodyText"/>
            </w:pPr>
            <w:r w:rsidRPr="00FD20B4">
              <w:t>–</w:t>
            </w:r>
          </w:p>
        </w:tc>
        <w:tc>
          <w:tcPr>
            <w:tcW w:w="408" w:type="pct"/>
            <w:tcBorders>
              <w:bottom w:val="single" w:sz="4" w:space="0" w:color="auto"/>
            </w:tcBorders>
            <w:vAlign w:val="center"/>
          </w:tcPr>
          <w:p w:rsidR="00285C72" w:rsidRPr="00FD20B4" w:rsidRDefault="00285C72" w:rsidP="00D46D60">
            <w:pPr>
              <w:pStyle w:val="TableBodyText"/>
            </w:pPr>
            <w:r w:rsidRPr="00FD20B4">
              <w:t>–</w:t>
            </w:r>
          </w:p>
        </w:tc>
        <w:tc>
          <w:tcPr>
            <w:tcW w:w="409" w:type="pct"/>
            <w:tcBorders>
              <w:bottom w:val="single" w:sz="4" w:space="0" w:color="auto"/>
            </w:tcBorders>
            <w:vAlign w:val="center"/>
          </w:tcPr>
          <w:p w:rsidR="00285C72" w:rsidRPr="00FD20B4" w:rsidRDefault="00285C72" w:rsidP="00D46D60">
            <w:pPr>
              <w:pStyle w:val="TableBodyText"/>
            </w:pPr>
            <w:r w:rsidRPr="00FD20B4">
              <w:t>0.6</w:t>
            </w:r>
          </w:p>
        </w:tc>
      </w:tr>
    </w:tbl>
    <w:p w:rsidR="00285C72" w:rsidRPr="00FD20B4" w:rsidRDefault="00285C72" w:rsidP="00285C72">
      <w:pPr>
        <w:pStyle w:val="Note"/>
      </w:pPr>
      <w:r w:rsidRPr="00FD20B4">
        <w:rPr>
          <w:rStyle w:val="NoteLabel"/>
        </w:rPr>
        <w:t xml:space="preserve">a </w:t>
      </w:r>
      <w:r w:rsidRPr="00FD20B4">
        <w:t xml:space="preserve">Data were not available for WA. </w:t>
      </w:r>
      <w:r w:rsidRPr="00FD20B4">
        <w:rPr>
          <w:rStyle w:val="NoteLabel"/>
        </w:rPr>
        <w:t>b</w:t>
      </w:r>
      <w:r w:rsidRPr="00FD20B4">
        <w:t xml:space="preserve"> Refer to table 16A.20 for detailed footnotes. </w:t>
      </w:r>
      <w:r w:rsidRPr="00FD20B4">
        <w:rPr>
          <w:b/>
        </w:rPr>
        <w:t>na</w:t>
      </w:r>
      <w:r w:rsidRPr="00FD20B4">
        <w:t xml:space="preserve"> Not available. </w:t>
      </w:r>
      <w:r w:rsidRPr="00FD20B4">
        <w:br/>
        <w:t xml:space="preserve">– Nil or rounded to zero. </w:t>
      </w:r>
    </w:p>
    <w:p w:rsidR="00285C72" w:rsidRPr="00FD20B4" w:rsidRDefault="00285C72" w:rsidP="00285C72">
      <w:pPr>
        <w:pStyle w:val="Source"/>
      </w:pPr>
      <w:r w:rsidRPr="00FD20B4">
        <w:rPr>
          <w:i/>
        </w:rPr>
        <w:t>Source</w:t>
      </w:r>
      <w:r w:rsidRPr="00FD20B4">
        <w:t>: State and Territory governments (unpublished); table 16A.20; 2014 Report, table 16.7, p. 15.32.</w:t>
      </w:r>
    </w:p>
    <w:p w:rsidR="00285C72" w:rsidRPr="00FD20B4" w:rsidRDefault="00285C72" w:rsidP="00285C72">
      <w:pPr>
        <w:pStyle w:val="BodyText"/>
      </w:pPr>
      <w:r w:rsidRPr="00FD20B4">
        <w:t>Nationally, 99 detainees were reported as having self-harmed or attempted suicide in 127 separate incidents during 2012-13, which did not require hospitalisation (tables 16.8 and 16.9). Proportions varied across jurisdictions.</w:t>
      </w:r>
    </w:p>
    <w:p w:rsidR="00285C72" w:rsidRPr="00FD20B4" w:rsidRDefault="00285C72" w:rsidP="00285C72">
      <w:pPr>
        <w:pStyle w:val="TableTitle"/>
        <w:rPr>
          <w:bCs/>
        </w:rPr>
      </w:pPr>
      <w:r w:rsidRPr="00FD20B4">
        <w:rPr>
          <w:b w:val="0"/>
        </w:rPr>
        <w:lastRenderedPageBreak/>
        <w:t>Table 16.8</w:t>
      </w:r>
      <w:r w:rsidRPr="00FD20B4">
        <w:tab/>
        <w:t>N</w:t>
      </w:r>
      <w:r w:rsidRPr="00FD20B4">
        <w:rPr>
          <w:bCs/>
        </w:rPr>
        <w:t xml:space="preserve">umber and rate of detainees who self-harmed or attempted suicide in custody </w:t>
      </w:r>
      <w:r w:rsidRPr="00FD20B4">
        <w:rPr>
          <w:bCs/>
          <w:u w:val="single"/>
        </w:rPr>
        <w:t>not</w:t>
      </w:r>
      <w:r w:rsidRPr="00FD20B4">
        <w:rPr>
          <w:bCs/>
        </w:rPr>
        <w:t xml:space="preserve"> requiring hospitalisation, by Indigenous status, 2012-13</w:t>
      </w:r>
      <w:r w:rsidRPr="00FD20B4">
        <w:rPr>
          <w:rStyle w:val="NoteLabel"/>
          <w:b/>
        </w:rPr>
        <w:t>a, b, c</w:t>
      </w:r>
    </w:p>
    <w:tbl>
      <w:tblPr>
        <w:tblW w:w="5000" w:type="pct"/>
        <w:tblLayout w:type="fixed"/>
        <w:tblCellMar>
          <w:left w:w="0" w:type="dxa"/>
          <w:right w:w="0" w:type="dxa"/>
        </w:tblCellMar>
        <w:tblLook w:val="0000" w:firstRow="0" w:lastRow="0" w:firstColumn="0" w:lastColumn="0" w:noHBand="0" w:noVBand="0"/>
      </w:tblPr>
      <w:tblGrid>
        <w:gridCol w:w="3119"/>
        <w:gridCol w:w="709"/>
        <w:gridCol w:w="709"/>
        <w:gridCol w:w="708"/>
        <w:gridCol w:w="710"/>
        <w:gridCol w:w="708"/>
        <w:gridCol w:w="708"/>
        <w:gridCol w:w="708"/>
        <w:gridCol w:w="710"/>
      </w:tblGrid>
      <w:tr w:rsidR="00285C72" w:rsidRPr="00FD20B4" w:rsidTr="00D46D60">
        <w:tc>
          <w:tcPr>
            <w:tcW w:w="1774" w:type="pct"/>
            <w:tcBorders>
              <w:top w:val="single" w:sz="6" w:space="0" w:color="auto"/>
              <w:bottom w:val="single" w:sz="6" w:space="0" w:color="auto"/>
            </w:tcBorders>
          </w:tcPr>
          <w:p w:rsidR="00285C72" w:rsidRPr="00FD20B4" w:rsidRDefault="00285C72" w:rsidP="00D46D60">
            <w:pPr>
              <w:pStyle w:val="TableColumnHeading"/>
              <w:jc w:val="left"/>
            </w:pPr>
          </w:p>
        </w:tc>
        <w:tc>
          <w:tcPr>
            <w:tcW w:w="403"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NSW</w:t>
            </w:r>
          </w:p>
        </w:tc>
        <w:tc>
          <w:tcPr>
            <w:tcW w:w="403"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Vic</w:t>
            </w:r>
          </w:p>
        </w:tc>
        <w:tc>
          <w:tcPr>
            <w:tcW w:w="403"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Qld</w:t>
            </w:r>
          </w:p>
        </w:tc>
        <w:tc>
          <w:tcPr>
            <w:tcW w:w="404"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WA</w:t>
            </w:r>
          </w:p>
        </w:tc>
        <w:tc>
          <w:tcPr>
            <w:tcW w:w="403"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SA</w:t>
            </w:r>
          </w:p>
        </w:tc>
        <w:tc>
          <w:tcPr>
            <w:tcW w:w="403"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Tas</w:t>
            </w:r>
          </w:p>
        </w:tc>
        <w:tc>
          <w:tcPr>
            <w:tcW w:w="403"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ACT</w:t>
            </w:r>
          </w:p>
        </w:tc>
        <w:tc>
          <w:tcPr>
            <w:tcW w:w="404"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NT</w:t>
            </w:r>
          </w:p>
        </w:tc>
      </w:tr>
      <w:tr w:rsidR="00285C72" w:rsidRPr="00FD20B4" w:rsidTr="00D46D60">
        <w:tc>
          <w:tcPr>
            <w:tcW w:w="1774" w:type="pct"/>
          </w:tcPr>
          <w:p w:rsidR="00285C72" w:rsidRPr="00FD20B4" w:rsidRDefault="00285C72" w:rsidP="00D46D60">
            <w:pPr>
              <w:pStyle w:val="TableBodyText"/>
              <w:jc w:val="left"/>
              <w:rPr>
                <w:b/>
              </w:rPr>
            </w:pPr>
            <w:r w:rsidRPr="00FD20B4">
              <w:rPr>
                <w:b/>
              </w:rPr>
              <w:t>Number of detainees who self</w:t>
            </w:r>
            <w:r w:rsidRPr="00FD20B4">
              <w:rPr>
                <w:b/>
              </w:rPr>
              <w:noBreakHyphen/>
              <w:t xml:space="preserve">harmed or attempted suicide in custody </w:t>
            </w:r>
            <w:r w:rsidRPr="00FD20B4">
              <w:rPr>
                <w:b/>
                <w:u w:val="single"/>
              </w:rPr>
              <w:t>not</w:t>
            </w:r>
            <w:r w:rsidRPr="00FD20B4">
              <w:rPr>
                <w:b/>
              </w:rPr>
              <w:t xml:space="preserve"> requiring hospitalisation</w:t>
            </w: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4"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4" w:type="pct"/>
            <w:vAlign w:val="center"/>
          </w:tcPr>
          <w:p w:rsidR="00285C72" w:rsidRPr="00FD20B4" w:rsidRDefault="00285C72" w:rsidP="00D46D60">
            <w:pPr>
              <w:pStyle w:val="TableBodyText"/>
            </w:pPr>
          </w:p>
        </w:tc>
      </w:tr>
      <w:tr w:rsidR="00285C72" w:rsidRPr="00FD20B4" w:rsidTr="00D46D60">
        <w:tc>
          <w:tcPr>
            <w:tcW w:w="1774" w:type="pct"/>
          </w:tcPr>
          <w:p w:rsidR="00285C72" w:rsidRPr="00FD20B4" w:rsidRDefault="00285C72" w:rsidP="00D46D60">
            <w:pPr>
              <w:pStyle w:val="TableBodyText"/>
              <w:ind w:left="284"/>
              <w:jc w:val="left"/>
            </w:pPr>
            <w:r w:rsidRPr="00FD20B4">
              <w:t>Indigenous</w:t>
            </w:r>
          </w:p>
        </w:tc>
        <w:tc>
          <w:tcPr>
            <w:tcW w:w="403" w:type="pct"/>
            <w:vAlign w:val="center"/>
          </w:tcPr>
          <w:p w:rsidR="00285C72" w:rsidRPr="00FD20B4" w:rsidRDefault="00285C72" w:rsidP="00D46D60">
            <w:pPr>
              <w:pStyle w:val="TableBodyText"/>
            </w:pPr>
            <w:r w:rsidRPr="00FD20B4">
              <w:t xml:space="preserve">  23.0</w:t>
            </w:r>
          </w:p>
        </w:tc>
        <w:tc>
          <w:tcPr>
            <w:tcW w:w="403"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5.0</w:t>
            </w:r>
          </w:p>
        </w:tc>
        <w:tc>
          <w:tcPr>
            <w:tcW w:w="404"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6.0</w:t>
            </w:r>
          </w:p>
        </w:tc>
        <w:tc>
          <w:tcPr>
            <w:tcW w:w="403" w:type="pct"/>
            <w:vAlign w:val="center"/>
          </w:tcPr>
          <w:p w:rsidR="00285C72" w:rsidRPr="00FD20B4" w:rsidRDefault="00285C72" w:rsidP="00D46D60">
            <w:pPr>
              <w:pStyle w:val="TableBodyText"/>
            </w:pPr>
            <w:r w:rsidRPr="00FD20B4">
              <w:t xml:space="preserve">  2.0</w:t>
            </w:r>
          </w:p>
        </w:tc>
        <w:tc>
          <w:tcPr>
            <w:tcW w:w="403" w:type="pct"/>
            <w:vAlign w:val="center"/>
          </w:tcPr>
          <w:p w:rsidR="00285C72" w:rsidRPr="00FD20B4" w:rsidRDefault="00285C72" w:rsidP="00D46D60">
            <w:pPr>
              <w:pStyle w:val="TableBodyText"/>
            </w:pPr>
            <w:r w:rsidRPr="00FD20B4">
              <w:t>–</w:t>
            </w:r>
          </w:p>
        </w:tc>
        <w:tc>
          <w:tcPr>
            <w:tcW w:w="404" w:type="pct"/>
            <w:vAlign w:val="center"/>
          </w:tcPr>
          <w:p w:rsidR="00285C72" w:rsidRPr="00FD20B4" w:rsidRDefault="00285C72" w:rsidP="00D46D60">
            <w:pPr>
              <w:pStyle w:val="TableBodyText"/>
            </w:pPr>
            <w:r w:rsidRPr="00FD20B4">
              <w:t xml:space="preserve">  19.0</w:t>
            </w:r>
          </w:p>
        </w:tc>
      </w:tr>
      <w:tr w:rsidR="00285C72" w:rsidRPr="00FD20B4" w:rsidTr="00D46D60">
        <w:tc>
          <w:tcPr>
            <w:tcW w:w="1774" w:type="pct"/>
          </w:tcPr>
          <w:p w:rsidR="00285C72" w:rsidRPr="00FD20B4" w:rsidRDefault="00285C72" w:rsidP="00D46D60">
            <w:pPr>
              <w:pStyle w:val="TableBodyText"/>
              <w:ind w:left="284"/>
              <w:jc w:val="left"/>
            </w:pPr>
            <w:r w:rsidRPr="00FD20B4">
              <w:t>Non-Indigenous</w:t>
            </w:r>
          </w:p>
        </w:tc>
        <w:tc>
          <w:tcPr>
            <w:tcW w:w="403" w:type="pct"/>
            <w:vAlign w:val="center"/>
          </w:tcPr>
          <w:p w:rsidR="00285C72" w:rsidRPr="00FD20B4" w:rsidRDefault="00285C72" w:rsidP="00D46D60">
            <w:pPr>
              <w:pStyle w:val="TableBodyText"/>
            </w:pPr>
            <w:r w:rsidRPr="00FD20B4">
              <w:t xml:space="preserve">  12.0</w:t>
            </w:r>
          </w:p>
        </w:tc>
        <w:tc>
          <w:tcPr>
            <w:tcW w:w="403"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6.0</w:t>
            </w:r>
          </w:p>
        </w:tc>
        <w:tc>
          <w:tcPr>
            <w:tcW w:w="404"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10.0</w:t>
            </w:r>
          </w:p>
        </w:tc>
        <w:tc>
          <w:tcPr>
            <w:tcW w:w="403" w:type="pct"/>
            <w:vAlign w:val="center"/>
          </w:tcPr>
          <w:p w:rsidR="00285C72" w:rsidRPr="00FD20B4" w:rsidRDefault="00285C72" w:rsidP="00D46D60">
            <w:pPr>
              <w:pStyle w:val="TableBodyText"/>
            </w:pPr>
            <w:r w:rsidRPr="00FD20B4">
              <w:t xml:space="preserve">  6.0</w:t>
            </w:r>
          </w:p>
        </w:tc>
        <w:tc>
          <w:tcPr>
            <w:tcW w:w="403" w:type="pct"/>
            <w:vAlign w:val="center"/>
          </w:tcPr>
          <w:p w:rsidR="00285C72" w:rsidRPr="00FD20B4" w:rsidRDefault="00285C72" w:rsidP="00D46D60">
            <w:pPr>
              <w:pStyle w:val="TableBodyText"/>
            </w:pPr>
            <w:r w:rsidRPr="00FD20B4">
              <w:t xml:space="preserve">  3.0</w:t>
            </w:r>
          </w:p>
        </w:tc>
        <w:tc>
          <w:tcPr>
            <w:tcW w:w="404" w:type="pct"/>
            <w:vAlign w:val="center"/>
          </w:tcPr>
          <w:p w:rsidR="00285C72" w:rsidRPr="00FD20B4" w:rsidRDefault="00285C72" w:rsidP="00D46D60">
            <w:pPr>
              <w:pStyle w:val="TableBodyText"/>
            </w:pPr>
            <w:r w:rsidRPr="00FD20B4">
              <w:t xml:space="preserve">  2.0</w:t>
            </w:r>
          </w:p>
        </w:tc>
      </w:tr>
      <w:tr w:rsidR="00285C72" w:rsidRPr="00FD20B4" w:rsidTr="00D46D60">
        <w:tc>
          <w:tcPr>
            <w:tcW w:w="1774" w:type="pct"/>
          </w:tcPr>
          <w:p w:rsidR="00285C72" w:rsidRPr="00FD20B4" w:rsidRDefault="00285C72" w:rsidP="00D46D60">
            <w:pPr>
              <w:pStyle w:val="TableBodyText"/>
              <w:ind w:left="284"/>
              <w:jc w:val="left"/>
            </w:pPr>
            <w:r w:rsidRPr="00FD20B4">
              <w:t>Unknown</w:t>
            </w:r>
          </w:p>
        </w:tc>
        <w:tc>
          <w:tcPr>
            <w:tcW w:w="403" w:type="pct"/>
            <w:vAlign w:val="center"/>
          </w:tcPr>
          <w:p w:rsidR="00285C72" w:rsidRPr="00FD20B4" w:rsidRDefault="00285C72" w:rsidP="00D46D60">
            <w:pPr>
              <w:pStyle w:val="TableBodyText"/>
            </w:pPr>
            <w:r w:rsidRPr="00FD20B4">
              <w:t>–</w:t>
            </w:r>
          </w:p>
        </w:tc>
        <w:tc>
          <w:tcPr>
            <w:tcW w:w="403" w:type="pct"/>
            <w:vAlign w:val="center"/>
          </w:tcPr>
          <w:p w:rsidR="00285C72" w:rsidRPr="00FD20B4" w:rsidRDefault="00285C72" w:rsidP="00D46D60">
            <w:pPr>
              <w:pStyle w:val="TableBodyText"/>
            </w:pPr>
            <w:r w:rsidRPr="00FD20B4">
              <w:t xml:space="preserve">  5.0</w:t>
            </w:r>
          </w:p>
        </w:tc>
        <w:tc>
          <w:tcPr>
            <w:tcW w:w="403" w:type="pct"/>
            <w:vAlign w:val="center"/>
          </w:tcPr>
          <w:p w:rsidR="00285C72" w:rsidRPr="00FD20B4" w:rsidRDefault="00285C72" w:rsidP="00D46D60">
            <w:pPr>
              <w:pStyle w:val="TableBodyText"/>
            </w:pPr>
            <w:r w:rsidRPr="00FD20B4">
              <w:t>–</w:t>
            </w:r>
          </w:p>
        </w:tc>
        <w:tc>
          <w:tcPr>
            <w:tcW w:w="404"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w:t>
            </w:r>
          </w:p>
        </w:tc>
        <w:tc>
          <w:tcPr>
            <w:tcW w:w="403" w:type="pct"/>
            <w:vAlign w:val="center"/>
          </w:tcPr>
          <w:p w:rsidR="00285C72" w:rsidRPr="00FD20B4" w:rsidRDefault="00285C72" w:rsidP="00D46D60">
            <w:pPr>
              <w:pStyle w:val="TableBodyText"/>
            </w:pPr>
            <w:r w:rsidRPr="00FD20B4">
              <w:t>–</w:t>
            </w:r>
          </w:p>
        </w:tc>
        <w:tc>
          <w:tcPr>
            <w:tcW w:w="403" w:type="pct"/>
            <w:vAlign w:val="center"/>
          </w:tcPr>
          <w:p w:rsidR="00285C72" w:rsidRPr="00FD20B4" w:rsidRDefault="00285C72" w:rsidP="00D46D60">
            <w:pPr>
              <w:pStyle w:val="TableBodyText"/>
            </w:pPr>
            <w:r w:rsidRPr="00FD20B4">
              <w:t>–</w:t>
            </w:r>
          </w:p>
        </w:tc>
        <w:tc>
          <w:tcPr>
            <w:tcW w:w="404" w:type="pct"/>
            <w:vAlign w:val="center"/>
          </w:tcPr>
          <w:p w:rsidR="00285C72" w:rsidRPr="00FD20B4" w:rsidRDefault="00285C72" w:rsidP="00D46D60">
            <w:pPr>
              <w:pStyle w:val="TableBodyText"/>
            </w:pPr>
            <w:r w:rsidRPr="00FD20B4">
              <w:t>–</w:t>
            </w:r>
          </w:p>
        </w:tc>
      </w:tr>
      <w:tr w:rsidR="00285C72" w:rsidRPr="00FD20B4" w:rsidTr="00D46D60">
        <w:tc>
          <w:tcPr>
            <w:tcW w:w="1774" w:type="pct"/>
          </w:tcPr>
          <w:p w:rsidR="00285C72" w:rsidRPr="00FD20B4" w:rsidRDefault="00285C72" w:rsidP="00D46D60">
            <w:pPr>
              <w:pStyle w:val="TableBodyText"/>
              <w:ind w:left="284"/>
              <w:jc w:val="left"/>
            </w:pPr>
            <w:r w:rsidRPr="00FD20B4">
              <w:t>Total</w:t>
            </w:r>
          </w:p>
        </w:tc>
        <w:tc>
          <w:tcPr>
            <w:tcW w:w="403" w:type="pct"/>
            <w:vAlign w:val="center"/>
          </w:tcPr>
          <w:p w:rsidR="00285C72" w:rsidRPr="00FD20B4" w:rsidRDefault="00285C72" w:rsidP="00D46D60">
            <w:pPr>
              <w:pStyle w:val="TableBodyText"/>
            </w:pPr>
            <w:r w:rsidRPr="00FD20B4">
              <w:t xml:space="preserve">  35.0</w:t>
            </w:r>
          </w:p>
        </w:tc>
        <w:tc>
          <w:tcPr>
            <w:tcW w:w="403" w:type="pct"/>
            <w:vAlign w:val="center"/>
          </w:tcPr>
          <w:p w:rsidR="00285C72" w:rsidRPr="00FD20B4" w:rsidRDefault="00285C72" w:rsidP="00D46D60">
            <w:pPr>
              <w:pStyle w:val="TableBodyText"/>
            </w:pPr>
            <w:r w:rsidRPr="00FD20B4">
              <w:t xml:space="preserve">  5.0</w:t>
            </w:r>
          </w:p>
        </w:tc>
        <w:tc>
          <w:tcPr>
            <w:tcW w:w="403" w:type="pct"/>
            <w:vAlign w:val="center"/>
          </w:tcPr>
          <w:p w:rsidR="00285C72" w:rsidRPr="00FD20B4" w:rsidRDefault="00285C72" w:rsidP="00D46D60">
            <w:pPr>
              <w:pStyle w:val="TableBodyText"/>
            </w:pPr>
            <w:r w:rsidRPr="00FD20B4">
              <w:t xml:space="preserve">  11.0</w:t>
            </w:r>
          </w:p>
        </w:tc>
        <w:tc>
          <w:tcPr>
            <w:tcW w:w="404"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16.0</w:t>
            </w:r>
          </w:p>
        </w:tc>
        <w:tc>
          <w:tcPr>
            <w:tcW w:w="403" w:type="pct"/>
            <w:vAlign w:val="center"/>
          </w:tcPr>
          <w:p w:rsidR="00285C72" w:rsidRPr="00FD20B4" w:rsidRDefault="00285C72" w:rsidP="00D46D60">
            <w:pPr>
              <w:pStyle w:val="TableBodyText"/>
            </w:pPr>
            <w:r w:rsidRPr="00FD20B4">
              <w:t xml:space="preserve">  8.0</w:t>
            </w:r>
          </w:p>
        </w:tc>
        <w:tc>
          <w:tcPr>
            <w:tcW w:w="403" w:type="pct"/>
            <w:vAlign w:val="center"/>
          </w:tcPr>
          <w:p w:rsidR="00285C72" w:rsidRPr="00FD20B4" w:rsidRDefault="00285C72" w:rsidP="00D46D60">
            <w:pPr>
              <w:pStyle w:val="TableBodyText"/>
            </w:pPr>
            <w:r w:rsidRPr="00FD20B4">
              <w:t xml:space="preserve">  3.0</w:t>
            </w:r>
          </w:p>
        </w:tc>
        <w:tc>
          <w:tcPr>
            <w:tcW w:w="404" w:type="pct"/>
            <w:vAlign w:val="center"/>
          </w:tcPr>
          <w:p w:rsidR="00285C72" w:rsidRPr="00FD20B4" w:rsidRDefault="00285C72" w:rsidP="00D46D60">
            <w:pPr>
              <w:pStyle w:val="TableBodyText"/>
            </w:pPr>
            <w:r w:rsidRPr="00FD20B4">
              <w:t xml:space="preserve">  21.0</w:t>
            </w:r>
          </w:p>
        </w:tc>
      </w:tr>
      <w:tr w:rsidR="00285C72" w:rsidRPr="00FD20B4" w:rsidTr="00D46D60">
        <w:tc>
          <w:tcPr>
            <w:tcW w:w="1774" w:type="pct"/>
          </w:tcPr>
          <w:p w:rsidR="00285C72" w:rsidRPr="00FD20B4" w:rsidRDefault="00285C72" w:rsidP="00D46D60">
            <w:pPr>
              <w:pStyle w:val="TableBodyText"/>
              <w:ind w:right="0"/>
              <w:jc w:val="left"/>
              <w:rPr>
                <w:b/>
              </w:rPr>
            </w:pPr>
            <w:r w:rsidRPr="00FD20B4">
              <w:rPr>
                <w:b/>
              </w:rPr>
              <w:t>Rate per 10 000 custody nights</w:t>
            </w: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4"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3" w:type="pct"/>
            <w:vAlign w:val="center"/>
          </w:tcPr>
          <w:p w:rsidR="00285C72" w:rsidRPr="00FD20B4" w:rsidRDefault="00285C72" w:rsidP="00D46D60">
            <w:pPr>
              <w:pStyle w:val="TableBodyText"/>
            </w:pPr>
          </w:p>
        </w:tc>
        <w:tc>
          <w:tcPr>
            <w:tcW w:w="404" w:type="pct"/>
            <w:vAlign w:val="center"/>
          </w:tcPr>
          <w:p w:rsidR="00285C72" w:rsidRPr="00FD20B4" w:rsidRDefault="00285C72" w:rsidP="00D46D60">
            <w:pPr>
              <w:pStyle w:val="TableBodyText"/>
            </w:pPr>
          </w:p>
        </w:tc>
      </w:tr>
      <w:tr w:rsidR="00285C72" w:rsidRPr="00FD20B4" w:rsidTr="00D46D60">
        <w:tc>
          <w:tcPr>
            <w:tcW w:w="1774" w:type="pct"/>
          </w:tcPr>
          <w:p w:rsidR="00285C72" w:rsidRPr="00FD20B4" w:rsidRDefault="00285C72" w:rsidP="00D46D60">
            <w:pPr>
              <w:pStyle w:val="TableBodyText"/>
              <w:ind w:left="284"/>
              <w:jc w:val="left"/>
            </w:pPr>
            <w:r w:rsidRPr="00FD20B4">
              <w:t>Indigenous</w:t>
            </w:r>
          </w:p>
        </w:tc>
        <w:tc>
          <w:tcPr>
            <w:tcW w:w="403" w:type="pct"/>
            <w:vAlign w:val="center"/>
          </w:tcPr>
          <w:p w:rsidR="00285C72" w:rsidRPr="00FD20B4" w:rsidRDefault="00285C72" w:rsidP="00D46D60">
            <w:pPr>
              <w:pStyle w:val="TableBodyText"/>
            </w:pPr>
            <w:r w:rsidRPr="00FD20B4">
              <w:t xml:space="preserve">  3.8</w:t>
            </w:r>
          </w:p>
        </w:tc>
        <w:tc>
          <w:tcPr>
            <w:tcW w:w="403"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1.3</w:t>
            </w:r>
          </w:p>
        </w:tc>
        <w:tc>
          <w:tcPr>
            <w:tcW w:w="404"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6.3</w:t>
            </w:r>
          </w:p>
        </w:tc>
        <w:tc>
          <w:tcPr>
            <w:tcW w:w="403" w:type="pct"/>
            <w:vAlign w:val="center"/>
          </w:tcPr>
          <w:p w:rsidR="00285C72" w:rsidRPr="00FD20B4" w:rsidRDefault="00285C72" w:rsidP="00D46D60">
            <w:pPr>
              <w:pStyle w:val="TableBodyText"/>
            </w:pPr>
            <w:r w:rsidRPr="00FD20B4">
              <w:t xml:space="preserve">  64.1</w:t>
            </w:r>
          </w:p>
        </w:tc>
        <w:tc>
          <w:tcPr>
            <w:tcW w:w="403" w:type="pct"/>
            <w:vAlign w:val="center"/>
          </w:tcPr>
          <w:p w:rsidR="00285C72" w:rsidRPr="00FD20B4" w:rsidRDefault="00285C72" w:rsidP="00D46D60">
            <w:pPr>
              <w:pStyle w:val="TableBodyText"/>
            </w:pPr>
            <w:r w:rsidRPr="00FD20B4">
              <w:t>–</w:t>
            </w:r>
          </w:p>
        </w:tc>
        <w:tc>
          <w:tcPr>
            <w:tcW w:w="404" w:type="pct"/>
            <w:vAlign w:val="center"/>
          </w:tcPr>
          <w:p w:rsidR="00285C72" w:rsidRPr="00FD20B4" w:rsidRDefault="00285C72" w:rsidP="00D46D60">
            <w:pPr>
              <w:pStyle w:val="TableBodyText"/>
            </w:pPr>
            <w:r w:rsidRPr="00FD20B4">
              <w:t xml:space="preserve">  11.2</w:t>
            </w:r>
          </w:p>
        </w:tc>
      </w:tr>
      <w:tr w:rsidR="00285C72" w:rsidRPr="00FD20B4" w:rsidTr="00D46D60">
        <w:tc>
          <w:tcPr>
            <w:tcW w:w="1774" w:type="pct"/>
          </w:tcPr>
          <w:p w:rsidR="00285C72" w:rsidRPr="00FD20B4" w:rsidRDefault="00285C72" w:rsidP="00D46D60">
            <w:pPr>
              <w:pStyle w:val="TableBodyText"/>
              <w:ind w:left="284"/>
              <w:jc w:val="left"/>
            </w:pPr>
            <w:r w:rsidRPr="00FD20B4">
              <w:t>Non-Indigenous</w:t>
            </w:r>
          </w:p>
        </w:tc>
        <w:tc>
          <w:tcPr>
            <w:tcW w:w="403" w:type="pct"/>
            <w:vAlign w:val="center"/>
          </w:tcPr>
          <w:p w:rsidR="00285C72" w:rsidRPr="00FD20B4" w:rsidRDefault="00285C72" w:rsidP="00D46D60">
            <w:pPr>
              <w:pStyle w:val="TableBodyText"/>
            </w:pPr>
            <w:r w:rsidRPr="00FD20B4">
              <w:t xml:space="preserve">  2.1</w:t>
            </w:r>
          </w:p>
        </w:tc>
        <w:tc>
          <w:tcPr>
            <w:tcW w:w="403"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3.1</w:t>
            </w:r>
          </w:p>
        </w:tc>
        <w:tc>
          <w:tcPr>
            <w:tcW w:w="404"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 xml:space="preserve">  8.3</w:t>
            </w:r>
          </w:p>
        </w:tc>
        <w:tc>
          <w:tcPr>
            <w:tcW w:w="403" w:type="pct"/>
            <w:vAlign w:val="center"/>
          </w:tcPr>
          <w:p w:rsidR="00285C72" w:rsidRPr="00FD20B4" w:rsidRDefault="00285C72" w:rsidP="00D46D60">
            <w:pPr>
              <w:pStyle w:val="TableBodyText"/>
            </w:pPr>
            <w:r w:rsidRPr="00FD20B4">
              <w:t xml:space="preserve">  9.3</w:t>
            </w:r>
          </w:p>
        </w:tc>
        <w:tc>
          <w:tcPr>
            <w:tcW w:w="403" w:type="pct"/>
            <w:vAlign w:val="center"/>
          </w:tcPr>
          <w:p w:rsidR="00285C72" w:rsidRPr="00FD20B4" w:rsidRDefault="00285C72" w:rsidP="00D46D60">
            <w:pPr>
              <w:pStyle w:val="TableBodyText"/>
            </w:pPr>
            <w:r w:rsidRPr="00FD20B4">
              <w:t xml:space="preserve">  6.1</w:t>
            </w:r>
          </w:p>
        </w:tc>
        <w:tc>
          <w:tcPr>
            <w:tcW w:w="404" w:type="pct"/>
            <w:vAlign w:val="center"/>
          </w:tcPr>
          <w:p w:rsidR="00285C72" w:rsidRPr="00FD20B4" w:rsidRDefault="00285C72" w:rsidP="00D46D60">
            <w:pPr>
              <w:pStyle w:val="TableBodyText"/>
            </w:pPr>
            <w:r w:rsidRPr="00FD20B4">
              <w:t xml:space="preserve">  20.6</w:t>
            </w:r>
          </w:p>
        </w:tc>
      </w:tr>
      <w:tr w:rsidR="00285C72" w:rsidRPr="00FD20B4" w:rsidTr="00D46D60">
        <w:tc>
          <w:tcPr>
            <w:tcW w:w="1774" w:type="pct"/>
          </w:tcPr>
          <w:p w:rsidR="00285C72" w:rsidRPr="00FD20B4" w:rsidRDefault="00285C72" w:rsidP="00D46D60">
            <w:pPr>
              <w:pStyle w:val="TableBodyText"/>
              <w:ind w:left="284"/>
              <w:jc w:val="left"/>
            </w:pPr>
            <w:r w:rsidRPr="00FD20B4">
              <w:t>Unknown</w:t>
            </w:r>
          </w:p>
        </w:tc>
        <w:tc>
          <w:tcPr>
            <w:tcW w:w="403" w:type="pct"/>
            <w:vAlign w:val="center"/>
          </w:tcPr>
          <w:p w:rsidR="00285C72" w:rsidRPr="00FD20B4" w:rsidRDefault="00285C72" w:rsidP="00D46D60">
            <w:pPr>
              <w:pStyle w:val="TableBodyText"/>
            </w:pPr>
            <w:r w:rsidRPr="00FD20B4">
              <w:t>–</w:t>
            </w:r>
          </w:p>
        </w:tc>
        <w:tc>
          <w:tcPr>
            <w:tcW w:w="403"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w:t>
            </w:r>
          </w:p>
        </w:tc>
        <w:tc>
          <w:tcPr>
            <w:tcW w:w="404" w:type="pct"/>
            <w:vAlign w:val="center"/>
          </w:tcPr>
          <w:p w:rsidR="00285C72" w:rsidRPr="00FD20B4" w:rsidRDefault="00285C72" w:rsidP="00D46D60">
            <w:pPr>
              <w:pStyle w:val="TableBodyText"/>
            </w:pPr>
            <w:r w:rsidRPr="00FD20B4">
              <w:t>na</w:t>
            </w:r>
          </w:p>
        </w:tc>
        <w:tc>
          <w:tcPr>
            <w:tcW w:w="403" w:type="pct"/>
            <w:vAlign w:val="center"/>
          </w:tcPr>
          <w:p w:rsidR="00285C72" w:rsidRPr="00FD20B4" w:rsidRDefault="00285C72" w:rsidP="00D46D60">
            <w:pPr>
              <w:pStyle w:val="TableBodyText"/>
            </w:pPr>
            <w:r w:rsidRPr="00FD20B4">
              <w:t>–</w:t>
            </w:r>
          </w:p>
        </w:tc>
        <w:tc>
          <w:tcPr>
            <w:tcW w:w="403" w:type="pct"/>
            <w:vAlign w:val="center"/>
          </w:tcPr>
          <w:p w:rsidR="00285C72" w:rsidRPr="00FD20B4" w:rsidRDefault="00285C72" w:rsidP="00D46D60">
            <w:pPr>
              <w:pStyle w:val="TableBodyText"/>
            </w:pPr>
            <w:r w:rsidRPr="00FD20B4">
              <w:t>–</w:t>
            </w:r>
          </w:p>
        </w:tc>
        <w:tc>
          <w:tcPr>
            <w:tcW w:w="403" w:type="pct"/>
            <w:vAlign w:val="center"/>
          </w:tcPr>
          <w:p w:rsidR="00285C72" w:rsidRPr="00FD20B4" w:rsidRDefault="00285C72" w:rsidP="00D46D60">
            <w:pPr>
              <w:pStyle w:val="TableBodyText"/>
            </w:pPr>
            <w:r w:rsidRPr="00FD20B4">
              <w:t>–</w:t>
            </w:r>
          </w:p>
        </w:tc>
        <w:tc>
          <w:tcPr>
            <w:tcW w:w="404" w:type="pct"/>
            <w:vAlign w:val="center"/>
          </w:tcPr>
          <w:p w:rsidR="00285C72" w:rsidRPr="00FD20B4" w:rsidRDefault="00285C72" w:rsidP="00D46D60">
            <w:pPr>
              <w:pStyle w:val="TableBodyText"/>
            </w:pPr>
            <w:r w:rsidRPr="00FD20B4">
              <w:t>–</w:t>
            </w:r>
          </w:p>
        </w:tc>
      </w:tr>
      <w:tr w:rsidR="00285C72" w:rsidRPr="00FD20B4" w:rsidTr="00D46D60">
        <w:tc>
          <w:tcPr>
            <w:tcW w:w="1774" w:type="pct"/>
            <w:tcBorders>
              <w:bottom w:val="single" w:sz="4" w:space="0" w:color="auto"/>
            </w:tcBorders>
          </w:tcPr>
          <w:p w:rsidR="00285C72" w:rsidRPr="00FD20B4" w:rsidRDefault="00285C72" w:rsidP="00D46D60">
            <w:pPr>
              <w:pStyle w:val="TableBodyText"/>
              <w:ind w:left="284"/>
              <w:jc w:val="left"/>
            </w:pPr>
            <w:r w:rsidRPr="00FD20B4">
              <w:t>Total</w:t>
            </w:r>
          </w:p>
        </w:tc>
        <w:tc>
          <w:tcPr>
            <w:tcW w:w="403" w:type="pct"/>
            <w:tcBorders>
              <w:bottom w:val="single" w:sz="4" w:space="0" w:color="auto"/>
            </w:tcBorders>
            <w:vAlign w:val="center"/>
          </w:tcPr>
          <w:p w:rsidR="00285C72" w:rsidRPr="00FD20B4" w:rsidRDefault="00285C72" w:rsidP="00D46D60">
            <w:pPr>
              <w:pStyle w:val="TableBodyText"/>
            </w:pPr>
            <w:r w:rsidRPr="00FD20B4">
              <w:t xml:space="preserve">  3.0</w:t>
            </w:r>
          </w:p>
        </w:tc>
        <w:tc>
          <w:tcPr>
            <w:tcW w:w="403" w:type="pct"/>
            <w:tcBorders>
              <w:bottom w:val="single" w:sz="4" w:space="0" w:color="auto"/>
            </w:tcBorders>
            <w:vAlign w:val="center"/>
          </w:tcPr>
          <w:p w:rsidR="00285C72" w:rsidRPr="00FD20B4" w:rsidRDefault="00285C72" w:rsidP="00D46D60">
            <w:pPr>
              <w:pStyle w:val="TableBodyText"/>
            </w:pPr>
            <w:r w:rsidRPr="00FD20B4">
              <w:t xml:space="preserve">  0.8</w:t>
            </w:r>
          </w:p>
        </w:tc>
        <w:tc>
          <w:tcPr>
            <w:tcW w:w="403" w:type="pct"/>
            <w:tcBorders>
              <w:bottom w:val="single" w:sz="4" w:space="0" w:color="auto"/>
            </w:tcBorders>
            <w:vAlign w:val="center"/>
          </w:tcPr>
          <w:p w:rsidR="00285C72" w:rsidRPr="00FD20B4" w:rsidRDefault="00285C72" w:rsidP="00D46D60">
            <w:pPr>
              <w:pStyle w:val="TableBodyText"/>
            </w:pPr>
            <w:r w:rsidRPr="00FD20B4">
              <w:t xml:space="preserve">  1.9</w:t>
            </w:r>
          </w:p>
        </w:tc>
        <w:tc>
          <w:tcPr>
            <w:tcW w:w="404" w:type="pct"/>
            <w:tcBorders>
              <w:bottom w:val="single" w:sz="4" w:space="0" w:color="auto"/>
            </w:tcBorders>
            <w:vAlign w:val="center"/>
          </w:tcPr>
          <w:p w:rsidR="00285C72" w:rsidRPr="00FD20B4" w:rsidRDefault="00285C72" w:rsidP="00D46D60">
            <w:pPr>
              <w:pStyle w:val="TableBodyText"/>
            </w:pPr>
            <w:r w:rsidRPr="00FD20B4">
              <w:t>na</w:t>
            </w:r>
          </w:p>
        </w:tc>
        <w:tc>
          <w:tcPr>
            <w:tcW w:w="403" w:type="pct"/>
            <w:tcBorders>
              <w:bottom w:val="single" w:sz="4" w:space="0" w:color="auto"/>
            </w:tcBorders>
            <w:vAlign w:val="center"/>
          </w:tcPr>
          <w:p w:rsidR="00285C72" w:rsidRPr="00FD20B4" w:rsidRDefault="00285C72" w:rsidP="00D46D60">
            <w:pPr>
              <w:pStyle w:val="TableBodyText"/>
            </w:pPr>
            <w:r w:rsidRPr="00FD20B4">
              <w:t xml:space="preserve">  7.3</w:t>
            </w:r>
          </w:p>
        </w:tc>
        <w:tc>
          <w:tcPr>
            <w:tcW w:w="403" w:type="pct"/>
            <w:tcBorders>
              <w:bottom w:val="single" w:sz="4" w:space="0" w:color="auto"/>
            </w:tcBorders>
            <w:vAlign w:val="center"/>
          </w:tcPr>
          <w:p w:rsidR="00285C72" w:rsidRPr="00FD20B4" w:rsidRDefault="00285C72" w:rsidP="00D46D60">
            <w:pPr>
              <w:pStyle w:val="TableBodyText"/>
            </w:pPr>
            <w:r w:rsidRPr="00FD20B4">
              <w:t xml:space="preserve">  11.9</w:t>
            </w:r>
          </w:p>
        </w:tc>
        <w:tc>
          <w:tcPr>
            <w:tcW w:w="403" w:type="pct"/>
            <w:tcBorders>
              <w:bottom w:val="single" w:sz="4" w:space="0" w:color="auto"/>
            </w:tcBorders>
            <w:vAlign w:val="center"/>
          </w:tcPr>
          <w:p w:rsidR="00285C72" w:rsidRPr="00FD20B4" w:rsidRDefault="00285C72" w:rsidP="00D46D60">
            <w:pPr>
              <w:pStyle w:val="TableBodyText"/>
            </w:pPr>
            <w:r w:rsidRPr="00FD20B4">
              <w:t xml:space="preserve">  4.6</w:t>
            </w:r>
          </w:p>
        </w:tc>
        <w:tc>
          <w:tcPr>
            <w:tcW w:w="404" w:type="pct"/>
            <w:tcBorders>
              <w:bottom w:val="single" w:sz="4" w:space="0" w:color="auto"/>
            </w:tcBorders>
            <w:vAlign w:val="center"/>
          </w:tcPr>
          <w:p w:rsidR="00285C72" w:rsidRPr="00FD20B4" w:rsidRDefault="00285C72" w:rsidP="00D46D60">
            <w:pPr>
              <w:pStyle w:val="TableBodyText"/>
            </w:pPr>
            <w:r w:rsidRPr="00FD20B4">
              <w:t xml:space="preserve">  11.7</w:t>
            </w:r>
          </w:p>
        </w:tc>
      </w:tr>
    </w:tbl>
    <w:p w:rsidR="00285C72" w:rsidRPr="00FD20B4" w:rsidRDefault="00285C72" w:rsidP="00285C72">
      <w:pPr>
        <w:pStyle w:val="Note"/>
        <w:keepNext/>
      </w:pPr>
      <w:r w:rsidRPr="00FD20B4">
        <w:rPr>
          <w:rStyle w:val="NoteLabel"/>
        </w:rPr>
        <w:t xml:space="preserve">a </w:t>
      </w:r>
      <w:r w:rsidRPr="00FD20B4">
        <w:t xml:space="preserve">Data were not available for WA. </w:t>
      </w:r>
      <w:r w:rsidRPr="00FD20B4">
        <w:rPr>
          <w:rStyle w:val="NoteLabel"/>
        </w:rPr>
        <w:t>b</w:t>
      </w:r>
      <w:r w:rsidRPr="00FD20B4">
        <w:t xml:space="preserve"> Data reported for this indicator are not comparable and need to be interpreted with caution. Methods of data collection vary across jurisdictions (for example, manual case file review, the collation of electronic incident reports) and jurisdictions’ ability to report on this measure is dependent on relevant incidents having first been documented. </w:t>
      </w:r>
      <w:r w:rsidRPr="00FD20B4">
        <w:rPr>
          <w:rStyle w:val="NoteLabel"/>
        </w:rPr>
        <w:t>c</w:t>
      </w:r>
      <w:r w:rsidRPr="00FD20B4">
        <w:t xml:space="preserve"> Refer to table 16A.20 for detailed footnotes. </w:t>
      </w:r>
      <w:r w:rsidRPr="00FD20B4">
        <w:rPr>
          <w:rStyle w:val="NoteLabel"/>
        </w:rPr>
        <w:t xml:space="preserve"> </w:t>
      </w:r>
      <w:r w:rsidRPr="00FD20B4">
        <w:rPr>
          <w:b/>
        </w:rPr>
        <w:t>na</w:t>
      </w:r>
      <w:r w:rsidRPr="00FD20B4">
        <w:t xml:space="preserve"> Not available. – Nil or rounded to zero.</w:t>
      </w:r>
    </w:p>
    <w:p w:rsidR="00285C72" w:rsidRPr="00FD20B4" w:rsidRDefault="00285C72" w:rsidP="00285C72">
      <w:pPr>
        <w:pStyle w:val="Source"/>
        <w:keepNext/>
      </w:pPr>
      <w:r w:rsidRPr="00FD20B4">
        <w:rPr>
          <w:i/>
        </w:rPr>
        <w:t>Source</w:t>
      </w:r>
      <w:r w:rsidRPr="00FD20B4">
        <w:t>: State and Territory governments (unpublished); table 16A.20; 2014 Report, table 16.8, p. 15.33.</w:t>
      </w:r>
    </w:p>
    <w:p w:rsidR="00285C72" w:rsidRPr="00FD20B4" w:rsidRDefault="00285C72" w:rsidP="00285C72">
      <w:pPr>
        <w:pStyle w:val="TableTitle"/>
        <w:rPr>
          <w:bCs/>
        </w:rPr>
      </w:pPr>
      <w:r w:rsidRPr="00FD20B4">
        <w:rPr>
          <w:b w:val="0"/>
        </w:rPr>
        <w:t>Table 16.9</w:t>
      </w:r>
      <w:r w:rsidRPr="00FD20B4">
        <w:tab/>
        <w:t>N</w:t>
      </w:r>
      <w:r w:rsidRPr="00FD20B4">
        <w:rPr>
          <w:bCs/>
        </w:rPr>
        <w:t xml:space="preserve">umber and rate of incidents of self-harm or attempted suicide in custody </w:t>
      </w:r>
      <w:r w:rsidRPr="00FD20B4">
        <w:rPr>
          <w:bCs/>
          <w:u w:val="single"/>
        </w:rPr>
        <w:t>not</w:t>
      </w:r>
      <w:r w:rsidRPr="00FD20B4">
        <w:rPr>
          <w:bCs/>
        </w:rPr>
        <w:t xml:space="preserve"> requiring hospitalisation, by Indigenous status, 2012-13</w:t>
      </w:r>
      <w:r w:rsidRPr="00FD20B4">
        <w:rPr>
          <w:rStyle w:val="NoteLabel"/>
          <w:b/>
        </w:rPr>
        <w:t>a, b, c</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285C72" w:rsidRPr="00FD20B4" w:rsidTr="00D46D60">
        <w:tc>
          <w:tcPr>
            <w:tcW w:w="1732" w:type="pct"/>
            <w:tcBorders>
              <w:top w:val="single" w:sz="6" w:space="0" w:color="auto"/>
              <w:bottom w:val="single" w:sz="6" w:space="0" w:color="auto"/>
            </w:tcBorders>
          </w:tcPr>
          <w:p w:rsidR="00285C72" w:rsidRPr="00FD20B4" w:rsidRDefault="00285C72" w:rsidP="00D46D60">
            <w:pPr>
              <w:pStyle w:val="TableColumnHeading"/>
              <w:jc w:val="left"/>
            </w:pP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NSW</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Vic</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Qld</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WA</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SA</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Tas</w:t>
            </w:r>
          </w:p>
        </w:tc>
        <w:tc>
          <w:tcPr>
            <w:tcW w:w="408"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ACT</w:t>
            </w:r>
          </w:p>
        </w:tc>
        <w:tc>
          <w:tcPr>
            <w:tcW w:w="409" w:type="pct"/>
            <w:tcBorders>
              <w:top w:val="single" w:sz="6" w:space="0" w:color="auto"/>
              <w:bottom w:val="single" w:sz="6" w:space="0" w:color="auto"/>
            </w:tcBorders>
          </w:tcPr>
          <w:p w:rsidR="00285C72" w:rsidRPr="00FD20B4" w:rsidRDefault="00285C72" w:rsidP="00D46D60">
            <w:pPr>
              <w:pStyle w:val="TableColumnHeading"/>
              <w:rPr>
                <w:rStyle w:val="NoteLabel"/>
              </w:rPr>
            </w:pPr>
            <w:r w:rsidRPr="00FD20B4">
              <w:t>NT</w:t>
            </w:r>
          </w:p>
        </w:tc>
      </w:tr>
      <w:tr w:rsidR="00285C72" w:rsidRPr="00FD20B4" w:rsidTr="00D46D60">
        <w:tc>
          <w:tcPr>
            <w:tcW w:w="1732" w:type="pct"/>
          </w:tcPr>
          <w:p w:rsidR="00285C72" w:rsidRPr="00FD20B4" w:rsidRDefault="00285C72" w:rsidP="00D46D60">
            <w:pPr>
              <w:pStyle w:val="TableBodyText"/>
              <w:jc w:val="left"/>
              <w:rPr>
                <w:b/>
              </w:rPr>
            </w:pPr>
            <w:r w:rsidRPr="00FD20B4">
              <w:rPr>
                <w:b/>
              </w:rPr>
              <w:t>Number of incidents of self</w:t>
            </w:r>
            <w:r w:rsidRPr="00FD20B4">
              <w:rPr>
                <w:b/>
              </w:rPr>
              <w:noBreakHyphen/>
              <w:t xml:space="preserve">harm or attempted suicide in custody </w:t>
            </w:r>
            <w:r w:rsidRPr="00FD20B4">
              <w:rPr>
                <w:b/>
                <w:u w:val="single"/>
              </w:rPr>
              <w:t>not</w:t>
            </w:r>
            <w:r w:rsidRPr="00FD20B4">
              <w:rPr>
                <w:b/>
              </w:rPr>
              <w:t xml:space="preserve"> requiring hospitalisation</w:t>
            </w: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r>
      <w:tr w:rsidR="00285C72" w:rsidRPr="00FD20B4" w:rsidTr="00D46D60">
        <w:tc>
          <w:tcPr>
            <w:tcW w:w="1732" w:type="pct"/>
          </w:tcPr>
          <w:p w:rsidR="00285C72" w:rsidRPr="00FD20B4" w:rsidRDefault="00285C72" w:rsidP="00D46D60">
            <w:pPr>
              <w:pStyle w:val="TableBodyText"/>
              <w:ind w:left="284"/>
              <w:jc w:val="left"/>
            </w:pPr>
            <w:r w:rsidRPr="00FD20B4">
              <w:t>Indigenous</w:t>
            </w:r>
          </w:p>
        </w:tc>
        <w:tc>
          <w:tcPr>
            <w:tcW w:w="408" w:type="pct"/>
            <w:vAlign w:val="center"/>
          </w:tcPr>
          <w:p w:rsidR="00285C72" w:rsidRPr="00FD20B4" w:rsidRDefault="00285C72" w:rsidP="00D46D60">
            <w:pPr>
              <w:pStyle w:val="TableBodyText"/>
            </w:pPr>
            <w:r w:rsidRPr="00FD20B4">
              <w:t xml:space="preserve">  23.0</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5.0</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8.0</w:t>
            </w:r>
          </w:p>
        </w:tc>
        <w:tc>
          <w:tcPr>
            <w:tcW w:w="409" w:type="pct"/>
            <w:vAlign w:val="center"/>
          </w:tcPr>
          <w:p w:rsidR="00285C72" w:rsidRPr="00FD20B4" w:rsidRDefault="00285C72" w:rsidP="00D46D60">
            <w:pPr>
              <w:pStyle w:val="TableBodyText"/>
            </w:pPr>
            <w:r w:rsidRPr="00FD20B4">
              <w:t xml:space="preserve">  2.0</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 xml:space="preserve">  29.0</w:t>
            </w:r>
          </w:p>
        </w:tc>
      </w:tr>
      <w:tr w:rsidR="00285C72" w:rsidRPr="00FD20B4" w:rsidTr="00D46D60">
        <w:tc>
          <w:tcPr>
            <w:tcW w:w="1732" w:type="pct"/>
          </w:tcPr>
          <w:p w:rsidR="00285C72" w:rsidRPr="00FD20B4" w:rsidRDefault="00285C72" w:rsidP="00D46D60">
            <w:pPr>
              <w:pStyle w:val="TableBodyText"/>
              <w:ind w:left="284"/>
              <w:jc w:val="left"/>
            </w:pPr>
            <w:r w:rsidRPr="00FD20B4">
              <w:t>Non-Indigenous</w:t>
            </w:r>
          </w:p>
        </w:tc>
        <w:tc>
          <w:tcPr>
            <w:tcW w:w="408" w:type="pct"/>
            <w:vAlign w:val="center"/>
          </w:tcPr>
          <w:p w:rsidR="00285C72" w:rsidRPr="00FD20B4" w:rsidRDefault="00285C72" w:rsidP="00D46D60">
            <w:pPr>
              <w:pStyle w:val="TableBodyText"/>
            </w:pPr>
            <w:r w:rsidRPr="00FD20B4">
              <w:t xml:space="preserve">  12.0</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13.0</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18.0</w:t>
            </w:r>
          </w:p>
        </w:tc>
        <w:tc>
          <w:tcPr>
            <w:tcW w:w="409" w:type="pct"/>
            <w:vAlign w:val="center"/>
          </w:tcPr>
          <w:p w:rsidR="00285C72" w:rsidRPr="00FD20B4" w:rsidRDefault="00285C72" w:rsidP="00D46D60">
            <w:pPr>
              <w:pStyle w:val="TableBodyText"/>
            </w:pPr>
            <w:r w:rsidRPr="00FD20B4">
              <w:t xml:space="preserve">  6.0</w:t>
            </w:r>
          </w:p>
        </w:tc>
        <w:tc>
          <w:tcPr>
            <w:tcW w:w="408" w:type="pct"/>
            <w:vAlign w:val="center"/>
          </w:tcPr>
          <w:p w:rsidR="00285C72" w:rsidRPr="00FD20B4" w:rsidRDefault="00285C72" w:rsidP="00D46D60">
            <w:pPr>
              <w:pStyle w:val="TableBodyText"/>
            </w:pPr>
            <w:r w:rsidRPr="00FD20B4">
              <w:t xml:space="preserve">  3.0</w:t>
            </w:r>
          </w:p>
        </w:tc>
        <w:tc>
          <w:tcPr>
            <w:tcW w:w="409" w:type="pct"/>
            <w:vAlign w:val="center"/>
          </w:tcPr>
          <w:p w:rsidR="00285C72" w:rsidRPr="00FD20B4" w:rsidRDefault="00285C72" w:rsidP="00D46D60">
            <w:pPr>
              <w:pStyle w:val="TableBodyText"/>
            </w:pPr>
            <w:r w:rsidRPr="00FD20B4">
              <w:t xml:space="preserve">  3.0</w:t>
            </w:r>
          </w:p>
        </w:tc>
      </w:tr>
      <w:tr w:rsidR="00285C72" w:rsidRPr="00FD20B4" w:rsidTr="00D46D60">
        <w:tc>
          <w:tcPr>
            <w:tcW w:w="1732" w:type="pct"/>
          </w:tcPr>
          <w:p w:rsidR="00285C72" w:rsidRPr="00FD20B4" w:rsidRDefault="00285C72" w:rsidP="00D46D60">
            <w:pPr>
              <w:pStyle w:val="TableBodyText"/>
              <w:ind w:left="284"/>
              <w:jc w:val="left"/>
            </w:pPr>
            <w:r w:rsidRPr="00FD20B4">
              <w:t>Unknown</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 xml:space="preserve">  5.0</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Pr>
          <w:p w:rsidR="00285C72" w:rsidRPr="00FD20B4" w:rsidRDefault="00285C72" w:rsidP="00D46D60">
            <w:pPr>
              <w:pStyle w:val="TableBodyText"/>
              <w:ind w:left="284"/>
              <w:jc w:val="left"/>
            </w:pPr>
            <w:r w:rsidRPr="00FD20B4">
              <w:t>Total</w:t>
            </w:r>
          </w:p>
        </w:tc>
        <w:tc>
          <w:tcPr>
            <w:tcW w:w="408" w:type="pct"/>
            <w:vAlign w:val="center"/>
          </w:tcPr>
          <w:p w:rsidR="00285C72" w:rsidRPr="00FD20B4" w:rsidRDefault="00285C72" w:rsidP="00D46D60">
            <w:pPr>
              <w:pStyle w:val="TableBodyText"/>
            </w:pPr>
            <w:r w:rsidRPr="00FD20B4">
              <w:t xml:space="preserve">  35.0</w:t>
            </w:r>
          </w:p>
        </w:tc>
        <w:tc>
          <w:tcPr>
            <w:tcW w:w="409" w:type="pct"/>
            <w:vAlign w:val="center"/>
          </w:tcPr>
          <w:p w:rsidR="00285C72" w:rsidRPr="00FD20B4" w:rsidRDefault="00285C72" w:rsidP="00D46D60">
            <w:pPr>
              <w:pStyle w:val="TableBodyText"/>
            </w:pPr>
            <w:r w:rsidRPr="00FD20B4">
              <w:t xml:space="preserve">  5.0</w:t>
            </w:r>
          </w:p>
        </w:tc>
        <w:tc>
          <w:tcPr>
            <w:tcW w:w="408" w:type="pct"/>
            <w:vAlign w:val="center"/>
          </w:tcPr>
          <w:p w:rsidR="00285C72" w:rsidRPr="00FD20B4" w:rsidRDefault="00285C72" w:rsidP="00D46D60">
            <w:pPr>
              <w:pStyle w:val="TableBodyText"/>
            </w:pPr>
            <w:r w:rsidRPr="00FD20B4">
              <w:t xml:space="preserve">  18.0</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26.0</w:t>
            </w:r>
          </w:p>
        </w:tc>
        <w:tc>
          <w:tcPr>
            <w:tcW w:w="409" w:type="pct"/>
            <w:vAlign w:val="center"/>
          </w:tcPr>
          <w:p w:rsidR="00285C72" w:rsidRPr="00FD20B4" w:rsidRDefault="00285C72" w:rsidP="00D46D60">
            <w:pPr>
              <w:pStyle w:val="TableBodyText"/>
            </w:pPr>
            <w:r w:rsidRPr="00FD20B4">
              <w:t xml:space="preserve">  8.0</w:t>
            </w:r>
          </w:p>
        </w:tc>
        <w:tc>
          <w:tcPr>
            <w:tcW w:w="408" w:type="pct"/>
            <w:vAlign w:val="center"/>
          </w:tcPr>
          <w:p w:rsidR="00285C72" w:rsidRPr="00FD20B4" w:rsidRDefault="00285C72" w:rsidP="00D46D60">
            <w:pPr>
              <w:pStyle w:val="TableBodyText"/>
            </w:pPr>
            <w:r w:rsidRPr="00FD20B4">
              <w:t xml:space="preserve">  3.0</w:t>
            </w:r>
          </w:p>
        </w:tc>
        <w:tc>
          <w:tcPr>
            <w:tcW w:w="409" w:type="pct"/>
            <w:vAlign w:val="center"/>
          </w:tcPr>
          <w:p w:rsidR="00285C72" w:rsidRPr="00FD20B4" w:rsidRDefault="00285C72" w:rsidP="00D46D60">
            <w:pPr>
              <w:pStyle w:val="TableBodyText"/>
            </w:pPr>
            <w:r w:rsidRPr="00FD20B4">
              <w:t xml:space="preserve">  32.0</w:t>
            </w:r>
          </w:p>
        </w:tc>
      </w:tr>
      <w:tr w:rsidR="00285C72" w:rsidRPr="00FD20B4" w:rsidTr="00D46D60">
        <w:tc>
          <w:tcPr>
            <w:tcW w:w="1732" w:type="pct"/>
          </w:tcPr>
          <w:p w:rsidR="00285C72" w:rsidRPr="00FD20B4" w:rsidRDefault="00285C72" w:rsidP="00D46D60">
            <w:pPr>
              <w:pStyle w:val="TableBodyText"/>
              <w:ind w:right="0"/>
              <w:jc w:val="left"/>
              <w:rPr>
                <w:b/>
              </w:rPr>
            </w:pPr>
            <w:r w:rsidRPr="00FD20B4">
              <w:rPr>
                <w:b/>
              </w:rPr>
              <w:t>Rate per 10 000 custody nights</w:t>
            </w: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c>
          <w:tcPr>
            <w:tcW w:w="408" w:type="pct"/>
            <w:vAlign w:val="center"/>
          </w:tcPr>
          <w:p w:rsidR="00285C72" w:rsidRPr="00FD20B4" w:rsidRDefault="00285C72" w:rsidP="00D46D60">
            <w:pPr>
              <w:pStyle w:val="TableBodyText"/>
            </w:pPr>
          </w:p>
        </w:tc>
        <w:tc>
          <w:tcPr>
            <w:tcW w:w="409" w:type="pct"/>
            <w:vAlign w:val="center"/>
          </w:tcPr>
          <w:p w:rsidR="00285C72" w:rsidRPr="00FD20B4" w:rsidRDefault="00285C72" w:rsidP="00D46D60">
            <w:pPr>
              <w:pStyle w:val="TableBodyText"/>
            </w:pPr>
          </w:p>
        </w:tc>
      </w:tr>
      <w:tr w:rsidR="00285C72" w:rsidRPr="00FD20B4" w:rsidTr="00D46D60">
        <w:tc>
          <w:tcPr>
            <w:tcW w:w="1732" w:type="pct"/>
          </w:tcPr>
          <w:p w:rsidR="00285C72" w:rsidRPr="00FD20B4" w:rsidRDefault="00285C72" w:rsidP="00D46D60">
            <w:pPr>
              <w:pStyle w:val="TableBodyText"/>
              <w:ind w:left="284"/>
              <w:jc w:val="left"/>
            </w:pPr>
            <w:r w:rsidRPr="00FD20B4">
              <w:t>Indigenous</w:t>
            </w:r>
          </w:p>
        </w:tc>
        <w:tc>
          <w:tcPr>
            <w:tcW w:w="408" w:type="pct"/>
            <w:vAlign w:val="center"/>
          </w:tcPr>
          <w:p w:rsidR="00285C72" w:rsidRPr="00FD20B4" w:rsidRDefault="00285C72" w:rsidP="00D46D60">
            <w:pPr>
              <w:pStyle w:val="TableBodyText"/>
            </w:pPr>
            <w:r w:rsidRPr="00FD20B4">
              <w:t xml:space="preserve">  3.8</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1.3</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8.5</w:t>
            </w:r>
          </w:p>
        </w:tc>
        <w:tc>
          <w:tcPr>
            <w:tcW w:w="409" w:type="pct"/>
            <w:vAlign w:val="center"/>
          </w:tcPr>
          <w:p w:rsidR="00285C72" w:rsidRPr="00FD20B4" w:rsidRDefault="00285C72" w:rsidP="00D46D60">
            <w:pPr>
              <w:pStyle w:val="TableBodyText"/>
            </w:pPr>
            <w:r w:rsidRPr="00FD20B4">
              <w:t xml:space="preserve">  64.1</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 xml:space="preserve">  17.1</w:t>
            </w:r>
          </w:p>
        </w:tc>
      </w:tr>
      <w:tr w:rsidR="00285C72" w:rsidRPr="00FD20B4" w:rsidTr="00D46D60">
        <w:tc>
          <w:tcPr>
            <w:tcW w:w="1732" w:type="pct"/>
          </w:tcPr>
          <w:p w:rsidR="00285C72" w:rsidRPr="00FD20B4" w:rsidRDefault="00285C72" w:rsidP="00D46D60">
            <w:pPr>
              <w:pStyle w:val="TableBodyText"/>
              <w:ind w:left="284"/>
              <w:jc w:val="left"/>
            </w:pPr>
            <w:r w:rsidRPr="00FD20B4">
              <w:t>Non-Indigenous</w:t>
            </w:r>
          </w:p>
        </w:tc>
        <w:tc>
          <w:tcPr>
            <w:tcW w:w="408" w:type="pct"/>
            <w:vAlign w:val="center"/>
          </w:tcPr>
          <w:p w:rsidR="00285C72" w:rsidRPr="00FD20B4" w:rsidRDefault="00285C72" w:rsidP="00D46D60">
            <w:pPr>
              <w:pStyle w:val="TableBodyText"/>
            </w:pPr>
            <w:r w:rsidRPr="00FD20B4">
              <w:t xml:space="preserve">  2.1</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6.7</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 xml:space="preserve">  15.0</w:t>
            </w:r>
          </w:p>
        </w:tc>
        <w:tc>
          <w:tcPr>
            <w:tcW w:w="409" w:type="pct"/>
            <w:vAlign w:val="center"/>
          </w:tcPr>
          <w:p w:rsidR="00285C72" w:rsidRPr="00FD20B4" w:rsidRDefault="00285C72" w:rsidP="00D46D60">
            <w:pPr>
              <w:pStyle w:val="TableBodyText"/>
            </w:pPr>
            <w:r w:rsidRPr="00FD20B4">
              <w:t xml:space="preserve">  9.3</w:t>
            </w:r>
          </w:p>
        </w:tc>
        <w:tc>
          <w:tcPr>
            <w:tcW w:w="408" w:type="pct"/>
            <w:vAlign w:val="center"/>
          </w:tcPr>
          <w:p w:rsidR="00285C72" w:rsidRPr="00FD20B4" w:rsidRDefault="00285C72" w:rsidP="00D46D60">
            <w:pPr>
              <w:pStyle w:val="TableBodyText"/>
            </w:pPr>
            <w:r w:rsidRPr="00FD20B4">
              <w:t xml:space="preserve">  6.1</w:t>
            </w:r>
          </w:p>
        </w:tc>
        <w:tc>
          <w:tcPr>
            <w:tcW w:w="409" w:type="pct"/>
            <w:vAlign w:val="center"/>
          </w:tcPr>
          <w:p w:rsidR="00285C72" w:rsidRPr="00FD20B4" w:rsidRDefault="00285C72" w:rsidP="00D46D60">
            <w:pPr>
              <w:pStyle w:val="TableBodyText"/>
            </w:pPr>
            <w:r w:rsidRPr="00FD20B4">
              <w:t xml:space="preserve">  30.9</w:t>
            </w:r>
          </w:p>
        </w:tc>
      </w:tr>
      <w:tr w:rsidR="00285C72" w:rsidRPr="00FD20B4" w:rsidTr="00D46D60">
        <w:tc>
          <w:tcPr>
            <w:tcW w:w="1732" w:type="pct"/>
          </w:tcPr>
          <w:p w:rsidR="00285C72" w:rsidRPr="00FD20B4" w:rsidRDefault="00285C72" w:rsidP="00D46D60">
            <w:pPr>
              <w:pStyle w:val="TableBodyText"/>
              <w:ind w:left="284"/>
              <w:jc w:val="left"/>
            </w:pPr>
            <w:r w:rsidRPr="00FD20B4">
              <w:t>Unknown</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na</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c>
          <w:tcPr>
            <w:tcW w:w="408" w:type="pct"/>
            <w:vAlign w:val="center"/>
          </w:tcPr>
          <w:p w:rsidR="00285C72" w:rsidRPr="00FD20B4" w:rsidRDefault="00285C72" w:rsidP="00D46D60">
            <w:pPr>
              <w:pStyle w:val="TableBodyText"/>
            </w:pPr>
            <w:r w:rsidRPr="00FD20B4">
              <w:t>–</w:t>
            </w:r>
          </w:p>
        </w:tc>
        <w:tc>
          <w:tcPr>
            <w:tcW w:w="409" w:type="pct"/>
            <w:vAlign w:val="center"/>
          </w:tcPr>
          <w:p w:rsidR="00285C72" w:rsidRPr="00FD20B4" w:rsidRDefault="00285C72" w:rsidP="00D46D60">
            <w:pPr>
              <w:pStyle w:val="TableBodyText"/>
            </w:pPr>
            <w:r w:rsidRPr="00FD20B4">
              <w:t>–</w:t>
            </w:r>
          </w:p>
        </w:tc>
      </w:tr>
      <w:tr w:rsidR="00285C72" w:rsidRPr="00FD20B4" w:rsidTr="00D46D60">
        <w:tc>
          <w:tcPr>
            <w:tcW w:w="1732" w:type="pct"/>
            <w:tcBorders>
              <w:bottom w:val="single" w:sz="4" w:space="0" w:color="auto"/>
            </w:tcBorders>
          </w:tcPr>
          <w:p w:rsidR="00285C72" w:rsidRPr="00FD20B4" w:rsidRDefault="00285C72" w:rsidP="00D46D60">
            <w:pPr>
              <w:pStyle w:val="TableBodyText"/>
              <w:ind w:left="284"/>
              <w:jc w:val="left"/>
            </w:pPr>
            <w:r w:rsidRPr="00FD20B4">
              <w:t>Total</w:t>
            </w:r>
          </w:p>
        </w:tc>
        <w:tc>
          <w:tcPr>
            <w:tcW w:w="408" w:type="pct"/>
            <w:tcBorders>
              <w:bottom w:val="single" w:sz="4" w:space="0" w:color="auto"/>
            </w:tcBorders>
            <w:vAlign w:val="center"/>
          </w:tcPr>
          <w:p w:rsidR="00285C72" w:rsidRPr="00FD20B4" w:rsidRDefault="00285C72" w:rsidP="00D46D60">
            <w:pPr>
              <w:pStyle w:val="TableBodyText"/>
            </w:pPr>
            <w:r w:rsidRPr="00FD20B4">
              <w:t xml:space="preserve">  3.0</w:t>
            </w:r>
          </w:p>
        </w:tc>
        <w:tc>
          <w:tcPr>
            <w:tcW w:w="409" w:type="pct"/>
            <w:tcBorders>
              <w:bottom w:val="single" w:sz="4" w:space="0" w:color="auto"/>
            </w:tcBorders>
            <w:vAlign w:val="center"/>
          </w:tcPr>
          <w:p w:rsidR="00285C72" w:rsidRPr="00FD20B4" w:rsidRDefault="00285C72" w:rsidP="00D46D60">
            <w:pPr>
              <w:pStyle w:val="TableBodyText"/>
            </w:pPr>
            <w:r w:rsidRPr="00FD20B4">
              <w:t xml:space="preserve">  0.8</w:t>
            </w:r>
          </w:p>
        </w:tc>
        <w:tc>
          <w:tcPr>
            <w:tcW w:w="408" w:type="pct"/>
            <w:tcBorders>
              <w:bottom w:val="single" w:sz="4" w:space="0" w:color="auto"/>
            </w:tcBorders>
            <w:vAlign w:val="center"/>
          </w:tcPr>
          <w:p w:rsidR="00285C72" w:rsidRPr="00FD20B4" w:rsidRDefault="00285C72" w:rsidP="00D46D60">
            <w:pPr>
              <w:pStyle w:val="TableBodyText"/>
            </w:pPr>
            <w:r w:rsidRPr="00FD20B4">
              <w:t xml:space="preserve">  3.1</w:t>
            </w:r>
          </w:p>
        </w:tc>
        <w:tc>
          <w:tcPr>
            <w:tcW w:w="409" w:type="pct"/>
            <w:tcBorders>
              <w:bottom w:val="single" w:sz="4" w:space="0" w:color="auto"/>
            </w:tcBorders>
            <w:vAlign w:val="center"/>
          </w:tcPr>
          <w:p w:rsidR="00285C72" w:rsidRPr="00FD20B4" w:rsidRDefault="00285C72" w:rsidP="00D46D60">
            <w:pPr>
              <w:pStyle w:val="TableBodyText"/>
            </w:pPr>
            <w:r w:rsidRPr="00FD20B4">
              <w:t>na</w:t>
            </w:r>
          </w:p>
        </w:tc>
        <w:tc>
          <w:tcPr>
            <w:tcW w:w="408" w:type="pct"/>
            <w:tcBorders>
              <w:bottom w:val="single" w:sz="4" w:space="0" w:color="auto"/>
            </w:tcBorders>
            <w:vAlign w:val="center"/>
          </w:tcPr>
          <w:p w:rsidR="00285C72" w:rsidRPr="00FD20B4" w:rsidRDefault="00285C72" w:rsidP="00D46D60">
            <w:pPr>
              <w:pStyle w:val="TableBodyText"/>
            </w:pPr>
            <w:r w:rsidRPr="00FD20B4">
              <w:t xml:space="preserve">  11.9</w:t>
            </w:r>
          </w:p>
        </w:tc>
        <w:tc>
          <w:tcPr>
            <w:tcW w:w="409" w:type="pct"/>
            <w:tcBorders>
              <w:bottom w:val="single" w:sz="4" w:space="0" w:color="auto"/>
            </w:tcBorders>
            <w:vAlign w:val="center"/>
          </w:tcPr>
          <w:p w:rsidR="00285C72" w:rsidRPr="00FD20B4" w:rsidRDefault="00285C72" w:rsidP="00D46D60">
            <w:pPr>
              <w:pStyle w:val="TableBodyText"/>
            </w:pPr>
            <w:r w:rsidRPr="00FD20B4">
              <w:t xml:space="preserve">  11.9</w:t>
            </w:r>
          </w:p>
        </w:tc>
        <w:tc>
          <w:tcPr>
            <w:tcW w:w="408" w:type="pct"/>
            <w:tcBorders>
              <w:bottom w:val="single" w:sz="4" w:space="0" w:color="auto"/>
            </w:tcBorders>
            <w:vAlign w:val="center"/>
          </w:tcPr>
          <w:p w:rsidR="00285C72" w:rsidRPr="00FD20B4" w:rsidRDefault="00285C72" w:rsidP="00D46D60">
            <w:pPr>
              <w:pStyle w:val="TableBodyText"/>
            </w:pPr>
            <w:r w:rsidRPr="00FD20B4">
              <w:t xml:space="preserve">  4.6</w:t>
            </w:r>
          </w:p>
        </w:tc>
        <w:tc>
          <w:tcPr>
            <w:tcW w:w="409" w:type="pct"/>
            <w:tcBorders>
              <w:bottom w:val="single" w:sz="4" w:space="0" w:color="auto"/>
            </w:tcBorders>
            <w:vAlign w:val="center"/>
          </w:tcPr>
          <w:p w:rsidR="00285C72" w:rsidRPr="00FD20B4" w:rsidRDefault="00285C72" w:rsidP="00D46D60">
            <w:pPr>
              <w:pStyle w:val="TableBodyText"/>
            </w:pPr>
            <w:r w:rsidRPr="00FD20B4">
              <w:t xml:space="preserve">  17.9</w:t>
            </w:r>
          </w:p>
        </w:tc>
      </w:tr>
    </w:tbl>
    <w:p w:rsidR="00285C72" w:rsidRPr="00FD20B4" w:rsidRDefault="00285C72" w:rsidP="00285C72">
      <w:pPr>
        <w:pStyle w:val="Note"/>
      </w:pPr>
      <w:r w:rsidRPr="00FD20B4">
        <w:rPr>
          <w:rStyle w:val="NoteLabel"/>
        </w:rPr>
        <w:t xml:space="preserve">a </w:t>
      </w:r>
      <w:bookmarkStart w:id="66" w:name="OLE_LINK84"/>
      <w:bookmarkStart w:id="67" w:name="OLE_LINK92"/>
      <w:r w:rsidRPr="00FD20B4">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FD20B4">
        <w:rPr>
          <w:rStyle w:val="NoteLabel"/>
        </w:rPr>
        <w:t>b</w:t>
      </w:r>
      <w:r w:rsidRPr="00FD20B4">
        <w:t xml:space="preserve"> Data were not available for WA.</w:t>
      </w:r>
      <w:bookmarkEnd w:id="66"/>
      <w:bookmarkEnd w:id="67"/>
      <w:r w:rsidRPr="00FD20B4">
        <w:rPr>
          <w:szCs w:val="18"/>
        </w:rPr>
        <w:t xml:space="preserve"> </w:t>
      </w:r>
      <w:r w:rsidRPr="00FD20B4">
        <w:rPr>
          <w:rStyle w:val="NoteLabel"/>
        </w:rPr>
        <w:t>c</w:t>
      </w:r>
      <w:r w:rsidRPr="00FD20B4">
        <w:t xml:space="preserve"> Refer to table 16A.20 for detailed footnotes. </w:t>
      </w:r>
      <w:r w:rsidRPr="00FD20B4">
        <w:rPr>
          <w:b/>
          <w:szCs w:val="18"/>
        </w:rPr>
        <w:t>na</w:t>
      </w:r>
      <w:r w:rsidRPr="00FD20B4">
        <w:rPr>
          <w:szCs w:val="18"/>
        </w:rPr>
        <w:t xml:space="preserve"> Not available. – Nil or rounded to zero.</w:t>
      </w:r>
    </w:p>
    <w:p w:rsidR="00285C72" w:rsidRPr="00FD20B4" w:rsidRDefault="00285C72" w:rsidP="00285C72">
      <w:pPr>
        <w:pStyle w:val="Source"/>
      </w:pPr>
      <w:r w:rsidRPr="00FD20B4">
        <w:rPr>
          <w:i/>
        </w:rPr>
        <w:t>Source</w:t>
      </w:r>
      <w:r w:rsidRPr="00FD20B4">
        <w:t>: State and Territory governments (unpublished); table 16A.20; 2014 Report, table 16.9, p. 15.33.</w:t>
      </w:r>
    </w:p>
    <w:p w:rsidR="00C72769" w:rsidRPr="00FD20B4" w:rsidRDefault="00C72769" w:rsidP="00C72769">
      <w:pPr>
        <w:keepNext/>
        <w:spacing w:before="480" w:line="320" w:lineRule="exact"/>
        <w:outlineLvl w:val="3"/>
        <w:rPr>
          <w:i/>
          <w:szCs w:val="20"/>
        </w:rPr>
      </w:pPr>
      <w:bookmarkStart w:id="68" w:name="_Toc348952928"/>
      <w:bookmarkStart w:id="69" w:name="_Toc351361369"/>
      <w:bookmarkStart w:id="70" w:name="_Toc384645336"/>
      <w:bookmarkStart w:id="71" w:name="_Toc320770838"/>
      <w:bookmarkStart w:id="72" w:name="_Toc348449381"/>
      <w:r w:rsidRPr="00FD20B4">
        <w:rPr>
          <w:rFonts w:ascii="Arial" w:hAnsi="Arial"/>
          <w:i/>
          <w:sz w:val="24"/>
          <w:szCs w:val="20"/>
        </w:rPr>
        <w:lastRenderedPageBreak/>
        <w:t>Statutory responsibilities — case plans prepared</w:t>
      </w:r>
      <w:bookmarkEnd w:id="68"/>
      <w:bookmarkEnd w:id="69"/>
      <w:bookmarkEnd w:id="70"/>
    </w:p>
    <w:p w:rsidR="00285C72" w:rsidRPr="00FD20B4" w:rsidRDefault="00285C72" w:rsidP="00285C72">
      <w:pPr>
        <w:pStyle w:val="BodyText"/>
      </w:pPr>
      <w:r w:rsidRPr="00FD20B4">
        <w:t>‘Case plans prepared’ is an indicator of governments’ objective to ensure that youth justice agencies support young people to minimise the likelihood of re</w:t>
      </w:r>
      <w:r w:rsidRPr="00FD20B4">
        <w:noBreakHyphen/>
        <w:t>offending by addressing their offending-related needs (box 16.7).</w:t>
      </w:r>
    </w:p>
    <w:p w:rsidR="00D103EE" w:rsidRPr="00FD20B4"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2769" w:rsidRPr="00FD20B4" w:rsidTr="00372932">
        <w:tc>
          <w:tcPr>
            <w:tcW w:w="8771" w:type="dxa"/>
            <w:tcBorders>
              <w:top w:val="single" w:sz="6" w:space="0" w:color="auto"/>
              <w:bottom w:val="nil"/>
            </w:tcBorders>
          </w:tcPr>
          <w:p w:rsidR="00C72769" w:rsidRPr="00FD20B4" w:rsidRDefault="00C72769" w:rsidP="00285C72">
            <w:pPr>
              <w:keepNext/>
              <w:keepLines/>
              <w:spacing w:before="120" w:line="280" w:lineRule="exact"/>
              <w:ind w:left="1304" w:hanging="1304"/>
              <w:rPr>
                <w:rFonts w:ascii="Arial" w:hAnsi="Arial"/>
                <w:b/>
                <w:sz w:val="24"/>
              </w:rPr>
            </w:pPr>
            <w:r w:rsidRPr="00FD20B4">
              <w:rPr>
                <w:rFonts w:ascii="Arial" w:hAnsi="Arial"/>
                <w:sz w:val="24"/>
              </w:rPr>
              <w:t xml:space="preserve">Box </w:t>
            </w:r>
            <w:r w:rsidR="009F41E6" w:rsidRPr="00FD20B4">
              <w:rPr>
                <w:rFonts w:ascii="Arial" w:hAnsi="Arial"/>
                <w:sz w:val="24"/>
              </w:rPr>
              <w:t>1</w:t>
            </w:r>
            <w:r w:rsidR="00285C72" w:rsidRPr="00FD20B4">
              <w:rPr>
                <w:rFonts w:ascii="Arial" w:hAnsi="Arial"/>
                <w:sz w:val="24"/>
              </w:rPr>
              <w:t>6</w:t>
            </w:r>
            <w:r w:rsidR="009F41E6" w:rsidRPr="00FD20B4">
              <w:rPr>
                <w:rFonts w:ascii="Arial" w:hAnsi="Arial"/>
                <w:sz w:val="24"/>
              </w:rPr>
              <w:t>.</w:t>
            </w:r>
            <w:r w:rsidR="00285C72" w:rsidRPr="00FD20B4">
              <w:rPr>
                <w:rFonts w:ascii="Arial" w:hAnsi="Arial"/>
                <w:sz w:val="24"/>
              </w:rPr>
              <w:t>7</w:t>
            </w:r>
            <w:r w:rsidRPr="00FD20B4">
              <w:rPr>
                <w:rFonts w:ascii="Arial" w:hAnsi="Arial"/>
                <w:b/>
                <w:sz w:val="24"/>
              </w:rPr>
              <w:tab/>
              <w:t>Case plans prepared</w:t>
            </w:r>
          </w:p>
        </w:tc>
      </w:tr>
      <w:tr w:rsidR="00C72769" w:rsidRPr="00FD20B4" w:rsidTr="00372932">
        <w:trPr>
          <w:cantSplit/>
        </w:trPr>
        <w:tc>
          <w:tcPr>
            <w:tcW w:w="8771" w:type="dxa"/>
            <w:tcBorders>
              <w:top w:val="nil"/>
              <w:left w:val="single" w:sz="6" w:space="0" w:color="auto"/>
              <w:bottom w:val="nil"/>
              <w:right w:val="single" w:sz="6" w:space="0" w:color="auto"/>
            </w:tcBorders>
          </w:tcPr>
          <w:p w:rsidR="00285C72" w:rsidRPr="00FD20B4" w:rsidRDefault="00285C72" w:rsidP="00285C72">
            <w:pPr>
              <w:pStyle w:val="Box"/>
            </w:pPr>
            <w:r w:rsidRPr="00FD20B4">
              <w:t>‘Case plans prepared’ is defined as the number of eligible young people who had a documented case plan prepared or reviewed within 6 weeks of commencing:</w:t>
            </w:r>
          </w:p>
          <w:p w:rsidR="00285C72" w:rsidRPr="00FD20B4" w:rsidRDefault="00285C72" w:rsidP="00285C72">
            <w:pPr>
              <w:pStyle w:val="BoxListBullet"/>
              <w:numPr>
                <w:ilvl w:val="0"/>
                <w:numId w:val="17"/>
              </w:numPr>
            </w:pPr>
            <w:r w:rsidRPr="00FD20B4">
              <w:t>a sentenced detention order, as a proportion of all young people commencing a sentenced detention order</w:t>
            </w:r>
          </w:p>
          <w:p w:rsidR="00285C72" w:rsidRPr="00FD20B4" w:rsidRDefault="00285C72" w:rsidP="00285C72">
            <w:pPr>
              <w:pStyle w:val="BoxListBullet"/>
              <w:numPr>
                <w:ilvl w:val="0"/>
                <w:numId w:val="17"/>
              </w:numPr>
            </w:pPr>
            <w:r w:rsidRPr="00FD20B4">
              <w:t>a sentenced community-based order, as a proportion of all young people commencing a sentenced community-based order.</w:t>
            </w:r>
          </w:p>
          <w:p w:rsidR="00285C72" w:rsidRPr="00FD20B4" w:rsidRDefault="00285C72" w:rsidP="00285C72">
            <w:pPr>
              <w:pStyle w:val="Box"/>
            </w:pPr>
            <w:r w:rsidRPr="00FD20B4">
              <w:t>An eligible young person is one who is serving a sentenced order that requires case management.</w:t>
            </w:r>
          </w:p>
          <w:p w:rsidR="00285C72" w:rsidRPr="00FD20B4" w:rsidRDefault="00285C72" w:rsidP="00285C72">
            <w:pPr>
              <w:pStyle w:val="Box"/>
            </w:pPr>
            <w:r w:rsidRPr="00FD20B4">
              <w:t>A high or increasing rate of case plans prepared is desirable.</w:t>
            </w:r>
          </w:p>
          <w:p w:rsidR="00285C72" w:rsidRPr="00FD20B4" w:rsidRDefault="00285C72" w:rsidP="00285C72">
            <w:pPr>
              <w:pStyle w:val="Box"/>
              <w:rPr>
                <w:rStyle w:val="DraftingNote"/>
                <w:b w:val="0"/>
                <w:color w:val="auto"/>
                <w:sz w:val="22"/>
                <w:u w:val="none"/>
              </w:rPr>
            </w:pPr>
            <w:r w:rsidRPr="00FD20B4">
              <w:rPr>
                <w:rStyle w:val="DraftingNote"/>
                <w:b w:val="0"/>
                <w:color w:val="auto"/>
                <w:sz w:val="22"/>
                <w:u w:val="none"/>
              </w:rPr>
              <w:t xml:space="preserve">Data reported for these measures are: </w:t>
            </w:r>
          </w:p>
          <w:p w:rsidR="00285C72" w:rsidRPr="00FD20B4" w:rsidRDefault="00285C72" w:rsidP="00285C72">
            <w:pPr>
              <w:pStyle w:val="BoxListBullet"/>
              <w:numPr>
                <w:ilvl w:val="0"/>
                <w:numId w:val="17"/>
              </w:numPr>
              <w:rPr>
                <w:rStyle w:val="DraftingNote"/>
                <w:b w:val="0"/>
                <w:color w:val="auto"/>
                <w:sz w:val="22"/>
                <w:u w:val="none"/>
              </w:rPr>
            </w:pPr>
            <w:r w:rsidRPr="00FD20B4">
              <w:rPr>
                <w:rStyle w:val="DraftingNote"/>
                <w:b w:val="0"/>
                <w:color w:val="auto"/>
                <w:sz w:val="22"/>
                <w:u w:val="none"/>
              </w:rPr>
              <w:t>comparable (subject to caveats) across jurisdictions and over time</w:t>
            </w:r>
          </w:p>
          <w:p w:rsidR="00285C72" w:rsidRPr="00FD20B4" w:rsidRDefault="00285C72" w:rsidP="00285C72">
            <w:pPr>
              <w:pStyle w:val="BoxListBullet"/>
              <w:numPr>
                <w:ilvl w:val="0"/>
                <w:numId w:val="17"/>
              </w:numPr>
              <w:rPr>
                <w:rStyle w:val="DraftingNote"/>
                <w:b w:val="0"/>
                <w:color w:val="auto"/>
                <w:sz w:val="22"/>
                <w:u w:val="none"/>
              </w:rPr>
            </w:pPr>
            <w:r w:rsidRPr="00FD20B4">
              <w:rPr>
                <w:rStyle w:val="DraftingNote"/>
                <w:b w:val="0"/>
                <w:color w:val="auto"/>
                <w:sz w:val="22"/>
                <w:u w:val="none"/>
              </w:rPr>
              <w:t>incomplete for the current reporting period. All required data were not available for the following jurisdictions: SA and Tasmania. In addition, WA could not disaggregate community</w:t>
            </w:r>
            <w:r w:rsidRPr="00FD20B4">
              <w:rPr>
                <w:rStyle w:val="DraftingNote"/>
                <w:b w:val="0"/>
                <w:color w:val="auto"/>
                <w:sz w:val="22"/>
                <w:u w:val="none"/>
              </w:rPr>
              <w:noBreakHyphen/>
              <w:t>based case plans by Indigenous status.</w:t>
            </w:r>
          </w:p>
          <w:p w:rsidR="00C72769" w:rsidRPr="00FD20B4" w:rsidRDefault="00285C72" w:rsidP="00285C72">
            <w:pPr>
              <w:pStyle w:val="Box"/>
            </w:pPr>
            <w:r w:rsidRPr="00FD20B4">
              <w:t>Data quality information for this indicator is at www.pc.gov.au/gsp/reports/rogs/2014.</w:t>
            </w:r>
          </w:p>
        </w:tc>
      </w:tr>
      <w:tr w:rsidR="00C72769" w:rsidRPr="00FD20B4" w:rsidTr="00372932">
        <w:trPr>
          <w:cantSplit/>
        </w:trPr>
        <w:tc>
          <w:tcPr>
            <w:tcW w:w="8771" w:type="dxa"/>
            <w:tcBorders>
              <w:top w:val="nil"/>
              <w:left w:val="single" w:sz="6" w:space="0" w:color="auto"/>
              <w:bottom w:val="single" w:sz="6" w:space="0" w:color="auto"/>
              <w:right w:val="single" w:sz="6" w:space="0" w:color="auto"/>
            </w:tcBorders>
          </w:tcPr>
          <w:p w:rsidR="00C72769" w:rsidRPr="00FD20B4" w:rsidRDefault="00C72769" w:rsidP="00C72769">
            <w:pPr>
              <w:keepNext/>
              <w:spacing w:line="120" w:lineRule="exact"/>
              <w:jc w:val="both"/>
              <w:rPr>
                <w:rFonts w:ascii="Arial" w:hAnsi="Arial"/>
                <w:sz w:val="22"/>
                <w:szCs w:val="20"/>
              </w:rPr>
            </w:pPr>
          </w:p>
        </w:tc>
      </w:tr>
      <w:tr w:rsidR="00C72769" w:rsidRPr="00FD20B4" w:rsidTr="00372932">
        <w:tc>
          <w:tcPr>
            <w:tcW w:w="8771" w:type="dxa"/>
            <w:tcBorders>
              <w:top w:val="nil"/>
              <w:left w:val="nil"/>
              <w:bottom w:val="nil"/>
              <w:right w:val="nil"/>
            </w:tcBorders>
          </w:tcPr>
          <w:p w:rsidR="00C72769" w:rsidRPr="00FD20B4" w:rsidRDefault="00C72769" w:rsidP="00C72769">
            <w:pPr>
              <w:spacing w:before="60" w:after="60" w:line="80" w:lineRule="exact"/>
              <w:jc w:val="both"/>
              <w:rPr>
                <w:rFonts w:ascii="Arial" w:hAnsi="Arial"/>
                <w:b/>
                <w:color w:val="FF00FF"/>
                <w:sz w:val="14"/>
                <w:szCs w:val="20"/>
              </w:rPr>
            </w:pPr>
          </w:p>
        </w:tc>
      </w:tr>
    </w:tbl>
    <w:p w:rsidR="00446D70" w:rsidRPr="00FD20B4" w:rsidRDefault="00446D70" w:rsidP="00446D70">
      <w:pPr>
        <w:pStyle w:val="BodyText"/>
      </w:pPr>
      <w:r w:rsidRPr="00FD20B4">
        <w:t>Nationally, 82.8 per cent of case plans were prepared within 6 weeks of commencing a sentenced community-based order in 2012-13 (figure 16.6(a)). Nationally, 97.8 per cent of case plans were prepared within 6 weeks of commencing a sentenced detention order in 2012-13 (figure 16.6(b)). Proportions varied across jurisdictions.</w:t>
      </w:r>
    </w:p>
    <w:p w:rsidR="00446D70" w:rsidRPr="00FD20B4" w:rsidRDefault="00446D70" w:rsidP="00446D70">
      <w:pPr>
        <w:pStyle w:val="FigureTitle"/>
      </w:pPr>
      <w:r w:rsidRPr="00FD20B4">
        <w:rPr>
          <w:b w:val="0"/>
        </w:rPr>
        <w:lastRenderedPageBreak/>
        <w:t xml:space="preserve">Figure </w:t>
      </w:r>
      <w:bookmarkStart w:id="73" w:name="OLE_LINK104"/>
      <w:r w:rsidRPr="00FD20B4">
        <w:rPr>
          <w:b w:val="0"/>
        </w:rPr>
        <w:t>16.</w:t>
      </w:r>
      <w:bookmarkEnd w:id="73"/>
      <w:r w:rsidRPr="00FD20B4">
        <w:rPr>
          <w:b w:val="0"/>
        </w:rPr>
        <w:t>6</w:t>
      </w:r>
      <w:r w:rsidRPr="00FD20B4">
        <w:rPr>
          <w:b w:val="0"/>
        </w:rPr>
        <w:tab/>
      </w:r>
      <w:r w:rsidRPr="00FD20B4">
        <w:t>Proportion of case plans prepared within 6 weeks of commencing sentenced detention orders and sentenced community-based orders, by Indigenous status, 2012-13</w:t>
      </w:r>
      <w:r w:rsidRPr="00FD20B4">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46D70" w:rsidRPr="00FD20B4" w:rsidTr="00D46D60">
        <w:tc>
          <w:tcPr>
            <w:tcW w:w="8777" w:type="dxa"/>
          </w:tcPr>
          <w:p w:rsidR="00446D70" w:rsidRPr="00FD20B4" w:rsidRDefault="00446D70" w:rsidP="00D46D60">
            <w:pPr>
              <w:pStyle w:val="BoxHeading1"/>
              <w:jc w:val="center"/>
              <w:rPr>
                <w:sz w:val="19"/>
                <w:szCs w:val="19"/>
              </w:rPr>
            </w:pPr>
            <w:r w:rsidRPr="00FD20B4">
              <w:rPr>
                <w:sz w:val="19"/>
                <w:szCs w:val="19"/>
              </w:rPr>
              <w:t xml:space="preserve">(a) Proportion of case plans prepared within 6 weeks of commencing a sentenced </w:t>
            </w:r>
            <w:r w:rsidRPr="00FD20B4">
              <w:rPr>
                <w:sz w:val="19"/>
                <w:szCs w:val="19"/>
              </w:rPr>
              <w:br/>
              <w:t>community-based order</w:t>
            </w:r>
          </w:p>
          <w:p w:rsidR="00446D70" w:rsidRPr="00FD20B4" w:rsidRDefault="00446D70" w:rsidP="00D46D60">
            <w:pPr>
              <w:pStyle w:val="Figure"/>
            </w:pPr>
            <w:r w:rsidRPr="00FD20B4">
              <w:rPr>
                <w:noProof/>
              </w:rPr>
              <w:drawing>
                <wp:inline distT="0" distB="0" distL="0" distR="0" wp14:anchorId="2973E420" wp14:editId="5E0366CE">
                  <wp:extent cx="5400000" cy="2520000"/>
                  <wp:effectExtent l="0" t="0" r="0" b="0"/>
                  <wp:docPr id="11" name="Chart 11" descr="Figure 16.6 Proportion of case plans prpared within 6 weeks of commencing sentenced detention orders and sentenced community-based orders, by Indigneous status, 2012-13&#10;&#10;(a) Proportion of case plans prepared within 6 weeks of commencing a sentenced community-based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46D70" w:rsidRPr="00FD20B4" w:rsidRDefault="00446D70" w:rsidP="00D46D60">
            <w:pPr>
              <w:pStyle w:val="BoxHeading1"/>
              <w:jc w:val="center"/>
              <w:rPr>
                <w:sz w:val="19"/>
                <w:szCs w:val="19"/>
              </w:rPr>
            </w:pPr>
            <w:r w:rsidRPr="00FD20B4">
              <w:rPr>
                <w:sz w:val="19"/>
                <w:szCs w:val="19"/>
              </w:rPr>
              <w:t xml:space="preserve">(b) Proportion of case plans prepared within 6 weeks of commencing a sentenced </w:t>
            </w:r>
            <w:r w:rsidRPr="00FD20B4">
              <w:rPr>
                <w:sz w:val="19"/>
                <w:szCs w:val="19"/>
              </w:rPr>
              <w:br/>
              <w:t>detention order</w:t>
            </w:r>
          </w:p>
          <w:p w:rsidR="00446D70" w:rsidRPr="00FD20B4" w:rsidRDefault="00446D70" w:rsidP="00D46D60">
            <w:pPr>
              <w:pStyle w:val="BoxHeading1"/>
              <w:jc w:val="center"/>
            </w:pPr>
            <w:r w:rsidRPr="00FD20B4">
              <w:rPr>
                <w:noProof/>
              </w:rPr>
              <w:drawing>
                <wp:inline distT="0" distB="0" distL="0" distR="0" wp14:anchorId="438BDC1B" wp14:editId="6787C788">
                  <wp:extent cx="5400000" cy="2520000"/>
                  <wp:effectExtent l="0" t="0" r="0" b="0"/>
                  <wp:docPr id="14" name="Chart 14" descr="Figure 16.6 Proportion of case plans prpared within 6 weeks of commencing sentenced detention orders and sentenced community-based orders, by Indigneous status, 2012-13&#10;&#10;(b) Proportion of case plans prepared within 6 weeks of commencing a sentenced detention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446D70" w:rsidRPr="00FD20B4" w:rsidRDefault="00446D70" w:rsidP="00446D70">
      <w:pPr>
        <w:pStyle w:val="Note"/>
      </w:pPr>
      <w:r w:rsidRPr="00FD20B4">
        <w:rPr>
          <w:rStyle w:val="NoteLabel"/>
        </w:rPr>
        <w:t>a</w:t>
      </w:r>
      <w:r w:rsidRPr="00FD20B4">
        <w:t xml:space="preserve"> For community-based case plans, WA could not disaggregate the numerator by Indigenous status. Therefore, a proportion is only calculated for the total number of case plans prepared in WA. </w:t>
      </w:r>
      <w:r w:rsidRPr="00FD20B4">
        <w:rPr>
          <w:rStyle w:val="NoteLabel"/>
        </w:rPr>
        <w:t>b</w:t>
      </w:r>
      <w:r w:rsidRPr="00FD20B4">
        <w:t xml:space="preserve"> Data were not available for SA and Tasmania. </w:t>
      </w:r>
      <w:r w:rsidRPr="00FD20B4">
        <w:rPr>
          <w:rStyle w:val="NoteLabel"/>
        </w:rPr>
        <w:t>c </w:t>
      </w:r>
      <w:r w:rsidRPr="00FD20B4">
        <w:t>In the NT, case plans for young people on community-based orders are prepared within 8 weeks of order commencement. Community-based data for the NT have been manually collated and data integrity cannot be assured.</w:t>
      </w:r>
      <w:r w:rsidRPr="00FD20B4">
        <w:rPr>
          <w:rStyle w:val="NoteLabel"/>
        </w:rPr>
        <w:t xml:space="preserve"> d</w:t>
      </w:r>
      <w:r w:rsidRPr="00FD20B4">
        <w:t xml:space="preserve"> Refer to table 16A.22 for detailed footnotes.</w:t>
      </w:r>
    </w:p>
    <w:p w:rsidR="00446D70" w:rsidRPr="00FD20B4" w:rsidRDefault="00446D70" w:rsidP="00446D70">
      <w:pPr>
        <w:pStyle w:val="Source"/>
      </w:pPr>
      <w:r w:rsidRPr="00FD20B4">
        <w:rPr>
          <w:i/>
        </w:rPr>
        <w:t>Source</w:t>
      </w:r>
      <w:r w:rsidRPr="00FD20B4">
        <w:t>: State and Territory governments (unpublished); table 16A.22</w:t>
      </w:r>
      <w:r w:rsidR="00B85DFC" w:rsidRPr="00FD20B4">
        <w:t>; 2014 Report, figure 16.10, p. 16.35.</w:t>
      </w:r>
    </w:p>
    <w:p w:rsidR="00AB1DAE" w:rsidRPr="00FD20B4" w:rsidRDefault="00AB1DAE" w:rsidP="00AB1DAE">
      <w:pPr>
        <w:keepNext/>
        <w:spacing w:before="480" w:line="320" w:lineRule="exact"/>
        <w:outlineLvl w:val="3"/>
        <w:rPr>
          <w:rFonts w:ascii="Arial" w:hAnsi="Arial"/>
          <w:i/>
          <w:sz w:val="24"/>
          <w:szCs w:val="20"/>
        </w:rPr>
      </w:pPr>
      <w:bookmarkStart w:id="74" w:name="_Toc348952929"/>
      <w:bookmarkStart w:id="75" w:name="_Toc351361370"/>
      <w:bookmarkStart w:id="76" w:name="_Toc384645337"/>
      <w:r w:rsidRPr="00FD20B4">
        <w:rPr>
          <w:rFonts w:ascii="Arial" w:hAnsi="Arial"/>
          <w:i/>
          <w:sz w:val="24"/>
          <w:szCs w:val="20"/>
        </w:rPr>
        <w:lastRenderedPageBreak/>
        <w:t>Statutory responsibilities — completion of community-based orders</w:t>
      </w:r>
      <w:bookmarkEnd w:id="71"/>
      <w:bookmarkEnd w:id="72"/>
      <w:bookmarkEnd w:id="74"/>
      <w:bookmarkEnd w:id="75"/>
      <w:bookmarkEnd w:id="76"/>
    </w:p>
    <w:p w:rsidR="009D2772" w:rsidRPr="00FD20B4" w:rsidRDefault="009D2772" w:rsidP="009D2772">
      <w:pPr>
        <w:pStyle w:val="BodyText"/>
      </w:pPr>
      <w:r w:rsidRPr="00FD20B4">
        <w:t>‘Completion of community-based orders’ is an indicator of governments’ objective to rehabilitate young offenders (box 16.8).</w:t>
      </w:r>
    </w:p>
    <w:p w:rsidR="00E96FF8" w:rsidRPr="00FD20B4" w:rsidRDefault="00E96FF8" w:rsidP="00E96FF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6FF8" w:rsidRPr="00FD20B4" w:rsidTr="005B7C3F">
        <w:tc>
          <w:tcPr>
            <w:tcW w:w="8771" w:type="dxa"/>
            <w:tcBorders>
              <w:top w:val="single" w:sz="6" w:space="0" w:color="auto"/>
              <w:bottom w:val="nil"/>
            </w:tcBorders>
          </w:tcPr>
          <w:p w:rsidR="00E96FF8" w:rsidRPr="00FD20B4" w:rsidRDefault="00E96FF8" w:rsidP="009D2772">
            <w:pPr>
              <w:pStyle w:val="BoxTitle"/>
            </w:pPr>
            <w:r w:rsidRPr="00FD20B4">
              <w:rPr>
                <w:b w:val="0"/>
              </w:rPr>
              <w:t>Box 1</w:t>
            </w:r>
            <w:r w:rsidR="009D2772" w:rsidRPr="00FD20B4">
              <w:rPr>
                <w:b w:val="0"/>
              </w:rPr>
              <w:t>6.8</w:t>
            </w:r>
            <w:r w:rsidRPr="00FD20B4">
              <w:tab/>
              <w:t>Completion of community-based orders</w:t>
            </w:r>
          </w:p>
        </w:tc>
      </w:tr>
      <w:tr w:rsidR="00E96FF8" w:rsidRPr="00FD20B4" w:rsidTr="005B7C3F">
        <w:trPr>
          <w:cantSplit/>
        </w:trPr>
        <w:tc>
          <w:tcPr>
            <w:tcW w:w="8771" w:type="dxa"/>
            <w:tcBorders>
              <w:top w:val="nil"/>
              <w:left w:val="single" w:sz="6" w:space="0" w:color="auto"/>
              <w:bottom w:val="nil"/>
              <w:right w:val="single" w:sz="6" w:space="0" w:color="auto"/>
            </w:tcBorders>
          </w:tcPr>
          <w:p w:rsidR="009D2772" w:rsidRPr="00FD20B4" w:rsidRDefault="009D2772" w:rsidP="009D2772">
            <w:pPr>
              <w:pStyle w:val="Box"/>
            </w:pPr>
            <w:r w:rsidRPr="00FD20B4">
              <w:t>‘Completion of community-based orders’ is defined as the proportion of sentenced community-based supervision orders successfully completed. An order is counted as successfully completed where the earliest order expiry date or the order termination date is reached and breach is neither pending nor finalised.</w:t>
            </w:r>
          </w:p>
          <w:p w:rsidR="009D2772" w:rsidRPr="00FD20B4" w:rsidRDefault="009D2772" w:rsidP="009D2772">
            <w:pPr>
              <w:pStyle w:val="Box"/>
            </w:pPr>
            <w:r w:rsidRPr="00FD20B4">
              <w:t xml:space="preserve">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supervision of young people on community-based supervision orders. </w:t>
            </w:r>
          </w:p>
          <w:p w:rsidR="009D2772" w:rsidRPr="00FD20B4" w:rsidRDefault="009D2772" w:rsidP="009D2772">
            <w:pPr>
              <w:pStyle w:val="Box"/>
              <w:rPr>
                <w:rStyle w:val="DraftingNote"/>
                <w:b w:val="0"/>
                <w:color w:val="auto"/>
                <w:sz w:val="22"/>
                <w:u w:val="none"/>
              </w:rPr>
            </w:pPr>
            <w:r w:rsidRPr="00FD20B4">
              <w:rPr>
                <w:rStyle w:val="DraftingNote"/>
                <w:b w:val="0"/>
                <w:color w:val="auto"/>
                <w:sz w:val="22"/>
                <w:u w:val="none"/>
              </w:rPr>
              <w:t>Data reported for this indicator are:</w:t>
            </w:r>
          </w:p>
          <w:p w:rsidR="009D2772" w:rsidRPr="00FD20B4" w:rsidRDefault="009D2772" w:rsidP="009D2772">
            <w:pPr>
              <w:pStyle w:val="BoxListBullet"/>
              <w:numPr>
                <w:ilvl w:val="0"/>
                <w:numId w:val="17"/>
              </w:numPr>
              <w:rPr>
                <w:rStyle w:val="DraftingNote"/>
                <w:b w:val="0"/>
                <w:color w:val="auto"/>
                <w:sz w:val="22"/>
                <w:u w:val="none"/>
              </w:rPr>
            </w:pPr>
            <w:r w:rsidRPr="00FD20B4">
              <w:rPr>
                <w:rStyle w:val="DraftingNote"/>
                <w:b w:val="0"/>
                <w:color w:val="auto"/>
                <w:sz w:val="22"/>
                <w:u w:val="none"/>
              </w:rPr>
              <w:t>comparable (subject to caveats) across jurisdictions and over time</w:t>
            </w:r>
          </w:p>
          <w:p w:rsidR="009D2772" w:rsidRPr="00FD20B4" w:rsidRDefault="009D2772" w:rsidP="009D2772">
            <w:pPr>
              <w:pStyle w:val="BoxListBullet"/>
              <w:numPr>
                <w:ilvl w:val="0"/>
                <w:numId w:val="17"/>
              </w:numPr>
              <w:rPr>
                <w:rStyle w:val="DraftingNote"/>
                <w:b w:val="0"/>
                <w:color w:val="auto"/>
                <w:sz w:val="22"/>
                <w:u w:val="none"/>
              </w:rPr>
            </w:pPr>
            <w:r w:rsidRPr="00FD20B4">
              <w:rPr>
                <w:rStyle w:val="DraftingNote"/>
                <w:b w:val="0"/>
                <w:color w:val="auto"/>
                <w:sz w:val="22"/>
                <w:u w:val="none"/>
              </w:rPr>
              <w:t>incomplete for the current reporting period. All required data were not available for the ACT.</w:t>
            </w:r>
          </w:p>
          <w:p w:rsidR="00E96FF8" w:rsidRPr="00FD20B4" w:rsidRDefault="009D2772" w:rsidP="009D2772">
            <w:pPr>
              <w:pStyle w:val="Box"/>
              <w:rPr>
                <w:rFonts w:ascii="Times New Roman" w:hAnsi="Times New Roman"/>
                <w:sz w:val="26"/>
              </w:rPr>
            </w:pPr>
            <w:r w:rsidRPr="00FD20B4">
              <w:rPr>
                <w:szCs w:val="22"/>
              </w:rPr>
              <w:t xml:space="preserve">Data quality information for this indicator is </w:t>
            </w:r>
            <w:r w:rsidRPr="00FD20B4">
              <w:t>at www.pc.gov.au/gsp/reports/rogs/2014.</w:t>
            </w:r>
          </w:p>
        </w:tc>
      </w:tr>
      <w:tr w:rsidR="00E96FF8" w:rsidRPr="00FD20B4" w:rsidTr="005B7C3F">
        <w:trPr>
          <w:cantSplit/>
        </w:trPr>
        <w:tc>
          <w:tcPr>
            <w:tcW w:w="8771" w:type="dxa"/>
            <w:tcBorders>
              <w:top w:val="nil"/>
              <w:left w:val="single" w:sz="6" w:space="0" w:color="auto"/>
              <w:bottom w:val="single" w:sz="6" w:space="0" w:color="auto"/>
              <w:right w:val="single" w:sz="6" w:space="0" w:color="auto"/>
            </w:tcBorders>
          </w:tcPr>
          <w:p w:rsidR="00E96FF8" w:rsidRPr="00FD20B4" w:rsidRDefault="00E96FF8" w:rsidP="005B7C3F">
            <w:pPr>
              <w:pStyle w:val="Box"/>
              <w:spacing w:before="0" w:line="120" w:lineRule="exact"/>
            </w:pPr>
          </w:p>
        </w:tc>
      </w:tr>
      <w:tr w:rsidR="00E96FF8" w:rsidRPr="00FD20B4" w:rsidTr="005B7C3F">
        <w:tc>
          <w:tcPr>
            <w:tcW w:w="8771" w:type="dxa"/>
            <w:tcBorders>
              <w:top w:val="nil"/>
              <w:left w:val="nil"/>
              <w:bottom w:val="nil"/>
              <w:right w:val="nil"/>
            </w:tcBorders>
          </w:tcPr>
          <w:p w:rsidR="00E96FF8" w:rsidRPr="00FD20B4" w:rsidRDefault="00E96FF8" w:rsidP="005B7C3F">
            <w:pPr>
              <w:pStyle w:val="Box"/>
              <w:keepNext w:val="0"/>
              <w:spacing w:before="60" w:after="60" w:line="80" w:lineRule="exact"/>
              <w:rPr>
                <w:b/>
                <w:color w:val="FF00FF"/>
                <w:sz w:val="14"/>
              </w:rPr>
            </w:pPr>
          </w:p>
        </w:tc>
      </w:tr>
    </w:tbl>
    <w:p w:rsidR="009D2772" w:rsidRPr="00FD20B4" w:rsidRDefault="009D2772" w:rsidP="009D2772">
      <w:pPr>
        <w:pStyle w:val="BodyText"/>
      </w:pPr>
      <w:r w:rsidRPr="00FD20B4">
        <w:t>Nationally, 80.0 per cent of community-based orders were successfully completed in 2012-13. The proportion of community-based orders successfully completed varied across jurisdictions (figure 16.7).</w:t>
      </w:r>
    </w:p>
    <w:p w:rsidR="009D2772" w:rsidRPr="00FD20B4" w:rsidRDefault="009D2772" w:rsidP="009D2772">
      <w:pPr>
        <w:pStyle w:val="FigureTitle"/>
        <w:widowControl w:val="0"/>
        <w:rPr>
          <w:rStyle w:val="NoteLabel"/>
        </w:rPr>
      </w:pPr>
      <w:r w:rsidRPr="00FD20B4">
        <w:rPr>
          <w:b w:val="0"/>
        </w:rPr>
        <w:lastRenderedPageBreak/>
        <w:t>Figure 16.7</w:t>
      </w:r>
      <w:r w:rsidRPr="00FD20B4">
        <w:rPr>
          <w:b w:val="0"/>
        </w:rPr>
        <w:tab/>
      </w:r>
      <w:r w:rsidRPr="00FD20B4">
        <w:t>Proportion of community-based orders successfully completed, by Indigenous status, 2012-13</w:t>
      </w:r>
      <w:r w:rsidRPr="00FD20B4">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D2772" w:rsidRPr="00FD20B4" w:rsidTr="00D46D60">
        <w:tc>
          <w:tcPr>
            <w:tcW w:w="8777" w:type="dxa"/>
          </w:tcPr>
          <w:p w:rsidR="009D2772" w:rsidRPr="00FD20B4" w:rsidRDefault="009D2772" w:rsidP="00D46D60">
            <w:pPr>
              <w:pStyle w:val="Figure"/>
              <w:widowControl w:val="0"/>
            </w:pPr>
            <w:r w:rsidRPr="00FD20B4">
              <w:rPr>
                <w:noProof/>
              </w:rPr>
              <w:drawing>
                <wp:inline distT="0" distB="0" distL="0" distR="0" wp14:anchorId="5EFE906F" wp14:editId="66F7DEF8">
                  <wp:extent cx="5400000" cy="2520000"/>
                  <wp:effectExtent l="0" t="0" r="0" b="0"/>
                  <wp:docPr id="19" name="Chart 19" descr="Figure 16.7 Proportion of community-based orders successfully completed, by Indigenous status,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9D2772" w:rsidRPr="00FD20B4" w:rsidRDefault="009D2772" w:rsidP="009D2772">
      <w:pPr>
        <w:pStyle w:val="Note"/>
        <w:keepNext/>
        <w:widowControl w:val="0"/>
      </w:pPr>
      <w:bookmarkStart w:id="77" w:name="OLE_LINK8"/>
      <w:bookmarkStart w:id="78" w:name="OLE_LINK9"/>
      <w:r w:rsidRPr="00FD20B4">
        <w:rPr>
          <w:rStyle w:val="NoteLabel"/>
        </w:rPr>
        <w:t>a</w:t>
      </w:r>
      <w:bookmarkEnd w:id="77"/>
      <w:bookmarkEnd w:id="78"/>
      <w:r w:rsidRPr="00FD20B4">
        <w:sym w:font="Symbol" w:char="F020"/>
      </w:r>
      <w:r w:rsidRPr="00FD20B4">
        <w:t xml:space="preserve">Data were not available for the ACT due to information system limitations. </w:t>
      </w:r>
      <w:r w:rsidRPr="00FD20B4">
        <w:rPr>
          <w:rStyle w:val="NoteLabel"/>
        </w:rPr>
        <w:t xml:space="preserve">b </w:t>
      </w:r>
      <w:r w:rsidRPr="00FD20B4">
        <w:t>Refer to table 16A.21 for detailed footnotes.</w:t>
      </w:r>
    </w:p>
    <w:p w:rsidR="009D2772" w:rsidRPr="00FD20B4" w:rsidRDefault="009D2772" w:rsidP="009D2772">
      <w:pPr>
        <w:pStyle w:val="Source"/>
        <w:keepNext/>
        <w:widowControl w:val="0"/>
      </w:pPr>
      <w:r w:rsidRPr="00FD20B4">
        <w:rPr>
          <w:i/>
        </w:rPr>
        <w:t>Source</w:t>
      </w:r>
      <w:r w:rsidRPr="00FD20B4">
        <w:t>: State and Territory governments (unpublished); table 16A.21; 2014 Report, figure 16.11, p. 16.37.</w:t>
      </w:r>
    </w:p>
    <w:p w:rsidR="00D504EE" w:rsidRDefault="00D504EE">
      <w:pPr>
        <w:rPr>
          <w:rFonts w:ascii="Arial" w:hAnsi="Arial"/>
          <w:b/>
          <w:szCs w:val="20"/>
        </w:rPr>
      </w:pPr>
      <w:bookmarkStart w:id="79" w:name="_Toc290291990"/>
      <w:bookmarkStart w:id="80" w:name="_Toc320770840"/>
      <w:bookmarkStart w:id="81" w:name="_Toc348449383"/>
      <w:bookmarkStart w:id="82" w:name="_Toc348952930"/>
      <w:bookmarkStart w:id="83" w:name="_Toc351361371"/>
      <w:r>
        <w:br w:type="page"/>
      </w:r>
    </w:p>
    <w:p w:rsidR="000D5D65" w:rsidRPr="00FD20B4" w:rsidRDefault="00AB1DAE" w:rsidP="009675C5">
      <w:pPr>
        <w:pStyle w:val="Heading3"/>
      </w:pPr>
      <w:bookmarkStart w:id="84" w:name="_Toc384645338"/>
      <w:r w:rsidRPr="00FD20B4">
        <w:lastRenderedPageBreak/>
        <w:t>Definitions of key terms</w:t>
      </w:r>
      <w:bookmarkEnd w:id="79"/>
      <w:bookmarkEnd w:id="80"/>
      <w:bookmarkEnd w:id="81"/>
      <w:bookmarkEnd w:id="82"/>
      <w:bookmarkEnd w:id="83"/>
      <w:bookmarkEnd w:id="84"/>
    </w:p>
    <w:tbl>
      <w:tblPr>
        <w:tblW w:w="0" w:type="auto"/>
        <w:tblInd w:w="108" w:type="dxa"/>
        <w:tblLayout w:type="fixed"/>
        <w:tblLook w:val="0000" w:firstRow="0" w:lastRow="0" w:firstColumn="0" w:lastColumn="0" w:noHBand="0" w:noVBand="0"/>
      </w:tblPr>
      <w:tblGrid>
        <w:gridCol w:w="2210"/>
        <w:gridCol w:w="6471"/>
      </w:tblGrid>
      <w:tr w:rsidR="009675C5" w:rsidRPr="00FD20B4" w:rsidTr="005946CF">
        <w:tc>
          <w:tcPr>
            <w:tcW w:w="2210" w:type="dxa"/>
            <w:shd w:val="clear" w:color="auto" w:fill="auto"/>
          </w:tcPr>
          <w:p w:rsidR="009675C5" w:rsidRPr="00FD20B4" w:rsidRDefault="009675C5" w:rsidP="00D46D60">
            <w:pPr>
              <w:pStyle w:val="TableBodyText"/>
              <w:spacing w:before="60" w:after="60"/>
              <w:ind w:left="0"/>
              <w:jc w:val="left"/>
              <w:rPr>
                <w:b/>
              </w:rPr>
            </w:pPr>
            <w:r w:rsidRPr="00FD20B4">
              <w:rPr>
                <w:b/>
              </w:rPr>
              <w:t>Sentenced community-based supervision</w:t>
            </w:r>
          </w:p>
        </w:tc>
        <w:tc>
          <w:tcPr>
            <w:tcW w:w="6471" w:type="dxa"/>
            <w:shd w:val="clear" w:color="auto" w:fill="auto"/>
          </w:tcPr>
          <w:p w:rsidR="009675C5" w:rsidRPr="00FD20B4" w:rsidRDefault="009675C5" w:rsidP="00D46D60">
            <w:pPr>
              <w:pStyle w:val="TableBodyText"/>
              <w:spacing w:before="60" w:after="60"/>
              <w:ind w:left="0" w:right="0"/>
              <w:jc w:val="left"/>
            </w:pPr>
            <w:r w:rsidRPr="00FD20B4">
              <w:t>Includes probation, recognisance and community service orders which are supervised or case managed by the youth justice department. May be supervision with or without additional mandated requirements, requiring some form of obligation or additional element that a young person is required to meet. This obligation could be community work such as a community service order, a developmental activity or program attendance. The youth justice department may or may not directly supervise any additional mandated requirements, but remains responsible for the overall case management of a young person.</w:t>
            </w:r>
          </w:p>
        </w:tc>
      </w:tr>
      <w:tr w:rsidR="009675C5" w:rsidRPr="00FD20B4" w:rsidTr="005946CF">
        <w:tc>
          <w:tcPr>
            <w:tcW w:w="2210" w:type="dxa"/>
            <w:shd w:val="clear" w:color="auto" w:fill="auto"/>
          </w:tcPr>
          <w:p w:rsidR="009675C5" w:rsidRPr="00FD20B4" w:rsidRDefault="009675C5" w:rsidP="00D46D60">
            <w:pPr>
              <w:pStyle w:val="TableBodyText"/>
              <w:spacing w:before="60" w:after="60"/>
              <w:ind w:left="0"/>
              <w:jc w:val="left"/>
              <w:rPr>
                <w:b/>
              </w:rPr>
            </w:pPr>
            <w:r w:rsidRPr="00FD20B4">
              <w:rPr>
                <w:b/>
              </w:rPr>
              <w:t>Youth justice conference / group conference</w:t>
            </w:r>
          </w:p>
        </w:tc>
        <w:tc>
          <w:tcPr>
            <w:tcW w:w="6471" w:type="dxa"/>
            <w:shd w:val="clear" w:color="auto" w:fill="auto"/>
          </w:tcPr>
          <w:p w:rsidR="009675C5" w:rsidRPr="00FD20B4" w:rsidRDefault="009675C5" w:rsidP="00D46D60">
            <w:pPr>
              <w:pStyle w:val="TableBodyText"/>
              <w:spacing w:before="60" w:after="60"/>
              <w:ind w:left="0" w:right="0"/>
              <w:jc w:val="left"/>
            </w:pPr>
            <w:r w:rsidRPr="00FD20B4">
              <w:t>A youth justice conference, or group conference, is a facilitated meeting resulting in a formal agreement to repair the harm caused by the offence. Participants can include the victim(s), offender(s), a youth justice agency officer, police and other key stakeholders. Referrals may be initiated by the police or the courts.</w:t>
            </w:r>
          </w:p>
        </w:tc>
      </w:tr>
    </w:tbl>
    <w:p w:rsidR="00AB1DAE" w:rsidRPr="00FD20B4" w:rsidRDefault="00AB1DAE" w:rsidP="003A084B">
      <w:pPr>
        <w:keepNext/>
        <w:spacing w:before="480" w:line="320" w:lineRule="exact"/>
        <w:outlineLvl w:val="3"/>
        <w:rPr>
          <w:rFonts w:ascii="Arial" w:hAnsi="Arial"/>
          <w:b/>
          <w:szCs w:val="20"/>
        </w:rPr>
      </w:pPr>
      <w:bookmarkStart w:id="85" w:name="_Toc313462311"/>
      <w:bookmarkStart w:id="86" w:name="_Toc320770843"/>
      <w:bookmarkStart w:id="87" w:name="_Toc348449386"/>
      <w:bookmarkStart w:id="88" w:name="_Toc348952932"/>
      <w:bookmarkStart w:id="89" w:name="_Toc351361373"/>
      <w:bookmarkStart w:id="90" w:name="_Toc384645339"/>
      <w:r w:rsidRPr="00FD20B4">
        <w:rPr>
          <w:rFonts w:ascii="Arial" w:hAnsi="Arial"/>
          <w:b/>
          <w:szCs w:val="20"/>
        </w:rPr>
        <w:t>List of attachment tables</w:t>
      </w:r>
      <w:bookmarkEnd w:id="85"/>
      <w:bookmarkEnd w:id="86"/>
      <w:bookmarkEnd w:id="87"/>
      <w:bookmarkEnd w:id="88"/>
      <w:bookmarkEnd w:id="89"/>
      <w:bookmarkEnd w:id="90"/>
    </w:p>
    <w:p w:rsidR="00AB1DAE" w:rsidRPr="00FD20B4" w:rsidRDefault="00AB1DAE" w:rsidP="00AB1DAE">
      <w:pPr>
        <w:spacing w:before="240" w:line="320" w:lineRule="atLeast"/>
        <w:jc w:val="both"/>
        <w:rPr>
          <w:szCs w:val="20"/>
        </w:rPr>
      </w:pPr>
      <w:r w:rsidRPr="00FD20B4">
        <w:rPr>
          <w:szCs w:val="20"/>
        </w:rPr>
        <w:t>Attachment tables for data within this chapter are contained in the attachment to the Compendium. These tables are identified in references throughout this chapter by a ‘1</w:t>
      </w:r>
      <w:r w:rsidR="009675C5" w:rsidRPr="00FD20B4">
        <w:rPr>
          <w:szCs w:val="20"/>
        </w:rPr>
        <w:t>6</w:t>
      </w:r>
      <w:r w:rsidRPr="00FD20B4">
        <w:rPr>
          <w:szCs w:val="20"/>
        </w:rPr>
        <w:t>A’ prefix (for example, table 1</w:t>
      </w:r>
      <w:r w:rsidR="009675C5" w:rsidRPr="00FD20B4">
        <w:rPr>
          <w:szCs w:val="20"/>
        </w:rPr>
        <w:t>6</w:t>
      </w:r>
      <w:r w:rsidRPr="00FD20B4">
        <w:rPr>
          <w:szCs w:val="20"/>
        </w:rPr>
        <w:t xml:space="preserve">A.3 is table 3 in the </w:t>
      </w:r>
      <w:r w:rsidR="009675C5" w:rsidRPr="00FD20B4">
        <w:rPr>
          <w:szCs w:val="20"/>
        </w:rPr>
        <w:t>Youth justice services</w:t>
      </w:r>
      <w:r w:rsidRPr="00FD20B4">
        <w:rPr>
          <w:szCs w:val="20"/>
        </w:rPr>
        <w:t xml:space="preserve"> attachment). Attachment tables are on the Review website (www.pc.gov.au/gsp).</w:t>
      </w:r>
    </w:p>
    <w:p w:rsidR="009675C5" w:rsidRPr="00FD20B4" w:rsidRDefault="009675C5" w:rsidP="00AB1DAE">
      <w:pPr>
        <w:spacing w:before="240" w:line="320" w:lineRule="atLeast"/>
        <w:jc w:val="both"/>
        <w:rPr>
          <w:szCs w:val="20"/>
        </w:rPr>
      </w:pPr>
    </w:p>
    <w:tbl>
      <w:tblPr>
        <w:tblW w:w="8860" w:type="dxa"/>
        <w:tblInd w:w="93" w:type="dxa"/>
        <w:tblLook w:val="04A0" w:firstRow="1" w:lastRow="0" w:firstColumn="1" w:lastColumn="0" w:noHBand="0" w:noVBand="1"/>
      </w:tblPr>
      <w:tblGrid>
        <w:gridCol w:w="1440"/>
        <w:gridCol w:w="7420"/>
      </w:tblGrid>
      <w:tr w:rsidR="009675C5" w:rsidRPr="00FD20B4" w:rsidTr="009675C5">
        <w:trPr>
          <w:trHeight w:val="612"/>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16A.9</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Daily average number and rate of Indigenous young people aged 10–17 years in detention     </w:t>
            </w:r>
          </w:p>
        </w:tc>
      </w:tr>
      <w:tr w:rsidR="009675C5" w:rsidRPr="00FD20B4" w:rsidTr="009675C5">
        <w:trPr>
          <w:trHeight w:val="612"/>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16A.10</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Daily average number and rate of Indigenous young people aged 10–17 years subject to community-based supervision     </w:t>
            </w:r>
          </w:p>
        </w:tc>
      </w:tr>
      <w:tr w:rsidR="009675C5" w:rsidRPr="00FD20B4" w:rsidTr="009675C5">
        <w:trPr>
          <w:trHeight w:val="612"/>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16A.11</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Average rates of detention and Indigenous rate ratio, young people aged 10-17 years in juvenile detention, per 100 000 people    </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16A.12</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Custody nights, by Indigenous status</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16A.13</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Proportion of group conferences resulting in an agreement, by Indigenous status</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16A.14</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Deaths in custody, by Indigenous status</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16A.15</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Young people in detention attending education and training, by Indigenous status </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16A.16</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Escapes from detention and escorted movement, by Indigenous status</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16A.17</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Absconds from unescorted leave, by Indigenous status </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16A.18</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Serious assaults in custody, by Indigenous status </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16A.19</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Assaults in custody, by Indigenous status  </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16A.20</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Self-harm and attempted suicide in custody, by Indigenous status  </w:t>
            </w:r>
          </w:p>
        </w:tc>
      </w:tr>
      <w:tr w:rsidR="009675C5" w:rsidRPr="00FD20B4" w:rsidTr="009675C5">
        <w:trPr>
          <w:trHeight w:val="357"/>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16A.21</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Completion of community-based orders, by Indigenous status </w:t>
            </w:r>
          </w:p>
        </w:tc>
      </w:tr>
      <w:tr w:rsidR="009675C5" w:rsidRPr="00FD20B4" w:rsidTr="009675C5">
        <w:trPr>
          <w:trHeight w:val="612"/>
        </w:trPr>
        <w:tc>
          <w:tcPr>
            <w:tcW w:w="1440" w:type="dxa"/>
            <w:tcBorders>
              <w:top w:val="nil"/>
              <w:left w:val="nil"/>
              <w:bottom w:val="nil"/>
              <w:right w:val="nil"/>
            </w:tcBorders>
            <w:shd w:val="clear" w:color="auto" w:fill="auto"/>
            <w:noWrap/>
            <w:hideMark/>
          </w:tcPr>
          <w:p w:rsidR="009675C5" w:rsidRPr="00FD20B4" w:rsidRDefault="009675C5" w:rsidP="009675C5">
            <w:pPr>
              <w:rPr>
                <w:rFonts w:ascii="Arial" w:hAnsi="Arial" w:cs="Arial"/>
                <w:b/>
                <w:bCs/>
                <w:sz w:val="20"/>
                <w:szCs w:val="20"/>
              </w:rPr>
            </w:pPr>
            <w:r w:rsidRPr="00FD20B4">
              <w:rPr>
                <w:rFonts w:ascii="Arial" w:hAnsi="Arial" w:cs="Arial"/>
                <w:b/>
                <w:bCs/>
                <w:sz w:val="20"/>
                <w:szCs w:val="20"/>
              </w:rPr>
              <w:t>Table 16A.22</w:t>
            </w:r>
          </w:p>
        </w:tc>
        <w:tc>
          <w:tcPr>
            <w:tcW w:w="7420" w:type="dxa"/>
            <w:tcBorders>
              <w:top w:val="nil"/>
              <w:left w:val="nil"/>
              <w:bottom w:val="nil"/>
              <w:right w:val="nil"/>
            </w:tcBorders>
            <w:shd w:val="clear" w:color="auto" w:fill="auto"/>
            <w:hideMark/>
          </w:tcPr>
          <w:p w:rsidR="009675C5" w:rsidRPr="00FD20B4" w:rsidRDefault="009675C5" w:rsidP="009675C5">
            <w:pPr>
              <w:jc w:val="both"/>
              <w:rPr>
                <w:rFonts w:ascii="Arial" w:hAnsi="Arial" w:cs="Arial"/>
                <w:sz w:val="20"/>
                <w:szCs w:val="20"/>
              </w:rPr>
            </w:pPr>
            <w:r w:rsidRPr="00FD20B4">
              <w:rPr>
                <w:rFonts w:ascii="Arial" w:hAnsi="Arial" w:cs="Arial"/>
                <w:sz w:val="20"/>
                <w:szCs w:val="20"/>
              </w:rPr>
              <w:t xml:space="preserve">Case plans prepared/reviewed within 6 weeks of commencing a sentenced order, by Indigenous status </w:t>
            </w:r>
          </w:p>
        </w:tc>
      </w:tr>
    </w:tbl>
    <w:p w:rsidR="00AB1DAE" w:rsidRPr="00FD20B4" w:rsidRDefault="00AB1DAE" w:rsidP="00AB1DAE">
      <w:pPr>
        <w:keepNext/>
        <w:spacing w:before="560" w:after="240" w:line="320" w:lineRule="exact"/>
        <w:outlineLvl w:val="2"/>
        <w:rPr>
          <w:rFonts w:ascii="Arial" w:hAnsi="Arial"/>
          <w:b/>
          <w:szCs w:val="20"/>
        </w:rPr>
      </w:pPr>
      <w:bookmarkStart w:id="91" w:name="_Toc313462312"/>
      <w:bookmarkStart w:id="92" w:name="_Toc320770844"/>
      <w:bookmarkStart w:id="93" w:name="_Toc348449387"/>
      <w:bookmarkStart w:id="94" w:name="_Toc348952933"/>
      <w:bookmarkStart w:id="95" w:name="_Toc351361374"/>
      <w:bookmarkStart w:id="96" w:name="_Toc384645340"/>
      <w:r w:rsidRPr="00FD20B4">
        <w:rPr>
          <w:rFonts w:ascii="Arial" w:hAnsi="Arial"/>
          <w:b/>
          <w:szCs w:val="20"/>
        </w:rPr>
        <w:lastRenderedPageBreak/>
        <w:t>References</w:t>
      </w:r>
      <w:bookmarkEnd w:id="91"/>
      <w:bookmarkEnd w:id="92"/>
      <w:bookmarkEnd w:id="93"/>
      <w:bookmarkEnd w:id="94"/>
      <w:bookmarkEnd w:id="95"/>
      <w:bookmarkEnd w:id="96"/>
    </w:p>
    <w:p w:rsidR="00D46D60" w:rsidRPr="00FD20B4" w:rsidRDefault="00D46D60" w:rsidP="00D46D60">
      <w:pPr>
        <w:pStyle w:val="Reference"/>
      </w:pPr>
      <w:r w:rsidRPr="00FD20B4">
        <w:t xml:space="preserve">Commonwealth of Australia 1991, </w:t>
      </w:r>
      <w:r w:rsidRPr="00FD20B4">
        <w:rPr>
          <w:i/>
        </w:rPr>
        <w:t xml:space="preserve">Royal Commission into Aboriginal Deaths in Custody Report, </w:t>
      </w:r>
      <w:r w:rsidRPr="00FD20B4">
        <w:t>Commonwealth of Australia, Canberra.</w:t>
      </w:r>
    </w:p>
    <w:p w:rsidR="00D322D9" w:rsidRPr="00A217EC" w:rsidRDefault="00D46D60" w:rsidP="00D504EE">
      <w:pPr>
        <w:pStyle w:val="Reference"/>
        <w:rPr>
          <w:rStyle w:val="Hyperlink"/>
          <w:color w:val="auto"/>
          <w:u w:val="none"/>
        </w:rPr>
      </w:pPr>
      <w:r w:rsidRPr="00FD20B4">
        <w:t>—— 2011</w:t>
      </w:r>
      <w:r w:rsidRPr="00FD20B4">
        <w:rPr>
          <w:i/>
        </w:rPr>
        <w:t>, Doing Time — Time for Doing: Indigenous youth in the criminal justice system</w:t>
      </w:r>
      <w:r w:rsidRPr="00FD20B4">
        <w:t>, Commonwealth of Australia, Canberra.</w:t>
      </w:r>
      <w:bookmarkEnd w:id="5"/>
      <w:bookmarkEnd w:id="6"/>
      <w:bookmarkEnd w:id="7"/>
      <w:bookmarkEnd w:id="8"/>
      <w:bookmarkEnd w:id="9"/>
    </w:p>
    <w:sectPr w:rsidR="00D322D9" w:rsidRPr="00A217EC" w:rsidSect="00B95C6D">
      <w:headerReference w:type="even" r:id="rId18"/>
      <w:headerReference w:type="default" r:id="rId19"/>
      <w:footerReference w:type="even" r:id="rId20"/>
      <w:footerReference w:type="default" r:id="rId21"/>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222" w:rsidRDefault="003C6222">
      <w:r>
        <w:separator/>
      </w:r>
    </w:p>
  </w:endnote>
  <w:endnote w:type="continuationSeparator" w:id="0">
    <w:p w:rsidR="003C6222" w:rsidRDefault="003C6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C6222">
      <w:trPr>
        <w:trHeight w:hRule="exact" w:val="740"/>
      </w:trPr>
      <w:tc>
        <w:tcPr>
          <w:tcW w:w="510" w:type="dxa"/>
          <w:tcBorders>
            <w:top w:val="single" w:sz="6" w:space="0" w:color="auto"/>
          </w:tcBorders>
        </w:tcPr>
        <w:p w:rsidR="003C6222" w:rsidRDefault="00DC073B" w:rsidP="00665023">
          <w:pPr>
            <w:pStyle w:val="Footer"/>
            <w:tabs>
              <w:tab w:val="left" w:pos="0"/>
            </w:tabs>
            <w:ind w:right="0"/>
            <w:rPr>
              <w:rStyle w:val="PageNumber"/>
            </w:rPr>
          </w:pPr>
          <w:fldSimple w:instr=" COMMENTS  \* MERGEFORMAT ">
            <w:r w:rsidR="003C6222" w:rsidRPr="00AE73D8">
              <w:rPr>
                <w:rStyle w:val="PageNumber"/>
              </w:rPr>
              <w:t>16.</w:t>
            </w:r>
          </w:fldSimple>
          <w:r w:rsidR="003C6222">
            <w:rPr>
              <w:rStyle w:val="PageNumber"/>
            </w:rPr>
            <w:fldChar w:fldCharType="begin"/>
          </w:r>
          <w:r w:rsidR="003C6222">
            <w:rPr>
              <w:rStyle w:val="PageNumber"/>
            </w:rPr>
            <w:instrText xml:space="preserve">PAGE  </w:instrText>
          </w:r>
          <w:r w:rsidR="003C6222">
            <w:rPr>
              <w:rStyle w:val="PageNumber"/>
            </w:rPr>
            <w:fldChar w:fldCharType="separate"/>
          </w:r>
          <w:r w:rsidR="002874B5">
            <w:rPr>
              <w:rStyle w:val="PageNumber"/>
              <w:noProof/>
            </w:rPr>
            <w:t>24</w:t>
          </w:r>
          <w:r w:rsidR="003C6222">
            <w:rPr>
              <w:rStyle w:val="PageNumber"/>
            </w:rPr>
            <w:fldChar w:fldCharType="end"/>
          </w:r>
        </w:p>
      </w:tc>
      <w:tc>
        <w:tcPr>
          <w:tcW w:w="1644" w:type="dxa"/>
          <w:tcBorders>
            <w:top w:val="single" w:sz="6" w:space="0" w:color="auto"/>
          </w:tcBorders>
        </w:tcPr>
        <w:p w:rsidR="003C6222" w:rsidRDefault="00DC073B" w:rsidP="0019293B">
          <w:pPr>
            <w:pStyle w:val="Footer"/>
          </w:pPr>
          <w:fldSimple w:instr=" SUBJECT  \* MERGEFORMAT ">
            <w:r w:rsidR="003C6222">
              <w:t>Report on Government Services 2014</w:t>
            </w:r>
          </w:fldSimple>
        </w:p>
      </w:tc>
      <w:tc>
        <w:tcPr>
          <w:tcW w:w="6634" w:type="dxa"/>
        </w:tcPr>
        <w:p w:rsidR="003C6222" w:rsidRDefault="003C6222" w:rsidP="0019293B">
          <w:pPr>
            <w:pStyle w:val="Footer"/>
          </w:pPr>
        </w:p>
      </w:tc>
    </w:tr>
  </w:tbl>
  <w:p w:rsidR="003C6222" w:rsidRDefault="003C622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C6222">
      <w:trPr>
        <w:trHeight w:hRule="exact" w:val="740"/>
      </w:trPr>
      <w:tc>
        <w:tcPr>
          <w:tcW w:w="6634" w:type="dxa"/>
        </w:tcPr>
        <w:p w:rsidR="003C6222" w:rsidRDefault="003C6222">
          <w:pPr>
            <w:pStyle w:val="Footer"/>
            <w:ind w:right="360" w:firstLine="360"/>
          </w:pPr>
        </w:p>
      </w:tc>
      <w:tc>
        <w:tcPr>
          <w:tcW w:w="1644" w:type="dxa"/>
          <w:tcBorders>
            <w:top w:val="single" w:sz="6" w:space="0" w:color="auto"/>
          </w:tcBorders>
        </w:tcPr>
        <w:p w:rsidR="003C6222" w:rsidRDefault="00DC073B">
          <w:pPr>
            <w:pStyle w:val="Footer"/>
          </w:pPr>
          <w:fldSimple w:instr=" TITLE  \* MERGEFORMAT ">
            <w:r w:rsidR="003C6222">
              <w:t>Indigenous Compendium 2014</w:t>
            </w:r>
          </w:fldSimple>
        </w:p>
      </w:tc>
      <w:tc>
        <w:tcPr>
          <w:tcW w:w="510" w:type="dxa"/>
          <w:tcBorders>
            <w:top w:val="single" w:sz="6" w:space="0" w:color="auto"/>
          </w:tcBorders>
        </w:tcPr>
        <w:p w:rsidR="003C6222" w:rsidRDefault="00DC073B" w:rsidP="00665023">
          <w:pPr>
            <w:pStyle w:val="Footer"/>
            <w:jc w:val="right"/>
          </w:pPr>
          <w:fldSimple w:instr=" COMMENTS  \* MERGEFORMAT ">
            <w:r w:rsidR="003C6222" w:rsidRPr="00AE73D8">
              <w:rPr>
                <w:rStyle w:val="PageNumber"/>
              </w:rPr>
              <w:t>16.</w:t>
            </w:r>
          </w:fldSimple>
          <w:r w:rsidR="003C6222">
            <w:rPr>
              <w:rStyle w:val="PageNumber"/>
            </w:rPr>
            <w:fldChar w:fldCharType="begin"/>
          </w:r>
          <w:r w:rsidR="003C6222">
            <w:rPr>
              <w:rStyle w:val="PageNumber"/>
            </w:rPr>
            <w:instrText xml:space="preserve">PAGE  </w:instrText>
          </w:r>
          <w:r w:rsidR="003C6222">
            <w:rPr>
              <w:rStyle w:val="PageNumber"/>
            </w:rPr>
            <w:fldChar w:fldCharType="separate"/>
          </w:r>
          <w:r w:rsidR="002874B5">
            <w:rPr>
              <w:rStyle w:val="PageNumber"/>
              <w:noProof/>
            </w:rPr>
            <w:t>1</w:t>
          </w:r>
          <w:r w:rsidR="003C6222">
            <w:rPr>
              <w:rStyle w:val="PageNumber"/>
            </w:rPr>
            <w:fldChar w:fldCharType="end"/>
          </w:r>
        </w:p>
      </w:tc>
    </w:tr>
  </w:tbl>
  <w:p w:rsidR="003C6222" w:rsidRDefault="003C622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222" w:rsidRDefault="003C6222">
      <w:r>
        <w:separator/>
      </w:r>
    </w:p>
  </w:footnote>
  <w:footnote w:type="continuationSeparator" w:id="0">
    <w:p w:rsidR="003C6222" w:rsidRDefault="003C6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C6222">
      <w:tc>
        <w:tcPr>
          <w:tcW w:w="2155" w:type="dxa"/>
          <w:tcBorders>
            <w:top w:val="single" w:sz="24" w:space="0" w:color="auto"/>
          </w:tcBorders>
        </w:tcPr>
        <w:p w:rsidR="003C6222" w:rsidRDefault="003C6222" w:rsidP="0019293B">
          <w:pPr>
            <w:pStyle w:val="HeaderEven"/>
          </w:pPr>
        </w:p>
      </w:tc>
      <w:tc>
        <w:tcPr>
          <w:tcW w:w="6634" w:type="dxa"/>
          <w:tcBorders>
            <w:top w:val="single" w:sz="6" w:space="0" w:color="auto"/>
          </w:tcBorders>
        </w:tcPr>
        <w:p w:rsidR="003C6222" w:rsidRDefault="003C6222" w:rsidP="0019293B">
          <w:pPr>
            <w:pStyle w:val="HeaderEven"/>
          </w:pPr>
        </w:p>
      </w:tc>
    </w:tr>
  </w:tbl>
  <w:p w:rsidR="003C6222" w:rsidRDefault="003C622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C6222">
      <w:tc>
        <w:tcPr>
          <w:tcW w:w="6634" w:type="dxa"/>
          <w:tcBorders>
            <w:top w:val="single" w:sz="6" w:space="0" w:color="auto"/>
          </w:tcBorders>
        </w:tcPr>
        <w:p w:rsidR="003C6222" w:rsidRDefault="003C6222" w:rsidP="00E669E2">
          <w:pPr>
            <w:pStyle w:val="HeaderOdd"/>
          </w:pPr>
        </w:p>
      </w:tc>
      <w:tc>
        <w:tcPr>
          <w:tcW w:w="2155" w:type="dxa"/>
          <w:tcBorders>
            <w:top w:val="single" w:sz="24" w:space="0" w:color="auto"/>
          </w:tcBorders>
        </w:tcPr>
        <w:p w:rsidR="003C6222" w:rsidRDefault="003C6222" w:rsidP="00E669E2">
          <w:pPr>
            <w:pStyle w:val="HeaderOdd"/>
          </w:pPr>
        </w:p>
      </w:tc>
    </w:tr>
  </w:tbl>
  <w:p w:rsidR="003C6222" w:rsidRDefault="003C622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3594BE5E"/>
    <w:lvl w:ilvl="0">
      <w:numFmt w:val="bullet"/>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DoubleDot"/>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B341AC"/>
    <w:multiLevelType w:val="hybridMultilevel"/>
    <w:tmpl w:val="57AE1FDC"/>
    <w:lvl w:ilvl="0" w:tplc="6400C8F6">
      <w:start w:val="1"/>
      <w:numFmt w:val="bullet"/>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7440C8B"/>
    <w:multiLevelType w:val="multilevel"/>
    <w:tmpl w:val="F2A403A2"/>
    <w:lvl w:ilvl="0">
      <w:start w:val="1"/>
      <w:numFmt w:val="bullet"/>
      <w:lvlRestart w:val="0"/>
      <w:lvlText w:val="•"/>
      <w:lvlJc w:val="left"/>
      <w:pPr>
        <w:tabs>
          <w:tab w:val="num" w:pos="283"/>
        </w:tabs>
        <w:ind w:left="283" w:hanging="283"/>
      </w:pPr>
      <w:rPr>
        <w:rFonts w:ascii="Times New Roman" w:hAnsi="Times New Roman"/>
        <w:b w:val="0"/>
        <w:i w:val="0"/>
      </w:rPr>
    </w:lvl>
    <w:lvl w:ilvl="1">
      <w:start w:val="1"/>
      <w:numFmt w:val="bullet"/>
      <w:lvlText w:val="–"/>
      <w:lvlJc w:val="left"/>
      <w:pPr>
        <w:tabs>
          <w:tab w:val="num" w:pos="567"/>
        </w:tabs>
        <w:ind w:left="567" w:hanging="284"/>
      </w:pPr>
      <w:rPr>
        <w:rFonts w:ascii="Times New Roman" w:hAnsi="Times New Roman"/>
        <w:b w:val="0"/>
        <w:i w:val="0"/>
      </w:rPr>
    </w:lvl>
    <w:lvl w:ilvl="2">
      <w:start w:val="1"/>
      <w:numFmt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8610DDB"/>
    <w:multiLevelType w:val="hybridMultilevel"/>
    <w:tmpl w:val="81168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2"/>
  </w:num>
  <w:num w:numId="2">
    <w:abstractNumId w:val="2"/>
  </w:num>
  <w:num w:numId="3">
    <w:abstractNumId w:val="16"/>
  </w:num>
  <w:num w:numId="4">
    <w:abstractNumId w:val="3"/>
  </w:num>
  <w:num w:numId="5">
    <w:abstractNumId w:val="20"/>
  </w:num>
  <w:num w:numId="6">
    <w:abstractNumId w:val="18"/>
  </w:num>
  <w:num w:numId="7">
    <w:abstractNumId w:val="23"/>
  </w:num>
  <w:num w:numId="8">
    <w:abstractNumId w:val="7"/>
  </w:num>
  <w:num w:numId="9">
    <w:abstractNumId w:val="17"/>
  </w:num>
  <w:num w:numId="10">
    <w:abstractNumId w:val="6"/>
  </w:num>
  <w:num w:numId="11">
    <w:abstractNumId w:val="5"/>
  </w:num>
  <w:num w:numId="12">
    <w:abstractNumId w:val="11"/>
  </w:num>
  <w:num w:numId="13">
    <w:abstractNumId w:val="13"/>
  </w:num>
  <w:num w:numId="14">
    <w:abstractNumId w:val="15"/>
  </w:num>
  <w:num w:numId="15">
    <w:abstractNumId w:val="4"/>
  </w:num>
  <w:num w:numId="16">
    <w:abstractNumId w:val="19"/>
  </w:num>
  <w:num w:numId="17">
    <w:abstractNumId w:val="14"/>
  </w:num>
  <w:num w:numId="18">
    <w:abstractNumId w:val="0"/>
  </w:num>
  <w:num w:numId="19">
    <w:abstractNumId w:val="10"/>
  </w:num>
  <w:num w:numId="20">
    <w:abstractNumId w:val="9"/>
  </w:num>
  <w:num w:numId="21">
    <w:abstractNumId w:val="1"/>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2"/>
  </w:num>
  <w:num w:numId="23">
    <w:abstractNumId w:val="8"/>
  </w:num>
  <w:num w:numId="24">
    <w:abstractNumId w:val="21"/>
  </w:num>
  <w:num w:numId="25">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Indigenous Compendium 2014"/>
    <w:docVar w:name="ShortReportTitle" w:val="Report on Government Services 2014"/>
  </w:docVars>
  <w:rsids>
    <w:rsidRoot w:val="00B86CB4"/>
    <w:rsid w:val="00002CC5"/>
    <w:rsid w:val="000227D5"/>
    <w:rsid w:val="000245AA"/>
    <w:rsid w:val="00025E33"/>
    <w:rsid w:val="0003664B"/>
    <w:rsid w:val="00037202"/>
    <w:rsid w:val="0004111F"/>
    <w:rsid w:val="000444A1"/>
    <w:rsid w:val="00044F32"/>
    <w:rsid w:val="000565B3"/>
    <w:rsid w:val="0006341C"/>
    <w:rsid w:val="0007150B"/>
    <w:rsid w:val="0007163D"/>
    <w:rsid w:val="000759D7"/>
    <w:rsid w:val="00076021"/>
    <w:rsid w:val="00083647"/>
    <w:rsid w:val="00085ED5"/>
    <w:rsid w:val="00092918"/>
    <w:rsid w:val="00092FCC"/>
    <w:rsid w:val="000938F5"/>
    <w:rsid w:val="00096E55"/>
    <w:rsid w:val="00096F64"/>
    <w:rsid w:val="000A144E"/>
    <w:rsid w:val="000B5F1D"/>
    <w:rsid w:val="000B601B"/>
    <w:rsid w:val="000B7D9A"/>
    <w:rsid w:val="000C207E"/>
    <w:rsid w:val="000C65C8"/>
    <w:rsid w:val="000D1E2A"/>
    <w:rsid w:val="000D44C0"/>
    <w:rsid w:val="000D5988"/>
    <w:rsid w:val="000D5D65"/>
    <w:rsid w:val="000E35CE"/>
    <w:rsid w:val="000E39D8"/>
    <w:rsid w:val="000E4ACF"/>
    <w:rsid w:val="000F0035"/>
    <w:rsid w:val="000F420B"/>
    <w:rsid w:val="00103666"/>
    <w:rsid w:val="00110116"/>
    <w:rsid w:val="0011279A"/>
    <w:rsid w:val="00114B50"/>
    <w:rsid w:val="00117823"/>
    <w:rsid w:val="0011785C"/>
    <w:rsid w:val="00120072"/>
    <w:rsid w:val="0012158A"/>
    <w:rsid w:val="00121AB7"/>
    <w:rsid w:val="00124566"/>
    <w:rsid w:val="00126EB8"/>
    <w:rsid w:val="001274D4"/>
    <w:rsid w:val="00132146"/>
    <w:rsid w:val="001350E7"/>
    <w:rsid w:val="001363AA"/>
    <w:rsid w:val="00144BE9"/>
    <w:rsid w:val="001457FC"/>
    <w:rsid w:val="00147147"/>
    <w:rsid w:val="00155E7D"/>
    <w:rsid w:val="00156907"/>
    <w:rsid w:val="001678E5"/>
    <w:rsid w:val="00167CA3"/>
    <w:rsid w:val="00172567"/>
    <w:rsid w:val="00172838"/>
    <w:rsid w:val="00177A10"/>
    <w:rsid w:val="001838A3"/>
    <w:rsid w:val="00183B72"/>
    <w:rsid w:val="00183E82"/>
    <w:rsid w:val="001875E0"/>
    <w:rsid w:val="001876B5"/>
    <w:rsid w:val="001878BB"/>
    <w:rsid w:val="00187EEA"/>
    <w:rsid w:val="001918E7"/>
    <w:rsid w:val="00191AE0"/>
    <w:rsid w:val="0019293B"/>
    <w:rsid w:val="00195954"/>
    <w:rsid w:val="0019670B"/>
    <w:rsid w:val="001A5435"/>
    <w:rsid w:val="001B0F05"/>
    <w:rsid w:val="001B2BE6"/>
    <w:rsid w:val="001B62EC"/>
    <w:rsid w:val="001B7720"/>
    <w:rsid w:val="001C0485"/>
    <w:rsid w:val="001C0865"/>
    <w:rsid w:val="001C18F8"/>
    <w:rsid w:val="001C3ABA"/>
    <w:rsid w:val="001C5B5C"/>
    <w:rsid w:val="001C601E"/>
    <w:rsid w:val="001D0A18"/>
    <w:rsid w:val="001D15F9"/>
    <w:rsid w:val="001D4ABC"/>
    <w:rsid w:val="001D4BAC"/>
    <w:rsid w:val="001E7BE8"/>
    <w:rsid w:val="001F0248"/>
    <w:rsid w:val="001F2E1B"/>
    <w:rsid w:val="001F3EB3"/>
    <w:rsid w:val="001F4F86"/>
    <w:rsid w:val="001F677F"/>
    <w:rsid w:val="00201E83"/>
    <w:rsid w:val="00202C2C"/>
    <w:rsid w:val="0020524B"/>
    <w:rsid w:val="002059A0"/>
    <w:rsid w:val="002135AB"/>
    <w:rsid w:val="002144BE"/>
    <w:rsid w:val="0021503D"/>
    <w:rsid w:val="00222B03"/>
    <w:rsid w:val="0023047A"/>
    <w:rsid w:val="00231ED8"/>
    <w:rsid w:val="002339BA"/>
    <w:rsid w:val="0023568D"/>
    <w:rsid w:val="00240CB3"/>
    <w:rsid w:val="00242279"/>
    <w:rsid w:val="00245C82"/>
    <w:rsid w:val="0024657F"/>
    <w:rsid w:val="002504EE"/>
    <w:rsid w:val="00250C90"/>
    <w:rsid w:val="00257995"/>
    <w:rsid w:val="00260781"/>
    <w:rsid w:val="00266112"/>
    <w:rsid w:val="00270B27"/>
    <w:rsid w:val="00271A32"/>
    <w:rsid w:val="00273B38"/>
    <w:rsid w:val="0028038E"/>
    <w:rsid w:val="00280AA3"/>
    <w:rsid w:val="00280FB3"/>
    <w:rsid w:val="00281803"/>
    <w:rsid w:val="00285231"/>
    <w:rsid w:val="00285C72"/>
    <w:rsid w:val="002874B5"/>
    <w:rsid w:val="00287BA4"/>
    <w:rsid w:val="00287D81"/>
    <w:rsid w:val="0029178B"/>
    <w:rsid w:val="00291B40"/>
    <w:rsid w:val="00292D1E"/>
    <w:rsid w:val="002A286E"/>
    <w:rsid w:val="002A390F"/>
    <w:rsid w:val="002A478F"/>
    <w:rsid w:val="002A6626"/>
    <w:rsid w:val="002B4008"/>
    <w:rsid w:val="002B4766"/>
    <w:rsid w:val="002C0C2B"/>
    <w:rsid w:val="002C0FA5"/>
    <w:rsid w:val="002C7C8E"/>
    <w:rsid w:val="002D0E8E"/>
    <w:rsid w:val="002D7767"/>
    <w:rsid w:val="002E7DDE"/>
    <w:rsid w:val="002F658B"/>
    <w:rsid w:val="00301189"/>
    <w:rsid w:val="003024A0"/>
    <w:rsid w:val="003028AA"/>
    <w:rsid w:val="00310609"/>
    <w:rsid w:val="003133E9"/>
    <w:rsid w:val="003226FB"/>
    <w:rsid w:val="00322BD9"/>
    <w:rsid w:val="00323E09"/>
    <w:rsid w:val="003268C5"/>
    <w:rsid w:val="00331FA8"/>
    <w:rsid w:val="00333932"/>
    <w:rsid w:val="003345AE"/>
    <w:rsid w:val="00342143"/>
    <w:rsid w:val="00342657"/>
    <w:rsid w:val="00344001"/>
    <w:rsid w:val="00346421"/>
    <w:rsid w:val="00351694"/>
    <w:rsid w:val="003518AA"/>
    <w:rsid w:val="003519C6"/>
    <w:rsid w:val="00351D66"/>
    <w:rsid w:val="00352165"/>
    <w:rsid w:val="0035307E"/>
    <w:rsid w:val="00353182"/>
    <w:rsid w:val="00353AAF"/>
    <w:rsid w:val="003548DC"/>
    <w:rsid w:val="00355DF0"/>
    <w:rsid w:val="003565D9"/>
    <w:rsid w:val="003568DE"/>
    <w:rsid w:val="00357194"/>
    <w:rsid w:val="003602E1"/>
    <w:rsid w:val="003615E0"/>
    <w:rsid w:val="0036683E"/>
    <w:rsid w:val="0037026F"/>
    <w:rsid w:val="003703CB"/>
    <w:rsid w:val="00371131"/>
    <w:rsid w:val="0037121A"/>
    <w:rsid w:val="00371240"/>
    <w:rsid w:val="00371A1C"/>
    <w:rsid w:val="00372932"/>
    <w:rsid w:val="00374731"/>
    <w:rsid w:val="00374877"/>
    <w:rsid w:val="00376E59"/>
    <w:rsid w:val="003771FF"/>
    <w:rsid w:val="00381267"/>
    <w:rsid w:val="003919F9"/>
    <w:rsid w:val="00393A0D"/>
    <w:rsid w:val="0039497F"/>
    <w:rsid w:val="003977D8"/>
    <w:rsid w:val="003A084B"/>
    <w:rsid w:val="003A2850"/>
    <w:rsid w:val="003B08D7"/>
    <w:rsid w:val="003C1570"/>
    <w:rsid w:val="003C38B5"/>
    <w:rsid w:val="003C5D99"/>
    <w:rsid w:val="003C6222"/>
    <w:rsid w:val="003C7D3E"/>
    <w:rsid w:val="003D15C0"/>
    <w:rsid w:val="003D2050"/>
    <w:rsid w:val="003D3B04"/>
    <w:rsid w:val="003D530B"/>
    <w:rsid w:val="003D5E1E"/>
    <w:rsid w:val="003E2F59"/>
    <w:rsid w:val="003E64C4"/>
    <w:rsid w:val="003F0789"/>
    <w:rsid w:val="003F61EB"/>
    <w:rsid w:val="003F77E5"/>
    <w:rsid w:val="00401882"/>
    <w:rsid w:val="00405CFE"/>
    <w:rsid w:val="00407AFB"/>
    <w:rsid w:val="004100C8"/>
    <w:rsid w:val="00411DBD"/>
    <w:rsid w:val="00412066"/>
    <w:rsid w:val="00412ACE"/>
    <w:rsid w:val="00416111"/>
    <w:rsid w:val="0041694A"/>
    <w:rsid w:val="004218A0"/>
    <w:rsid w:val="00422688"/>
    <w:rsid w:val="00422B5F"/>
    <w:rsid w:val="0042414C"/>
    <w:rsid w:val="00431249"/>
    <w:rsid w:val="00434C19"/>
    <w:rsid w:val="004417C1"/>
    <w:rsid w:val="00443B29"/>
    <w:rsid w:val="004445D5"/>
    <w:rsid w:val="00445388"/>
    <w:rsid w:val="00446D70"/>
    <w:rsid w:val="004476A9"/>
    <w:rsid w:val="00450810"/>
    <w:rsid w:val="004546FE"/>
    <w:rsid w:val="00461F54"/>
    <w:rsid w:val="00464B60"/>
    <w:rsid w:val="004663EC"/>
    <w:rsid w:val="00475C2A"/>
    <w:rsid w:val="00477144"/>
    <w:rsid w:val="00482397"/>
    <w:rsid w:val="00482CB9"/>
    <w:rsid w:val="00485B11"/>
    <w:rsid w:val="00486AC8"/>
    <w:rsid w:val="004904F1"/>
    <w:rsid w:val="00490D83"/>
    <w:rsid w:val="00490E5D"/>
    <w:rsid w:val="00491380"/>
    <w:rsid w:val="00492BF6"/>
    <w:rsid w:val="0049459F"/>
    <w:rsid w:val="004956FF"/>
    <w:rsid w:val="00497199"/>
    <w:rsid w:val="004A0126"/>
    <w:rsid w:val="004A292E"/>
    <w:rsid w:val="004A38DD"/>
    <w:rsid w:val="004A67C8"/>
    <w:rsid w:val="004B16F9"/>
    <w:rsid w:val="004B43AE"/>
    <w:rsid w:val="004B77C9"/>
    <w:rsid w:val="004C30ED"/>
    <w:rsid w:val="004D5675"/>
    <w:rsid w:val="004E01E4"/>
    <w:rsid w:val="004E1C9C"/>
    <w:rsid w:val="004E4C1D"/>
    <w:rsid w:val="004F3586"/>
    <w:rsid w:val="004F52A5"/>
    <w:rsid w:val="00502461"/>
    <w:rsid w:val="005050E8"/>
    <w:rsid w:val="00506E88"/>
    <w:rsid w:val="00523639"/>
    <w:rsid w:val="00531FE5"/>
    <w:rsid w:val="00532335"/>
    <w:rsid w:val="005354FD"/>
    <w:rsid w:val="00535A59"/>
    <w:rsid w:val="005426DE"/>
    <w:rsid w:val="0056313E"/>
    <w:rsid w:val="0056489A"/>
    <w:rsid w:val="00573705"/>
    <w:rsid w:val="00576AD4"/>
    <w:rsid w:val="005831C7"/>
    <w:rsid w:val="00583C39"/>
    <w:rsid w:val="00587B38"/>
    <w:rsid w:val="00587F28"/>
    <w:rsid w:val="005909CF"/>
    <w:rsid w:val="00590DAD"/>
    <w:rsid w:val="0059116E"/>
    <w:rsid w:val="00591E71"/>
    <w:rsid w:val="005946CF"/>
    <w:rsid w:val="005A0D41"/>
    <w:rsid w:val="005A1951"/>
    <w:rsid w:val="005A2C7D"/>
    <w:rsid w:val="005A45DD"/>
    <w:rsid w:val="005A4B47"/>
    <w:rsid w:val="005A7405"/>
    <w:rsid w:val="005B28C0"/>
    <w:rsid w:val="005B6662"/>
    <w:rsid w:val="005B6701"/>
    <w:rsid w:val="005B7C3F"/>
    <w:rsid w:val="005C174F"/>
    <w:rsid w:val="005D09F1"/>
    <w:rsid w:val="005D3127"/>
    <w:rsid w:val="005D4164"/>
    <w:rsid w:val="005D44E1"/>
    <w:rsid w:val="005D46C2"/>
    <w:rsid w:val="005E200F"/>
    <w:rsid w:val="005E2138"/>
    <w:rsid w:val="005E5169"/>
    <w:rsid w:val="005F3481"/>
    <w:rsid w:val="005F4C5C"/>
    <w:rsid w:val="005F6B0C"/>
    <w:rsid w:val="006050F4"/>
    <w:rsid w:val="00607BF1"/>
    <w:rsid w:val="0061036A"/>
    <w:rsid w:val="00616292"/>
    <w:rsid w:val="00621D7F"/>
    <w:rsid w:val="00621DFC"/>
    <w:rsid w:val="00623F20"/>
    <w:rsid w:val="00625C15"/>
    <w:rsid w:val="00630D4D"/>
    <w:rsid w:val="006322C8"/>
    <w:rsid w:val="00632A74"/>
    <w:rsid w:val="006337B2"/>
    <w:rsid w:val="00636F7C"/>
    <w:rsid w:val="00641D7B"/>
    <w:rsid w:val="0064472A"/>
    <w:rsid w:val="006504C7"/>
    <w:rsid w:val="0066167A"/>
    <w:rsid w:val="00661EBF"/>
    <w:rsid w:val="00665023"/>
    <w:rsid w:val="00670D78"/>
    <w:rsid w:val="00675BC8"/>
    <w:rsid w:val="00676C2D"/>
    <w:rsid w:val="006877C0"/>
    <w:rsid w:val="00691800"/>
    <w:rsid w:val="0069518A"/>
    <w:rsid w:val="0069741B"/>
    <w:rsid w:val="006A4655"/>
    <w:rsid w:val="006A4704"/>
    <w:rsid w:val="006A7526"/>
    <w:rsid w:val="006B0CF1"/>
    <w:rsid w:val="006B2B3C"/>
    <w:rsid w:val="006C1D81"/>
    <w:rsid w:val="006C6EED"/>
    <w:rsid w:val="006C7038"/>
    <w:rsid w:val="006C7C14"/>
    <w:rsid w:val="006D2455"/>
    <w:rsid w:val="006D7ACC"/>
    <w:rsid w:val="006E0FFA"/>
    <w:rsid w:val="006E177F"/>
    <w:rsid w:val="006E73EF"/>
    <w:rsid w:val="006F0613"/>
    <w:rsid w:val="006F073D"/>
    <w:rsid w:val="00700C86"/>
    <w:rsid w:val="00704DCC"/>
    <w:rsid w:val="00707B10"/>
    <w:rsid w:val="00707BE0"/>
    <w:rsid w:val="007119F3"/>
    <w:rsid w:val="00714D4D"/>
    <w:rsid w:val="00715BD1"/>
    <w:rsid w:val="00721197"/>
    <w:rsid w:val="0072192B"/>
    <w:rsid w:val="007222B6"/>
    <w:rsid w:val="00722BE7"/>
    <w:rsid w:val="00723B87"/>
    <w:rsid w:val="007262E3"/>
    <w:rsid w:val="00733B6D"/>
    <w:rsid w:val="00734316"/>
    <w:rsid w:val="0074069E"/>
    <w:rsid w:val="00743052"/>
    <w:rsid w:val="007442CE"/>
    <w:rsid w:val="0075371B"/>
    <w:rsid w:val="00757BDE"/>
    <w:rsid w:val="007604BB"/>
    <w:rsid w:val="0076310E"/>
    <w:rsid w:val="00765910"/>
    <w:rsid w:val="00771E96"/>
    <w:rsid w:val="00772DFC"/>
    <w:rsid w:val="00775986"/>
    <w:rsid w:val="00775DC1"/>
    <w:rsid w:val="00776B37"/>
    <w:rsid w:val="00785232"/>
    <w:rsid w:val="0079170F"/>
    <w:rsid w:val="007A21EB"/>
    <w:rsid w:val="007A2D09"/>
    <w:rsid w:val="007A439D"/>
    <w:rsid w:val="007B1A93"/>
    <w:rsid w:val="007C0018"/>
    <w:rsid w:val="007C09A7"/>
    <w:rsid w:val="007C1CDB"/>
    <w:rsid w:val="007C36C9"/>
    <w:rsid w:val="007D035A"/>
    <w:rsid w:val="007D2E0E"/>
    <w:rsid w:val="007D6401"/>
    <w:rsid w:val="007D7900"/>
    <w:rsid w:val="007E01E4"/>
    <w:rsid w:val="007E210F"/>
    <w:rsid w:val="007E58C5"/>
    <w:rsid w:val="007F4085"/>
    <w:rsid w:val="007F7107"/>
    <w:rsid w:val="00800D4C"/>
    <w:rsid w:val="0080142C"/>
    <w:rsid w:val="0080417A"/>
    <w:rsid w:val="0081030F"/>
    <w:rsid w:val="00810DD5"/>
    <w:rsid w:val="00816367"/>
    <w:rsid w:val="0082087D"/>
    <w:rsid w:val="0082454B"/>
    <w:rsid w:val="00827003"/>
    <w:rsid w:val="00827929"/>
    <w:rsid w:val="00831511"/>
    <w:rsid w:val="008328FB"/>
    <w:rsid w:val="00835771"/>
    <w:rsid w:val="00842933"/>
    <w:rsid w:val="00852E24"/>
    <w:rsid w:val="0086082C"/>
    <w:rsid w:val="00860C85"/>
    <w:rsid w:val="00862650"/>
    <w:rsid w:val="00864ADC"/>
    <w:rsid w:val="00876D47"/>
    <w:rsid w:val="00880153"/>
    <w:rsid w:val="00880F97"/>
    <w:rsid w:val="0088133A"/>
    <w:rsid w:val="00882899"/>
    <w:rsid w:val="00885BB0"/>
    <w:rsid w:val="0088688A"/>
    <w:rsid w:val="0089285E"/>
    <w:rsid w:val="0089436C"/>
    <w:rsid w:val="008A4D38"/>
    <w:rsid w:val="008A6F90"/>
    <w:rsid w:val="008B00DD"/>
    <w:rsid w:val="008B203B"/>
    <w:rsid w:val="008B4C06"/>
    <w:rsid w:val="008C2AE7"/>
    <w:rsid w:val="008C2B5F"/>
    <w:rsid w:val="008C2E3D"/>
    <w:rsid w:val="008C5379"/>
    <w:rsid w:val="008C5635"/>
    <w:rsid w:val="008D0CB9"/>
    <w:rsid w:val="008D0F22"/>
    <w:rsid w:val="008D365C"/>
    <w:rsid w:val="008D37CE"/>
    <w:rsid w:val="008D743B"/>
    <w:rsid w:val="008E0ABE"/>
    <w:rsid w:val="008E1073"/>
    <w:rsid w:val="008E24C8"/>
    <w:rsid w:val="008E5E58"/>
    <w:rsid w:val="008F24E1"/>
    <w:rsid w:val="008F50FE"/>
    <w:rsid w:val="00900FAA"/>
    <w:rsid w:val="00902762"/>
    <w:rsid w:val="009030BF"/>
    <w:rsid w:val="00903322"/>
    <w:rsid w:val="00904D33"/>
    <w:rsid w:val="0091032F"/>
    <w:rsid w:val="0091304B"/>
    <w:rsid w:val="00914368"/>
    <w:rsid w:val="00914EEF"/>
    <w:rsid w:val="00916A84"/>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52F0"/>
    <w:rsid w:val="009562F7"/>
    <w:rsid w:val="00956A0C"/>
    <w:rsid w:val="00956BD9"/>
    <w:rsid w:val="00962489"/>
    <w:rsid w:val="009675C5"/>
    <w:rsid w:val="009677A8"/>
    <w:rsid w:val="009807AD"/>
    <w:rsid w:val="00990C2C"/>
    <w:rsid w:val="009932EB"/>
    <w:rsid w:val="009A0700"/>
    <w:rsid w:val="009A18E4"/>
    <w:rsid w:val="009A675C"/>
    <w:rsid w:val="009A7948"/>
    <w:rsid w:val="009B111A"/>
    <w:rsid w:val="009B1ECE"/>
    <w:rsid w:val="009B542C"/>
    <w:rsid w:val="009B5AA4"/>
    <w:rsid w:val="009C4295"/>
    <w:rsid w:val="009C61AF"/>
    <w:rsid w:val="009D08F4"/>
    <w:rsid w:val="009D2772"/>
    <w:rsid w:val="009D279D"/>
    <w:rsid w:val="009D333E"/>
    <w:rsid w:val="009D376A"/>
    <w:rsid w:val="009D409D"/>
    <w:rsid w:val="009D519A"/>
    <w:rsid w:val="009E2C6A"/>
    <w:rsid w:val="009E4186"/>
    <w:rsid w:val="009E44A4"/>
    <w:rsid w:val="009F0D1B"/>
    <w:rsid w:val="009F41E6"/>
    <w:rsid w:val="009F5380"/>
    <w:rsid w:val="009F54BA"/>
    <w:rsid w:val="009F696D"/>
    <w:rsid w:val="009F6BC6"/>
    <w:rsid w:val="009F6DA5"/>
    <w:rsid w:val="00A02721"/>
    <w:rsid w:val="00A02C7C"/>
    <w:rsid w:val="00A12154"/>
    <w:rsid w:val="00A1471D"/>
    <w:rsid w:val="00A151B9"/>
    <w:rsid w:val="00A1552E"/>
    <w:rsid w:val="00A15700"/>
    <w:rsid w:val="00A17328"/>
    <w:rsid w:val="00A217EC"/>
    <w:rsid w:val="00A23A20"/>
    <w:rsid w:val="00A24E69"/>
    <w:rsid w:val="00A268B9"/>
    <w:rsid w:val="00A2703A"/>
    <w:rsid w:val="00A33DFF"/>
    <w:rsid w:val="00A35115"/>
    <w:rsid w:val="00A36D9A"/>
    <w:rsid w:val="00A40B8E"/>
    <w:rsid w:val="00A52210"/>
    <w:rsid w:val="00A5394A"/>
    <w:rsid w:val="00A554AB"/>
    <w:rsid w:val="00A57062"/>
    <w:rsid w:val="00A6092F"/>
    <w:rsid w:val="00A61FBF"/>
    <w:rsid w:val="00A7115F"/>
    <w:rsid w:val="00A72677"/>
    <w:rsid w:val="00A727A0"/>
    <w:rsid w:val="00A85DA1"/>
    <w:rsid w:val="00A9231C"/>
    <w:rsid w:val="00A92B53"/>
    <w:rsid w:val="00A94FA6"/>
    <w:rsid w:val="00AA49A0"/>
    <w:rsid w:val="00AA4E65"/>
    <w:rsid w:val="00AA6710"/>
    <w:rsid w:val="00AA6848"/>
    <w:rsid w:val="00AA6D99"/>
    <w:rsid w:val="00AA6DFD"/>
    <w:rsid w:val="00AB0681"/>
    <w:rsid w:val="00AB1DAE"/>
    <w:rsid w:val="00AC2983"/>
    <w:rsid w:val="00AD520B"/>
    <w:rsid w:val="00AE07E6"/>
    <w:rsid w:val="00AE73D8"/>
    <w:rsid w:val="00B0085D"/>
    <w:rsid w:val="00B02FC4"/>
    <w:rsid w:val="00B0351E"/>
    <w:rsid w:val="00B04947"/>
    <w:rsid w:val="00B1624E"/>
    <w:rsid w:val="00B20091"/>
    <w:rsid w:val="00B27B21"/>
    <w:rsid w:val="00B31ED3"/>
    <w:rsid w:val="00B4104A"/>
    <w:rsid w:val="00B425C3"/>
    <w:rsid w:val="00B440AD"/>
    <w:rsid w:val="00B53A33"/>
    <w:rsid w:val="00B53E7E"/>
    <w:rsid w:val="00B61700"/>
    <w:rsid w:val="00B61C2C"/>
    <w:rsid w:val="00B6342E"/>
    <w:rsid w:val="00B64295"/>
    <w:rsid w:val="00B64F45"/>
    <w:rsid w:val="00B65CF9"/>
    <w:rsid w:val="00B7113F"/>
    <w:rsid w:val="00B8584C"/>
    <w:rsid w:val="00B85DFC"/>
    <w:rsid w:val="00B86CB4"/>
    <w:rsid w:val="00B87DE1"/>
    <w:rsid w:val="00B93513"/>
    <w:rsid w:val="00B949D4"/>
    <w:rsid w:val="00B95C6D"/>
    <w:rsid w:val="00BA06C7"/>
    <w:rsid w:val="00BA73B6"/>
    <w:rsid w:val="00BA7E27"/>
    <w:rsid w:val="00BB2603"/>
    <w:rsid w:val="00BB4FCD"/>
    <w:rsid w:val="00BB712D"/>
    <w:rsid w:val="00BB71A6"/>
    <w:rsid w:val="00BD0D9E"/>
    <w:rsid w:val="00BD13EA"/>
    <w:rsid w:val="00BE3808"/>
    <w:rsid w:val="00BE7E13"/>
    <w:rsid w:val="00BF0BB5"/>
    <w:rsid w:val="00BF18F1"/>
    <w:rsid w:val="00BF1D01"/>
    <w:rsid w:val="00BF3091"/>
    <w:rsid w:val="00BF389C"/>
    <w:rsid w:val="00BF6C9C"/>
    <w:rsid w:val="00C05B06"/>
    <w:rsid w:val="00C062E9"/>
    <w:rsid w:val="00C073E1"/>
    <w:rsid w:val="00C07B64"/>
    <w:rsid w:val="00C13721"/>
    <w:rsid w:val="00C14FE4"/>
    <w:rsid w:val="00C16B02"/>
    <w:rsid w:val="00C17FB7"/>
    <w:rsid w:val="00C21B60"/>
    <w:rsid w:val="00C3066D"/>
    <w:rsid w:val="00C34193"/>
    <w:rsid w:val="00C35A4D"/>
    <w:rsid w:val="00C40DBF"/>
    <w:rsid w:val="00C42AD5"/>
    <w:rsid w:val="00C543F4"/>
    <w:rsid w:val="00C6291C"/>
    <w:rsid w:val="00C633CB"/>
    <w:rsid w:val="00C63BA9"/>
    <w:rsid w:val="00C63EDC"/>
    <w:rsid w:val="00C65D2B"/>
    <w:rsid w:val="00C662FF"/>
    <w:rsid w:val="00C66D3D"/>
    <w:rsid w:val="00C67AE1"/>
    <w:rsid w:val="00C70324"/>
    <w:rsid w:val="00C7116B"/>
    <w:rsid w:val="00C72769"/>
    <w:rsid w:val="00C7471F"/>
    <w:rsid w:val="00C81D4A"/>
    <w:rsid w:val="00C85A52"/>
    <w:rsid w:val="00C8762C"/>
    <w:rsid w:val="00C9019E"/>
    <w:rsid w:val="00C93E29"/>
    <w:rsid w:val="00C9588D"/>
    <w:rsid w:val="00C962E9"/>
    <w:rsid w:val="00CA00F9"/>
    <w:rsid w:val="00CA1846"/>
    <w:rsid w:val="00CA1919"/>
    <w:rsid w:val="00CA2961"/>
    <w:rsid w:val="00CA3DF2"/>
    <w:rsid w:val="00CA745F"/>
    <w:rsid w:val="00CA7596"/>
    <w:rsid w:val="00CB434C"/>
    <w:rsid w:val="00CB50D7"/>
    <w:rsid w:val="00CB7177"/>
    <w:rsid w:val="00CC1998"/>
    <w:rsid w:val="00CC34EF"/>
    <w:rsid w:val="00CC4946"/>
    <w:rsid w:val="00CD02F3"/>
    <w:rsid w:val="00CE01A1"/>
    <w:rsid w:val="00CF0B63"/>
    <w:rsid w:val="00CF3F93"/>
    <w:rsid w:val="00D06E46"/>
    <w:rsid w:val="00D103EE"/>
    <w:rsid w:val="00D122C9"/>
    <w:rsid w:val="00D13483"/>
    <w:rsid w:val="00D16EE4"/>
    <w:rsid w:val="00D16FB3"/>
    <w:rsid w:val="00D171E7"/>
    <w:rsid w:val="00D270A4"/>
    <w:rsid w:val="00D31FE9"/>
    <w:rsid w:val="00D322D9"/>
    <w:rsid w:val="00D336E8"/>
    <w:rsid w:val="00D34E1B"/>
    <w:rsid w:val="00D376BA"/>
    <w:rsid w:val="00D4112D"/>
    <w:rsid w:val="00D42157"/>
    <w:rsid w:val="00D45634"/>
    <w:rsid w:val="00D45A2A"/>
    <w:rsid w:val="00D46D60"/>
    <w:rsid w:val="00D504EE"/>
    <w:rsid w:val="00D527E8"/>
    <w:rsid w:val="00D54D7A"/>
    <w:rsid w:val="00D5568A"/>
    <w:rsid w:val="00D571F0"/>
    <w:rsid w:val="00D57558"/>
    <w:rsid w:val="00D63D73"/>
    <w:rsid w:val="00D64452"/>
    <w:rsid w:val="00D6577A"/>
    <w:rsid w:val="00D66BAC"/>
    <w:rsid w:val="00D66E1E"/>
    <w:rsid w:val="00D70AD8"/>
    <w:rsid w:val="00D70E28"/>
    <w:rsid w:val="00D72B4D"/>
    <w:rsid w:val="00D75722"/>
    <w:rsid w:val="00D75A24"/>
    <w:rsid w:val="00D765A8"/>
    <w:rsid w:val="00D77A45"/>
    <w:rsid w:val="00D80CF5"/>
    <w:rsid w:val="00D84457"/>
    <w:rsid w:val="00D8576B"/>
    <w:rsid w:val="00D96A29"/>
    <w:rsid w:val="00D97630"/>
    <w:rsid w:val="00D97BDD"/>
    <w:rsid w:val="00DA0CD2"/>
    <w:rsid w:val="00DA5BBA"/>
    <w:rsid w:val="00DB26D2"/>
    <w:rsid w:val="00DB67C9"/>
    <w:rsid w:val="00DB776A"/>
    <w:rsid w:val="00DC073B"/>
    <w:rsid w:val="00DC0C95"/>
    <w:rsid w:val="00DC75E3"/>
    <w:rsid w:val="00DD4A36"/>
    <w:rsid w:val="00DD6580"/>
    <w:rsid w:val="00DD7B49"/>
    <w:rsid w:val="00DE174F"/>
    <w:rsid w:val="00DE28B3"/>
    <w:rsid w:val="00DE4726"/>
    <w:rsid w:val="00DF0215"/>
    <w:rsid w:val="00DF70FF"/>
    <w:rsid w:val="00E0363B"/>
    <w:rsid w:val="00E0484A"/>
    <w:rsid w:val="00E04885"/>
    <w:rsid w:val="00E07B0F"/>
    <w:rsid w:val="00E17C72"/>
    <w:rsid w:val="00E21FC6"/>
    <w:rsid w:val="00E22A42"/>
    <w:rsid w:val="00E364D1"/>
    <w:rsid w:val="00E421A3"/>
    <w:rsid w:val="00E431A9"/>
    <w:rsid w:val="00E441AE"/>
    <w:rsid w:val="00E568F3"/>
    <w:rsid w:val="00E63E73"/>
    <w:rsid w:val="00E64259"/>
    <w:rsid w:val="00E669E2"/>
    <w:rsid w:val="00E72082"/>
    <w:rsid w:val="00E750D9"/>
    <w:rsid w:val="00E76135"/>
    <w:rsid w:val="00E815A0"/>
    <w:rsid w:val="00E82F4F"/>
    <w:rsid w:val="00E96FF8"/>
    <w:rsid w:val="00EA3A96"/>
    <w:rsid w:val="00EA484B"/>
    <w:rsid w:val="00EA4F63"/>
    <w:rsid w:val="00EB50D0"/>
    <w:rsid w:val="00EB77CC"/>
    <w:rsid w:val="00EC0432"/>
    <w:rsid w:val="00EC2844"/>
    <w:rsid w:val="00EC2A85"/>
    <w:rsid w:val="00EC5500"/>
    <w:rsid w:val="00EC56EE"/>
    <w:rsid w:val="00ED73AE"/>
    <w:rsid w:val="00EE6319"/>
    <w:rsid w:val="00EF1DA7"/>
    <w:rsid w:val="00EF5CBE"/>
    <w:rsid w:val="00EF6C6C"/>
    <w:rsid w:val="00F056FC"/>
    <w:rsid w:val="00F10476"/>
    <w:rsid w:val="00F135D8"/>
    <w:rsid w:val="00F2012D"/>
    <w:rsid w:val="00F220B8"/>
    <w:rsid w:val="00F22391"/>
    <w:rsid w:val="00F27971"/>
    <w:rsid w:val="00F31299"/>
    <w:rsid w:val="00F32BDD"/>
    <w:rsid w:val="00F3517A"/>
    <w:rsid w:val="00F3534A"/>
    <w:rsid w:val="00F36DB3"/>
    <w:rsid w:val="00F47F91"/>
    <w:rsid w:val="00F51609"/>
    <w:rsid w:val="00F64679"/>
    <w:rsid w:val="00F7280D"/>
    <w:rsid w:val="00F7572F"/>
    <w:rsid w:val="00F82740"/>
    <w:rsid w:val="00F85325"/>
    <w:rsid w:val="00F85A3F"/>
    <w:rsid w:val="00F85C7B"/>
    <w:rsid w:val="00F8746D"/>
    <w:rsid w:val="00F93830"/>
    <w:rsid w:val="00F94683"/>
    <w:rsid w:val="00F96B09"/>
    <w:rsid w:val="00FA5355"/>
    <w:rsid w:val="00FA79C7"/>
    <w:rsid w:val="00FB57A6"/>
    <w:rsid w:val="00FC1E1A"/>
    <w:rsid w:val="00FC678D"/>
    <w:rsid w:val="00FC7C26"/>
    <w:rsid w:val="00FD1710"/>
    <w:rsid w:val="00FD20B4"/>
    <w:rsid w:val="00FD22B1"/>
    <w:rsid w:val="00FE09EA"/>
    <w:rsid w:val="00FE0CD0"/>
    <w:rsid w:val="00FE3578"/>
    <w:rsid w:val="00FF1C15"/>
    <w:rsid w:val="00FF40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85C72"/>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D2050"/>
    <w:pPr>
      <w:spacing w:before="560" w:line="320" w:lineRule="exact"/>
      <w:ind w:left="0" w:firstLine="0"/>
      <w:outlineLvl w:val="2"/>
    </w:pPr>
    <w:rPr>
      <w:sz w:val="26"/>
      <w:szCs w:val="20"/>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D205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D2050"/>
    <w:pPr>
      <w:numPr>
        <w:numId w:val="25"/>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D205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3D2050"/>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E07B0F"/>
    <w:rPr>
      <w:sz w:val="52"/>
      <w:szCs w:val="24"/>
    </w:rPr>
  </w:style>
  <w:style w:type="character" w:customStyle="1" w:styleId="BoxListNumberChar">
    <w:name w:val="Box List Number Char"/>
    <w:basedOn w:val="BoxChar"/>
    <w:link w:val="BoxListNumber"/>
    <w:rsid w:val="00AB1DAE"/>
    <w:rPr>
      <w:rFonts w:ascii="Arial" w:hAnsi="Arial"/>
      <w:sz w:val="22"/>
    </w:rPr>
  </w:style>
  <w:style w:type="character" w:customStyle="1" w:styleId="BoxListNumber2Char">
    <w:name w:val="Box List Number 2 Char"/>
    <w:basedOn w:val="BoxListNumberChar"/>
    <w:link w:val="BoxListNumber2"/>
    <w:rsid w:val="00AB1DAE"/>
    <w:rPr>
      <w:rFonts w:ascii="Arial" w:hAnsi="Arial"/>
      <w:sz w:val="22"/>
    </w:rPr>
  </w:style>
  <w:style w:type="character" w:customStyle="1" w:styleId="BoxSourceChar">
    <w:name w:val="Box Source Char"/>
    <w:basedOn w:val="SourceChar"/>
    <w:link w:val="BoxSource"/>
    <w:rsid w:val="00AB1DAE"/>
    <w:rPr>
      <w:rFonts w:ascii="Arial" w:hAnsi="Arial"/>
      <w:sz w:val="18"/>
    </w:rPr>
  </w:style>
  <w:style w:type="paragraph" w:customStyle="1" w:styleId="Bullet">
    <w:name w:val="Bullet"/>
    <w:basedOn w:val="Normal"/>
    <w:link w:val="BulletChar"/>
    <w:rsid w:val="00AB1DAE"/>
    <w:pPr>
      <w:tabs>
        <w:tab w:val="num" w:pos="567"/>
      </w:tabs>
      <w:spacing w:after="240" w:line="260" w:lineRule="exact"/>
      <w:ind w:left="567" w:hanging="283"/>
      <w:jc w:val="both"/>
    </w:pPr>
    <w:rPr>
      <w:rFonts w:ascii="Corbel" w:hAnsi="Corbel"/>
      <w:color w:val="000000"/>
      <w:sz w:val="23"/>
      <w:szCs w:val="20"/>
    </w:rPr>
  </w:style>
  <w:style w:type="character" w:customStyle="1" w:styleId="BulletChar">
    <w:name w:val="Bullet Char"/>
    <w:link w:val="Bullet"/>
    <w:locked/>
    <w:rsid w:val="00AB1DAE"/>
    <w:rPr>
      <w:rFonts w:ascii="Corbel" w:hAnsi="Corbel"/>
      <w:color w:val="000000"/>
      <w:sz w:val="23"/>
    </w:rPr>
  </w:style>
  <w:style w:type="paragraph" w:customStyle="1" w:styleId="Dash">
    <w:name w:val="Dash"/>
    <w:basedOn w:val="Normal"/>
    <w:rsid w:val="00AB1DAE"/>
    <w:pPr>
      <w:numPr>
        <w:ilvl w:val="1"/>
        <w:numId w:val="15"/>
      </w:numPr>
      <w:spacing w:after="240" w:line="260" w:lineRule="exact"/>
      <w:jc w:val="both"/>
    </w:pPr>
    <w:rPr>
      <w:rFonts w:ascii="Corbel" w:hAnsi="Corbel"/>
      <w:color w:val="000000"/>
      <w:sz w:val="23"/>
      <w:szCs w:val="20"/>
    </w:rPr>
  </w:style>
  <w:style w:type="paragraph" w:customStyle="1" w:styleId="DoubleDot">
    <w:name w:val="Double Dot"/>
    <w:basedOn w:val="Normal"/>
    <w:rsid w:val="00AB1DAE"/>
    <w:pPr>
      <w:numPr>
        <w:ilvl w:val="2"/>
        <w:numId w:val="15"/>
      </w:numPr>
      <w:spacing w:after="240" w:line="260" w:lineRule="exact"/>
      <w:jc w:val="both"/>
    </w:pPr>
    <w:rPr>
      <w:rFonts w:ascii="Corbel" w:hAnsi="Corbel"/>
      <w:color w:val="000000"/>
      <w:sz w:val="23"/>
      <w:szCs w:val="20"/>
    </w:rPr>
  </w:style>
  <w:style w:type="paragraph" w:customStyle="1" w:styleId="AlphaParagraph">
    <w:name w:val="Alpha Paragraph"/>
    <w:basedOn w:val="Normal"/>
    <w:rsid w:val="00AB1DAE"/>
    <w:pPr>
      <w:tabs>
        <w:tab w:val="num" w:pos="318"/>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AB1DAE"/>
    <w:rPr>
      <w:rFonts w:ascii="Verdana" w:hAnsi="Verdana" w:cs="Times New Roman"/>
      <w:b/>
      <w:bCs/>
      <w:color w:val="663366"/>
      <w:sz w:val="36"/>
      <w:szCs w:val="36"/>
      <w:u w:val="none"/>
      <w:effect w:val="none"/>
    </w:rPr>
  </w:style>
  <w:style w:type="paragraph" w:styleId="DocumentMap">
    <w:name w:val="Document Map"/>
    <w:basedOn w:val="Normal"/>
    <w:link w:val="DocumentMapChar"/>
    <w:rsid w:val="00AB1D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B1DAE"/>
    <w:rPr>
      <w:rFonts w:ascii="Tahoma" w:hAnsi="Tahoma" w:cs="Tahoma"/>
      <w:shd w:val="clear" w:color="auto" w:fill="000080"/>
    </w:rPr>
  </w:style>
  <w:style w:type="paragraph" w:customStyle="1" w:styleId="indenta">
    <w:name w:val="indent(a)"/>
    <w:aliases w:val="a"/>
    <w:basedOn w:val="Normal"/>
    <w:rsid w:val="00AB1DAE"/>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AB1DAE"/>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AB1DAE"/>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AB1DA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B1DAE"/>
    <w:rPr>
      <w:rFonts w:ascii="Book Antiqua" w:hAnsi="Book Antiqua"/>
      <w:color w:val="000000"/>
      <w:sz w:val="22"/>
      <w:lang w:eastAsia="en-US"/>
    </w:rPr>
  </w:style>
  <w:style w:type="paragraph" w:customStyle="1" w:styleId="Bullet1">
    <w:name w:val="Bullet 1"/>
    <w:basedOn w:val="Normal"/>
    <w:link w:val="Bullet1Char"/>
    <w:rsid w:val="00AB1DAE"/>
    <w:pPr>
      <w:spacing w:before="40" w:after="40" w:line="260" w:lineRule="atLeast"/>
      <w:ind w:left="1287" w:hanging="360"/>
    </w:pPr>
    <w:rPr>
      <w:rFonts w:ascii="Book Antiqua" w:hAnsi="Book Antiqua"/>
      <w:color w:val="000000"/>
      <w:sz w:val="22"/>
      <w:szCs w:val="20"/>
      <w:lang w:eastAsia="en-US"/>
    </w:rPr>
  </w:style>
  <w:style w:type="character" w:customStyle="1" w:styleId="Bullet1Char">
    <w:name w:val="Bullet 1 Char"/>
    <w:link w:val="Bullet1"/>
    <w:locked/>
    <w:rsid w:val="00AB1DAE"/>
    <w:rPr>
      <w:rFonts w:ascii="Book Antiqua" w:hAnsi="Book Antiqua"/>
      <w:color w:val="000000"/>
      <w:sz w:val="22"/>
      <w:lang w:eastAsia="en-US"/>
    </w:rPr>
  </w:style>
  <w:style w:type="paragraph" w:customStyle="1" w:styleId="TableBullet2">
    <w:name w:val="Table Bullet 2"/>
    <w:basedOn w:val="TableBullet"/>
    <w:rsid w:val="00AB1DAE"/>
    <w:pPr>
      <w:numPr>
        <w:numId w:val="0"/>
      </w:numPr>
      <w:tabs>
        <w:tab w:val="num" w:pos="340"/>
      </w:tabs>
      <w:ind w:left="340" w:hanging="340"/>
    </w:pPr>
  </w:style>
  <w:style w:type="character" w:customStyle="1" w:styleId="CaptionChar">
    <w:name w:val="Caption Char"/>
    <w:basedOn w:val="DefaultParagraphFont"/>
    <w:link w:val="Caption"/>
    <w:rsid w:val="00AB1DAE"/>
    <w:rPr>
      <w:rFonts w:ascii="Arial" w:hAnsi="Arial"/>
      <w:b/>
      <w:sz w:val="26"/>
      <w:szCs w:val="24"/>
    </w:rPr>
  </w:style>
  <w:style w:type="character" w:customStyle="1" w:styleId="TableTitleChar">
    <w:name w:val="Table Title Char"/>
    <w:basedOn w:val="CaptionChar"/>
    <w:link w:val="TableTitle"/>
    <w:rsid w:val="00AB1DAE"/>
    <w:rPr>
      <w:rFonts w:ascii="Arial" w:hAnsi="Arial"/>
      <w:b/>
      <w:sz w:val="24"/>
      <w:szCs w:val="24"/>
    </w:rPr>
  </w:style>
  <w:style w:type="paragraph" w:customStyle="1" w:styleId="NoteCharCharCharChar">
    <w:name w:val="Note Char Char Char Char"/>
    <w:basedOn w:val="BodyText"/>
    <w:next w:val="Source"/>
    <w:link w:val="NoteCharCharCharCharChar"/>
    <w:rsid w:val="00155E7D"/>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155E7D"/>
    <w:rPr>
      <w:rFonts w:ascii="Arial" w:hAnsi="Arial"/>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85C72"/>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D2050"/>
    <w:pPr>
      <w:spacing w:before="560" w:line="320" w:lineRule="exact"/>
      <w:ind w:left="0" w:firstLine="0"/>
      <w:outlineLvl w:val="2"/>
    </w:pPr>
    <w:rPr>
      <w:sz w:val="26"/>
      <w:szCs w:val="20"/>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D205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D2050"/>
    <w:pPr>
      <w:numPr>
        <w:numId w:val="25"/>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D205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3D2050"/>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E07B0F"/>
    <w:rPr>
      <w:sz w:val="52"/>
      <w:szCs w:val="24"/>
    </w:rPr>
  </w:style>
  <w:style w:type="character" w:customStyle="1" w:styleId="BoxListNumberChar">
    <w:name w:val="Box List Number Char"/>
    <w:basedOn w:val="BoxChar"/>
    <w:link w:val="BoxListNumber"/>
    <w:rsid w:val="00AB1DAE"/>
    <w:rPr>
      <w:rFonts w:ascii="Arial" w:hAnsi="Arial"/>
      <w:sz w:val="22"/>
    </w:rPr>
  </w:style>
  <w:style w:type="character" w:customStyle="1" w:styleId="BoxListNumber2Char">
    <w:name w:val="Box List Number 2 Char"/>
    <w:basedOn w:val="BoxListNumberChar"/>
    <w:link w:val="BoxListNumber2"/>
    <w:rsid w:val="00AB1DAE"/>
    <w:rPr>
      <w:rFonts w:ascii="Arial" w:hAnsi="Arial"/>
      <w:sz w:val="22"/>
    </w:rPr>
  </w:style>
  <w:style w:type="character" w:customStyle="1" w:styleId="BoxSourceChar">
    <w:name w:val="Box Source Char"/>
    <w:basedOn w:val="SourceChar"/>
    <w:link w:val="BoxSource"/>
    <w:rsid w:val="00AB1DAE"/>
    <w:rPr>
      <w:rFonts w:ascii="Arial" w:hAnsi="Arial"/>
      <w:sz w:val="18"/>
    </w:rPr>
  </w:style>
  <w:style w:type="paragraph" w:customStyle="1" w:styleId="Bullet">
    <w:name w:val="Bullet"/>
    <w:basedOn w:val="Normal"/>
    <w:link w:val="BulletChar"/>
    <w:rsid w:val="00AB1DAE"/>
    <w:pPr>
      <w:tabs>
        <w:tab w:val="num" w:pos="567"/>
      </w:tabs>
      <w:spacing w:after="240" w:line="260" w:lineRule="exact"/>
      <w:ind w:left="567" w:hanging="283"/>
      <w:jc w:val="both"/>
    </w:pPr>
    <w:rPr>
      <w:rFonts w:ascii="Corbel" w:hAnsi="Corbel"/>
      <w:color w:val="000000"/>
      <w:sz w:val="23"/>
      <w:szCs w:val="20"/>
    </w:rPr>
  </w:style>
  <w:style w:type="character" w:customStyle="1" w:styleId="BulletChar">
    <w:name w:val="Bullet Char"/>
    <w:link w:val="Bullet"/>
    <w:locked/>
    <w:rsid w:val="00AB1DAE"/>
    <w:rPr>
      <w:rFonts w:ascii="Corbel" w:hAnsi="Corbel"/>
      <w:color w:val="000000"/>
      <w:sz w:val="23"/>
    </w:rPr>
  </w:style>
  <w:style w:type="paragraph" w:customStyle="1" w:styleId="Dash">
    <w:name w:val="Dash"/>
    <w:basedOn w:val="Normal"/>
    <w:rsid w:val="00AB1DAE"/>
    <w:pPr>
      <w:numPr>
        <w:ilvl w:val="1"/>
        <w:numId w:val="15"/>
      </w:numPr>
      <w:spacing w:after="240" w:line="260" w:lineRule="exact"/>
      <w:jc w:val="both"/>
    </w:pPr>
    <w:rPr>
      <w:rFonts w:ascii="Corbel" w:hAnsi="Corbel"/>
      <w:color w:val="000000"/>
      <w:sz w:val="23"/>
      <w:szCs w:val="20"/>
    </w:rPr>
  </w:style>
  <w:style w:type="paragraph" w:customStyle="1" w:styleId="DoubleDot">
    <w:name w:val="Double Dot"/>
    <w:basedOn w:val="Normal"/>
    <w:rsid w:val="00AB1DAE"/>
    <w:pPr>
      <w:numPr>
        <w:ilvl w:val="2"/>
        <w:numId w:val="15"/>
      </w:numPr>
      <w:spacing w:after="240" w:line="260" w:lineRule="exact"/>
      <w:jc w:val="both"/>
    </w:pPr>
    <w:rPr>
      <w:rFonts w:ascii="Corbel" w:hAnsi="Corbel"/>
      <w:color w:val="000000"/>
      <w:sz w:val="23"/>
      <w:szCs w:val="20"/>
    </w:rPr>
  </w:style>
  <w:style w:type="paragraph" w:customStyle="1" w:styleId="AlphaParagraph">
    <w:name w:val="Alpha Paragraph"/>
    <w:basedOn w:val="Normal"/>
    <w:rsid w:val="00AB1DAE"/>
    <w:pPr>
      <w:tabs>
        <w:tab w:val="num" w:pos="318"/>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AB1DAE"/>
    <w:rPr>
      <w:rFonts w:ascii="Verdana" w:hAnsi="Verdana" w:cs="Times New Roman"/>
      <w:b/>
      <w:bCs/>
      <w:color w:val="663366"/>
      <w:sz w:val="36"/>
      <w:szCs w:val="36"/>
      <w:u w:val="none"/>
      <w:effect w:val="none"/>
    </w:rPr>
  </w:style>
  <w:style w:type="paragraph" w:styleId="DocumentMap">
    <w:name w:val="Document Map"/>
    <w:basedOn w:val="Normal"/>
    <w:link w:val="DocumentMapChar"/>
    <w:rsid w:val="00AB1D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B1DAE"/>
    <w:rPr>
      <w:rFonts w:ascii="Tahoma" w:hAnsi="Tahoma" w:cs="Tahoma"/>
      <w:shd w:val="clear" w:color="auto" w:fill="000080"/>
    </w:rPr>
  </w:style>
  <w:style w:type="paragraph" w:customStyle="1" w:styleId="indenta">
    <w:name w:val="indent(a)"/>
    <w:aliases w:val="a"/>
    <w:basedOn w:val="Normal"/>
    <w:rsid w:val="00AB1DAE"/>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AB1DAE"/>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AB1DAE"/>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AB1DA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B1DAE"/>
    <w:rPr>
      <w:rFonts w:ascii="Book Antiqua" w:hAnsi="Book Antiqua"/>
      <w:color w:val="000000"/>
      <w:sz w:val="22"/>
      <w:lang w:eastAsia="en-US"/>
    </w:rPr>
  </w:style>
  <w:style w:type="paragraph" w:customStyle="1" w:styleId="Bullet1">
    <w:name w:val="Bullet 1"/>
    <w:basedOn w:val="Normal"/>
    <w:link w:val="Bullet1Char"/>
    <w:rsid w:val="00AB1DAE"/>
    <w:pPr>
      <w:spacing w:before="40" w:after="40" w:line="260" w:lineRule="atLeast"/>
      <w:ind w:left="1287" w:hanging="360"/>
    </w:pPr>
    <w:rPr>
      <w:rFonts w:ascii="Book Antiqua" w:hAnsi="Book Antiqua"/>
      <w:color w:val="000000"/>
      <w:sz w:val="22"/>
      <w:szCs w:val="20"/>
      <w:lang w:eastAsia="en-US"/>
    </w:rPr>
  </w:style>
  <w:style w:type="character" w:customStyle="1" w:styleId="Bullet1Char">
    <w:name w:val="Bullet 1 Char"/>
    <w:link w:val="Bullet1"/>
    <w:locked/>
    <w:rsid w:val="00AB1DAE"/>
    <w:rPr>
      <w:rFonts w:ascii="Book Antiqua" w:hAnsi="Book Antiqua"/>
      <w:color w:val="000000"/>
      <w:sz w:val="22"/>
      <w:lang w:eastAsia="en-US"/>
    </w:rPr>
  </w:style>
  <w:style w:type="paragraph" w:customStyle="1" w:styleId="TableBullet2">
    <w:name w:val="Table Bullet 2"/>
    <w:basedOn w:val="TableBullet"/>
    <w:rsid w:val="00AB1DAE"/>
    <w:pPr>
      <w:numPr>
        <w:numId w:val="0"/>
      </w:numPr>
      <w:tabs>
        <w:tab w:val="num" w:pos="340"/>
      </w:tabs>
      <w:ind w:left="340" w:hanging="340"/>
    </w:pPr>
  </w:style>
  <w:style w:type="character" w:customStyle="1" w:styleId="CaptionChar">
    <w:name w:val="Caption Char"/>
    <w:basedOn w:val="DefaultParagraphFont"/>
    <w:link w:val="Caption"/>
    <w:rsid w:val="00AB1DAE"/>
    <w:rPr>
      <w:rFonts w:ascii="Arial" w:hAnsi="Arial"/>
      <w:b/>
      <w:sz w:val="26"/>
      <w:szCs w:val="24"/>
    </w:rPr>
  </w:style>
  <w:style w:type="character" w:customStyle="1" w:styleId="TableTitleChar">
    <w:name w:val="Table Title Char"/>
    <w:basedOn w:val="CaptionChar"/>
    <w:link w:val="TableTitle"/>
    <w:rsid w:val="00AB1DAE"/>
    <w:rPr>
      <w:rFonts w:ascii="Arial" w:hAnsi="Arial"/>
      <w:b/>
      <w:sz w:val="24"/>
      <w:szCs w:val="24"/>
    </w:rPr>
  </w:style>
  <w:style w:type="paragraph" w:customStyle="1" w:styleId="NoteCharCharCharChar">
    <w:name w:val="Note Char Char Char Char"/>
    <w:basedOn w:val="BodyText"/>
    <w:next w:val="Source"/>
    <w:link w:val="NoteCharCharCharCharChar"/>
    <w:rsid w:val="00155E7D"/>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155E7D"/>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269515613">
      <w:bodyDiv w:val="1"/>
      <w:marLeft w:val="0"/>
      <w:marRight w:val="0"/>
      <w:marTop w:val="0"/>
      <w:marBottom w:val="0"/>
      <w:divBdr>
        <w:top w:val="none" w:sz="0" w:space="0" w:color="auto"/>
        <w:left w:val="none" w:sz="0" w:space="0" w:color="auto"/>
        <w:bottom w:val="none" w:sz="0" w:space="0" w:color="auto"/>
        <w:right w:val="none" w:sz="0" w:space="0" w:color="auto"/>
      </w:divBdr>
    </w:div>
    <w:div w:id="676201703">
      <w:bodyDiv w:val="1"/>
      <w:marLeft w:val="0"/>
      <w:marRight w:val="0"/>
      <w:marTop w:val="0"/>
      <w:marBottom w:val="0"/>
      <w:divBdr>
        <w:top w:val="none" w:sz="0" w:space="0" w:color="auto"/>
        <w:left w:val="none" w:sz="0" w:space="0" w:color="auto"/>
        <w:bottom w:val="none" w:sz="0" w:space="0" w:color="auto"/>
        <w:right w:val="none" w:sz="0" w:space="0" w:color="auto"/>
      </w:divBdr>
    </w:div>
    <w:div w:id="680283300">
      <w:bodyDiv w:val="1"/>
      <w:marLeft w:val="0"/>
      <w:marRight w:val="0"/>
      <w:marTop w:val="0"/>
      <w:marBottom w:val="0"/>
      <w:divBdr>
        <w:top w:val="none" w:sz="0" w:space="0" w:color="auto"/>
        <w:left w:val="none" w:sz="0" w:space="0" w:color="auto"/>
        <w:bottom w:val="none" w:sz="0" w:space="0" w:color="auto"/>
        <w:right w:val="none" w:sz="0" w:space="0" w:color="auto"/>
      </w:divBdr>
    </w:div>
    <w:div w:id="747187650">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866330306">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677075150">
      <w:bodyDiv w:val="1"/>
      <w:marLeft w:val="0"/>
      <w:marRight w:val="0"/>
      <w:marTop w:val="0"/>
      <w:marBottom w:val="0"/>
      <w:divBdr>
        <w:top w:val="none" w:sz="0" w:space="0" w:color="auto"/>
        <w:left w:val="none" w:sz="0" w:space="0" w:color="auto"/>
        <w:bottom w:val="none" w:sz="0" w:space="0" w:color="auto"/>
        <w:right w:val="none" w:sz="0" w:space="0" w:color="auto"/>
      </w:divBdr>
    </w:div>
    <w:div w:id="170786960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 w:id="214279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s_profile%20data.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s_profile%20data.xlsm"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'Detention_Indigenous data'!$B$16</c:f>
              <c:strCache>
                <c:ptCount val="1"/>
                <c:pt idx="0">
                  <c:v>Indigenous</c:v>
                </c:pt>
              </c:strCache>
            </c:strRef>
          </c:tx>
          <c:spPr>
            <a:solidFill>
              <a:sysClr val="window" lastClr="FFFFFF">
                <a:lumMod val="75000"/>
              </a:sysClr>
            </a:solidFill>
            <a:ln>
              <a:solidFill>
                <a:srgbClr val="000000"/>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data'!$C$16:$K$16</c:f>
              <c:numCache>
                <c:formatCode>0.0</c:formatCode>
                <c:ptCount val="9"/>
                <c:pt idx="0">
                  <c:v>490.19607843137254</c:v>
                </c:pt>
                <c:pt idx="1">
                  <c:v>208.58164481525628</c:v>
                </c:pt>
                <c:pt idx="2">
                  <c:v>284.97494185856073</c:v>
                </c:pt>
                <c:pt idx="3">
                  <c:v>842.11287988422578</c:v>
                </c:pt>
                <c:pt idx="4">
                  <c:v>474.60010546669008</c:v>
                </c:pt>
                <c:pt idx="5">
                  <c:v>54.244643341470031</c:v>
                </c:pt>
                <c:pt idx="6">
                  <c:v>955.79450418160093</c:v>
                </c:pt>
                <c:pt idx="7">
                  <c:v>311.85697419463651</c:v>
                </c:pt>
                <c:pt idx="8">
                  <c:v>425.35842380068652</c:v>
                </c:pt>
              </c:numCache>
            </c:numRef>
          </c:val>
        </c:ser>
        <c:ser>
          <c:idx val="1"/>
          <c:order val="1"/>
          <c:tx>
            <c:strRef>
              <c:f>'Detention_Indigenous data'!$B$17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data'!$C$17:$K$17</c:f>
              <c:numCache>
                <c:formatCode>0.0</c:formatCode>
                <c:ptCount val="9"/>
                <c:pt idx="0">
                  <c:v>20.684029598555032</c:v>
                </c:pt>
                <c:pt idx="1">
                  <c:v>11.879015059951314</c:v>
                </c:pt>
                <c:pt idx="2">
                  <c:v>11.020002428898495</c:v>
                </c:pt>
                <c:pt idx="3">
                  <c:v>22.211583228651492</c:v>
                </c:pt>
                <c:pt idx="4">
                  <c:v>19.471036832711341</c:v>
                </c:pt>
                <c:pt idx="5">
                  <c:v>38.414880711686216</c:v>
                </c:pt>
                <c:pt idx="6">
                  <c:v>35.682426404995539</c:v>
                </c:pt>
                <c:pt idx="7">
                  <c:v>5.4287305122494436</c:v>
                </c:pt>
                <c:pt idx="8">
                  <c:v>17.111626564381474</c:v>
                </c:pt>
              </c:numCache>
            </c:numRef>
          </c:val>
        </c:ser>
        <c:dLbls>
          <c:showLegendKey val="0"/>
          <c:showVal val="0"/>
          <c:showCatName val="0"/>
          <c:showSerName val="0"/>
          <c:showPercent val="0"/>
          <c:showBubbleSize val="0"/>
        </c:dLbls>
        <c:gapWidth val="150"/>
        <c:axId val="214553728"/>
        <c:axId val="214555264"/>
      </c:barChart>
      <c:catAx>
        <c:axId val="214553728"/>
        <c:scaling>
          <c:orientation val="minMax"/>
        </c:scaling>
        <c:delete val="0"/>
        <c:axPos val="b"/>
        <c:numFmt formatCode="General" sourceLinked="1"/>
        <c:majorTickMark val="out"/>
        <c:minorTickMark val="none"/>
        <c:tickLblPos val="nextTo"/>
        <c:crossAx val="214555264"/>
        <c:crosses val="autoZero"/>
        <c:auto val="1"/>
        <c:lblAlgn val="ctr"/>
        <c:lblOffset val="100"/>
        <c:noMultiLvlLbl val="0"/>
      </c:catAx>
      <c:valAx>
        <c:axId val="214555264"/>
        <c:scaling>
          <c:orientation val="minMax"/>
          <c:max val="1200"/>
        </c:scaling>
        <c:delete val="0"/>
        <c:axPos val="l"/>
        <c:majorGridlines/>
        <c:title>
          <c:tx>
            <c:rich>
              <a:bodyPr rot="-5400000" vert="horz"/>
              <a:lstStyle/>
              <a:p>
                <a:pPr>
                  <a:defRPr/>
                </a:pPr>
                <a:r>
                  <a:rPr lang="en-AU"/>
                  <a:t>Detentions/100 000 young people</a:t>
                </a:r>
              </a:p>
            </c:rich>
          </c:tx>
          <c:overlay val="0"/>
        </c:title>
        <c:numFmt formatCode="#\ ##0" sourceLinked="0"/>
        <c:majorTickMark val="out"/>
        <c:minorTickMark val="none"/>
        <c:tickLblPos val="nextTo"/>
        <c:spPr>
          <a:ln>
            <a:solidFill>
              <a:schemeClr val="tx1"/>
            </a:solidFill>
          </a:ln>
        </c:spPr>
        <c:crossAx val="214553728"/>
        <c:crosses val="autoZero"/>
        <c:crossBetween val="between"/>
        <c:majorUnit val="30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'Community_Indigenous data'!$B$14</c:f>
              <c:strCache>
                <c:ptCount val="1"/>
                <c:pt idx="0">
                  <c:v>Indigenous</c:v>
                </c:pt>
              </c:strCache>
            </c:strRef>
          </c:tx>
          <c:spPr>
            <a:solidFill>
              <a:sysClr val="window" lastClr="FFFFFF">
                <a:lumMod val="75000"/>
              </a:sysClr>
            </a:solidFill>
            <a:ln>
              <a:solidFill>
                <a:srgbClr val="000000"/>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data'!$C$14:$K$14</c:f>
              <c:numCache>
                <c:formatCode>0.0</c:formatCode>
                <c:ptCount val="9"/>
                <c:pt idx="0">
                  <c:v>1918.5820023373587</c:v>
                </c:pt>
                <c:pt idx="1">
                  <c:v>1966.6269368295589</c:v>
                </c:pt>
                <c:pt idx="2">
                  <c:v>1932.5886861672509</c:v>
                </c:pt>
                <c:pt idx="3">
                  <c:v>3180.2460202604916</c:v>
                </c:pt>
                <c:pt idx="4">
                  <c:v>1705.0448233432942</c:v>
                </c:pt>
                <c:pt idx="5">
                  <c:v>786.54732845131537</c:v>
                </c:pt>
                <c:pt idx="6">
                  <c:v>3225.8064516129029</c:v>
                </c:pt>
                <c:pt idx="7">
                  <c:v>1134.9581154775678</c:v>
                </c:pt>
                <c:pt idx="8">
                  <c:v>1961.6847921894862</c:v>
                </c:pt>
              </c:numCache>
            </c:numRef>
          </c:val>
        </c:ser>
        <c:ser>
          <c:idx val="1"/>
          <c:order val="1"/>
          <c:tx>
            <c:strRef>
              <c:f>'Community_Indigenous data'!$B$15</c:f>
              <c:strCache>
                <c:ptCount val="1"/>
                <c:pt idx="0">
                  <c:v>Non-Indigenous </c:v>
                </c:pt>
              </c:strCache>
            </c:strRef>
          </c:tx>
          <c:spPr>
            <a:pattFill prst="wdUpDiag">
              <a:fgClr>
                <a:schemeClr val="tx1"/>
              </a:fgClr>
              <a:bgClr>
                <a:schemeClr val="bg1"/>
              </a:bgClr>
            </a:pattFill>
            <a:ln>
              <a:solidFill>
                <a:sysClr val="windowText" lastClr="000000"/>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data'!$C$15:$K$15</c:f>
              <c:numCache>
                <c:formatCode>0.0</c:formatCode>
                <c:ptCount val="9"/>
                <c:pt idx="0">
                  <c:v>110.55759482607935</c:v>
                </c:pt>
                <c:pt idx="1">
                  <c:v>148.01629876288544</c:v>
                </c:pt>
                <c:pt idx="2">
                  <c:v>132.24002914678192</c:v>
                </c:pt>
                <c:pt idx="3">
                  <c:v>112.05056352504019</c:v>
                </c:pt>
                <c:pt idx="4">
                  <c:v>113.58104819081618</c:v>
                </c:pt>
                <c:pt idx="5">
                  <c:v>325.51556813586734</c:v>
                </c:pt>
                <c:pt idx="6">
                  <c:v>190.30627415997623</c:v>
                </c:pt>
                <c:pt idx="7">
                  <c:v>188.49758723088115</c:v>
                </c:pt>
                <c:pt idx="8">
                  <c:v>131.44650034112553</c:v>
                </c:pt>
              </c:numCache>
            </c:numRef>
          </c:val>
        </c:ser>
        <c:dLbls>
          <c:showLegendKey val="0"/>
          <c:showVal val="0"/>
          <c:showCatName val="0"/>
          <c:showSerName val="0"/>
          <c:showPercent val="0"/>
          <c:showBubbleSize val="0"/>
        </c:dLbls>
        <c:gapWidth val="150"/>
        <c:axId val="203124736"/>
        <c:axId val="203126272"/>
      </c:barChart>
      <c:catAx>
        <c:axId val="203124736"/>
        <c:scaling>
          <c:orientation val="minMax"/>
        </c:scaling>
        <c:delete val="0"/>
        <c:axPos val="b"/>
        <c:numFmt formatCode="General" sourceLinked="1"/>
        <c:majorTickMark val="out"/>
        <c:minorTickMark val="none"/>
        <c:tickLblPos val="nextTo"/>
        <c:crossAx val="203126272"/>
        <c:crosses val="autoZero"/>
        <c:auto val="1"/>
        <c:lblAlgn val="ctr"/>
        <c:lblOffset val="100"/>
        <c:noMultiLvlLbl val="0"/>
      </c:catAx>
      <c:valAx>
        <c:axId val="203126272"/>
        <c:scaling>
          <c:orientation val="minMax"/>
          <c:max val="3500"/>
        </c:scaling>
        <c:delete val="0"/>
        <c:axPos val="l"/>
        <c:majorGridlines/>
        <c:title>
          <c:tx>
            <c:rich>
              <a:bodyPr rot="-5400000" vert="horz"/>
              <a:lstStyle/>
              <a:p>
                <a:pPr>
                  <a:defRPr/>
                </a:pPr>
                <a:r>
                  <a:rPr lang="en-AU"/>
                  <a:t>Community supervision/</a:t>
                </a:r>
              </a:p>
              <a:p>
                <a:pPr>
                  <a:defRPr/>
                </a:pPr>
                <a:r>
                  <a:rPr lang="en-AU"/>
                  <a:t>100 000 young</a:t>
                </a:r>
                <a:r>
                  <a:rPr lang="en-AU" baseline="0"/>
                  <a:t> people</a:t>
                </a:r>
                <a:endParaRPr lang="en-AU"/>
              </a:p>
            </c:rich>
          </c:tx>
          <c:overlay val="0"/>
        </c:title>
        <c:numFmt formatCode="#\ ##0" sourceLinked="0"/>
        <c:majorTickMark val="out"/>
        <c:minorTickMark val="none"/>
        <c:tickLblPos val="nextTo"/>
        <c:spPr>
          <a:ln>
            <a:solidFill>
              <a:schemeClr val="tx1"/>
            </a:solidFill>
          </a:ln>
        </c:spPr>
        <c:crossAx val="203124736"/>
        <c:crosses val="autoZero"/>
        <c:crossBetween val="between"/>
        <c:majorUnit val="70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'Group conferencing data'!$B$16</c:f>
              <c:strCache>
                <c:ptCount val="1"/>
                <c:pt idx="0">
                  <c:v>Indigenous</c:v>
                </c:pt>
              </c:strCache>
            </c:strRef>
          </c:tx>
          <c:spPr>
            <a:solidFill>
              <a:sysClr val="window" lastClr="FFFFFF">
                <a:lumMod val="75000"/>
              </a:sysClr>
            </a:solidFill>
            <a:ln>
              <a:solidFill>
                <a:srgbClr val="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data'!$C$16:$K$16</c:f>
              <c:numCache>
                <c:formatCode>###\ ###\ ##0.0;\-###\ ###\ ##0.0;"–"</c:formatCode>
                <c:ptCount val="9"/>
                <c:pt idx="0">
                  <c:v>98.591549295774655</c:v>
                </c:pt>
                <c:pt idx="1">
                  <c:v>0</c:v>
                </c:pt>
                <c:pt idx="2">
                  <c:v>93.302540415704385</c:v>
                </c:pt>
                <c:pt idx="3">
                  <c:v>0</c:v>
                </c:pt>
                <c:pt idx="4">
                  <c:v>86.893203883495147</c:v>
                </c:pt>
                <c:pt idx="5">
                  <c:v>100</c:v>
                </c:pt>
                <c:pt idx="6">
                  <c:v>100</c:v>
                </c:pt>
                <c:pt idx="7">
                  <c:v>100</c:v>
                </c:pt>
                <c:pt idx="8">
                  <c:v>93.571950328707089</c:v>
                </c:pt>
              </c:numCache>
            </c:numRef>
          </c:val>
        </c:ser>
        <c:ser>
          <c:idx val="1"/>
          <c:order val="1"/>
          <c:tx>
            <c:strRef>
              <c:f>'Group conferencing data'!$B$17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data'!$C$17:$K$17</c:f>
              <c:numCache>
                <c:formatCode>###\ ###\ ##0.0;\-###\ ###\ ##0.0;"–"</c:formatCode>
                <c:ptCount val="9"/>
                <c:pt idx="0">
                  <c:v>99.877300613496928</c:v>
                </c:pt>
                <c:pt idx="1">
                  <c:v>0</c:v>
                </c:pt>
                <c:pt idx="2">
                  <c:v>95.214105793450869</c:v>
                </c:pt>
                <c:pt idx="3">
                  <c:v>0</c:v>
                </c:pt>
                <c:pt idx="4">
                  <c:v>91.823899371069189</c:v>
                </c:pt>
                <c:pt idx="5">
                  <c:v>92.775665399239543</c:v>
                </c:pt>
                <c:pt idx="6">
                  <c:v>98.130841121495322</c:v>
                </c:pt>
                <c:pt idx="7">
                  <c:v>100</c:v>
                </c:pt>
                <c:pt idx="8">
                  <c:v>95.218492716909424</c:v>
                </c:pt>
              </c:numCache>
            </c:numRef>
          </c:val>
        </c:ser>
        <c:ser>
          <c:idx val="2"/>
          <c:order val="2"/>
          <c:tx>
            <c:strRef>
              <c:f>'Group conferencing data'!$B$18</c:f>
              <c:strCache>
                <c:ptCount val="1"/>
                <c:pt idx="0">
                  <c:v>Unknown</c:v>
                </c:pt>
              </c:strCache>
            </c:strRef>
          </c:tx>
          <c:spPr>
            <a:solidFill>
              <a:schemeClr val="bg1">
                <a:lumMod val="50000"/>
              </a:schemeClr>
            </a:solid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data'!$C$18:$K$18</c:f>
              <c:numCache>
                <c:formatCode>###\ ###\ ##0.0;\-###\ ###\ ##0.0;"–"</c:formatCode>
                <c:ptCount val="9"/>
                <c:pt idx="0">
                  <c:v>98.895027624309392</c:v>
                </c:pt>
                <c:pt idx="1">
                  <c:v>100</c:v>
                </c:pt>
                <c:pt idx="2">
                  <c:v>95.762711864406782</c:v>
                </c:pt>
                <c:pt idx="3">
                  <c:v>0</c:v>
                </c:pt>
                <c:pt idx="4">
                  <c:v>84.883720930232556</c:v>
                </c:pt>
                <c:pt idx="5">
                  <c:v>100</c:v>
                </c:pt>
                <c:pt idx="6">
                  <c:v>100</c:v>
                </c:pt>
                <c:pt idx="7">
                  <c:v>0</c:v>
                </c:pt>
                <c:pt idx="8">
                  <c:v>96.774193548387103</c:v>
                </c:pt>
              </c:numCache>
            </c:numRef>
          </c:val>
        </c:ser>
        <c:ser>
          <c:idx val="3"/>
          <c:order val="3"/>
          <c:tx>
            <c:strRef>
              <c:f>'Group conferencing data'!$B$19</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data'!$C$19:$K$19</c:f>
              <c:numCache>
                <c:formatCode>###\ ###\ ##0.0;\-###\ ###\ ##0.0;"–"</c:formatCode>
                <c:ptCount val="9"/>
                <c:pt idx="0">
                  <c:v>99.407846039970394</c:v>
                </c:pt>
                <c:pt idx="1">
                  <c:v>100</c:v>
                </c:pt>
                <c:pt idx="2">
                  <c:v>94.646840148698885</c:v>
                </c:pt>
                <c:pt idx="3">
                  <c:v>0</c:v>
                </c:pt>
                <c:pt idx="4">
                  <c:v>90.19242706393544</c:v>
                </c:pt>
                <c:pt idx="5">
                  <c:v>93.040293040293037</c:v>
                </c:pt>
                <c:pt idx="6">
                  <c:v>98.387096774193552</c:v>
                </c:pt>
                <c:pt idx="7">
                  <c:v>100</c:v>
                </c:pt>
                <c:pt idx="8">
                  <c:v>94.967942490771321</c:v>
                </c:pt>
              </c:numCache>
            </c:numRef>
          </c:val>
        </c:ser>
        <c:dLbls>
          <c:showLegendKey val="0"/>
          <c:showVal val="0"/>
          <c:showCatName val="0"/>
          <c:showSerName val="0"/>
          <c:showPercent val="0"/>
          <c:showBubbleSize val="0"/>
        </c:dLbls>
        <c:gapWidth val="150"/>
        <c:axId val="213058304"/>
        <c:axId val="213059840"/>
      </c:barChart>
      <c:catAx>
        <c:axId val="213058304"/>
        <c:scaling>
          <c:orientation val="minMax"/>
        </c:scaling>
        <c:delete val="0"/>
        <c:axPos val="b"/>
        <c:numFmt formatCode="General" sourceLinked="1"/>
        <c:majorTickMark val="out"/>
        <c:minorTickMark val="none"/>
        <c:tickLblPos val="nextTo"/>
        <c:crossAx val="213059840"/>
        <c:crosses val="autoZero"/>
        <c:auto val="1"/>
        <c:lblAlgn val="ctr"/>
        <c:lblOffset val="100"/>
        <c:noMultiLvlLbl val="0"/>
      </c:catAx>
      <c:valAx>
        <c:axId val="21305984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3058304"/>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'Education &amp; training data'!$B$17</c:f>
              <c:strCache>
                <c:ptCount val="1"/>
                <c:pt idx="0">
                  <c:v>Indigenous</c:v>
                </c:pt>
              </c:strCache>
            </c:strRef>
          </c:tx>
          <c:spPr>
            <a:solidFill>
              <a:sysClr val="window" lastClr="FFFFFF">
                <a:lumMod val="75000"/>
              </a:sysClr>
            </a:solidFill>
            <a:ln>
              <a:solidFill>
                <a:srgbClr val="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data'!$C$17:$K$17</c:f>
              <c:numCache>
                <c:formatCode>###\ ###\ ##0.0;\-###\ ###\ ##0.0;"–"</c:formatCode>
                <c:ptCount val="9"/>
                <c:pt idx="0">
                  <c:v>100</c:v>
                </c:pt>
                <c:pt idx="1">
                  <c:v>100</c:v>
                </c:pt>
                <c:pt idx="2">
                  <c:v>100</c:v>
                </c:pt>
                <c:pt idx="3">
                  <c:v>79.797979797979806</c:v>
                </c:pt>
                <c:pt idx="4">
                  <c:v>100</c:v>
                </c:pt>
                <c:pt idx="5">
                  <c:v>100</c:v>
                </c:pt>
                <c:pt idx="6">
                  <c:v>100</c:v>
                </c:pt>
                <c:pt idx="7">
                  <c:v>100</c:v>
                </c:pt>
                <c:pt idx="8">
                  <c:v>96.391520072169598</c:v>
                </c:pt>
              </c:numCache>
            </c:numRef>
          </c:val>
        </c:ser>
        <c:ser>
          <c:idx val="1"/>
          <c:order val="1"/>
          <c:tx>
            <c:strRef>
              <c:f>'Education &amp; training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data'!$C$18:$K$18</c:f>
              <c:numCache>
                <c:formatCode>###\ ###\ ##0.0;\-###\ ###\ ##0.0;"–"</c:formatCode>
                <c:ptCount val="9"/>
                <c:pt idx="0">
                  <c:v>100</c:v>
                </c:pt>
                <c:pt idx="1">
                  <c:v>100</c:v>
                </c:pt>
                <c:pt idx="2">
                  <c:v>100</c:v>
                </c:pt>
                <c:pt idx="3">
                  <c:v>78.787878787878782</c:v>
                </c:pt>
                <c:pt idx="4">
                  <c:v>100</c:v>
                </c:pt>
                <c:pt idx="5">
                  <c:v>100</c:v>
                </c:pt>
                <c:pt idx="6">
                  <c:v>100</c:v>
                </c:pt>
                <c:pt idx="7">
                  <c:v>100</c:v>
                </c:pt>
                <c:pt idx="8">
                  <c:v>98.267326732673268</c:v>
                </c:pt>
              </c:numCache>
            </c:numRef>
          </c:val>
        </c:ser>
        <c:ser>
          <c:idx val="2"/>
          <c:order val="2"/>
          <c:tx>
            <c:strRef>
              <c:f>'Education &amp; training data'!$B$19</c:f>
              <c:strCache>
                <c:ptCount val="1"/>
                <c:pt idx="0">
                  <c:v>Unknown</c:v>
                </c:pt>
              </c:strCache>
            </c:strRef>
          </c:tx>
          <c:spPr>
            <a:solidFill>
              <a:schemeClr val="bg1">
                <a:lumMod val="50000"/>
              </a:schemeClr>
            </a:solid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data'!$C$19:$K$19</c:f>
              <c:numCache>
                <c:formatCode>###\ ###\ ##0.0;\-###\ ###\ ##0.0;"–"</c:formatCode>
                <c:ptCount val="9"/>
                <c:pt idx="0">
                  <c:v>100</c:v>
                </c:pt>
                <c:pt idx="1">
                  <c:v>0</c:v>
                </c:pt>
                <c:pt idx="2">
                  <c:v>0</c:v>
                </c:pt>
                <c:pt idx="3">
                  <c:v>100</c:v>
                </c:pt>
                <c:pt idx="4">
                  <c:v>0</c:v>
                </c:pt>
                <c:pt idx="5">
                  <c:v>0</c:v>
                </c:pt>
                <c:pt idx="6">
                  <c:v>0</c:v>
                </c:pt>
                <c:pt idx="7">
                  <c:v>0</c:v>
                </c:pt>
                <c:pt idx="8">
                  <c:v>100</c:v>
                </c:pt>
              </c:numCache>
            </c:numRef>
          </c:val>
        </c:ser>
        <c:ser>
          <c:idx val="3"/>
          <c:order val="3"/>
          <c:tx>
            <c:strRef>
              <c:f>'Education &amp; training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data'!$C$20:$K$20</c:f>
              <c:numCache>
                <c:formatCode>###\ ###\ ##0.0;\-###\ ###\ ##0.0;"–"</c:formatCode>
                <c:ptCount val="9"/>
                <c:pt idx="0">
                  <c:v>100</c:v>
                </c:pt>
                <c:pt idx="1">
                  <c:v>100</c:v>
                </c:pt>
                <c:pt idx="2">
                  <c:v>100</c:v>
                </c:pt>
                <c:pt idx="3">
                  <c:v>79.699248120300751</c:v>
                </c:pt>
                <c:pt idx="4">
                  <c:v>100</c:v>
                </c:pt>
                <c:pt idx="5">
                  <c:v>100</c:v>
                </c:pt>
                <c:pt idx="6">
                  <c:v>100</c:v>
                </c:pt>
                <c:pt idx="7">
                  <c:v>100</c:v>
                </c:pt>
                <c:pt idx="8">
                  <c:v>97.222936487528926</c:v>
                </c:pt>
              </c:numCache>
            </c:numRef>
          </c:val>
        </c:ser>
        <c:dLbls>
          <c:showLegendKey val="0"/>
          <c:showVal val="0"/>
          <c:showCatName val="0"/>
          <c:showSerName val="0"/>
          <c:showPercent val="0"/>
          <c:showBubbleSize val="0"/>
        </c:dLbls>
        <c:gapWidth val="150"/>
        <c:axId val="213107456"/>
        <c:axId val="213108992"/>
      </c:barChart>
      <c:catAx>
        <c:axId val="213107456"/>
        <c:scaling>
          <c:orientation val="minMax"/>
        </c:scaling>
        <c:delete val="0"/>
        <c:axPos val="b"/>
        <c:numFmt formatCode="General" sourceLinked="1"/>
        <c:majorTickMark val="out"/>
        <c:minorTickMark val="none"/>
        <c:tickLblPos val="nextTo"/>
        <c:crossAx val="213108992"/>
        <c:crosses val="autoZero"/>
        <c:auto val="1"/>
        <c:lblAlgn val="ctr"/>
        <c:lblOffset val="100"/>
        <c:noMultiLvlLbl val="0"/>
      </c:catAx>
      <c:valAx>
        <c:axId val="213108992"/>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3107456"/>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'Education &amp; training data'!$B$34</c:f>
              <c:strCache>
                <c:ptCount val="1"/>
                <c:pt idx="0">
                  <c:v>Indigenous</c:v>
                </c:pt>
              </c:strCache>
            </c:strRef>
          </c:tx>
          <c:spPr>
            <a:solidFill>
              <a:sysClr val="window" lastClr="FFFFFF">
                <a:lumMod val="75000"/>
              </a:sysClr>
            </a:solidFill>
            <a:ln>
              <a:solidFill>
                <a:srgbClr val="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data'!$C$34:$K$34</c:f>
              <c:numCache>
                <c:formatCode>###\ ###\ ##0.0;\-###\ ###\ ##0.0;"–"</c:formatCode>
                <c:ptCount val="9"/>
                <c:pt idx="0">
                  <c:v>100</c:v>
                </c:pt>
                <c:pt idx="1">
                  <c:v>100</c:v>
                </c:pt>
                <c:pt idx="2">
                  <c:v>100</c:v>
                </c:pt>
                <c:pt idx="3">
                  <c:v>62.068965517241381</c:v>
                </c:pt>
                <c:pt idx="4">
                  <c:v>100</c:v>
                </c:pt>
                <c:pt idx="5">
                  <c:v>100</c:v>
                </c:pt>
                <c:pt idx="6">
                  <c:v>100</c:v>
                </c:pt>
                <c:pt idx="7">
                  <c:v>100</c:v>
                </c:pt>
                <c:pt idx="8">
                  <c:v>97.283950617283949</c:v>
                </c:pt>
              </c:numCache>
            </c:numRef>
          </c:val>
        </c:ser>
        <c:ser>
          <c:idx val="1"/>
          <c:order val="1"/>
          <c:tx>
            <c:strRef>
              <c:f>'Education &amp; training data'!$B$35</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data'!$C$35:$K$35</c:f>
              <c:numCache>
                <c:formatCode>###\ ###\ ##0.0;\-###\ ###\ ##0.0;"–"</c:formatCode>
                <c:ptCount val="9"/>
                <c:pt idx="0">
                  <c:v>100</c:v>
                </c:pt>
                <c:pt idx="1">
                  <c:v>100</c:v>
                </c:pt>
                <c:pt idx="2">
                  <c:v>100</c:v>
                </c:pt>
                <c:pt idx="3">
                  <c:v>56.25</c:v>
                </c:pt>
                <c:pt idx="4">
                  <c:v>100</c:v>
                </c:pt>
                <c:pt idx="5">
                  <c:v>100</c:v>
                </c:pt>
                <c:pt idx="6">
                  <c:v>100</c:v>
                </c:pt>
                <c:pt idx="7">
                  <c:v>0</c:v>
                </c:pt>
                <c:pt idx="8">
                  <c:v>98.703703703703709</c:v>
                </c:pt>
              </c:numCache>
            </c:numRef>
          </c:val>
        </c:ser>
        <c:ser>
          <c:idx val="2"/>
          <c:order val="2"/>
          <c:tx>
            <c:strRef>
              <c:f>'Education &amp; training data'!$B$36</c:f>
              <c:strCache>
                <c:ptCount val="1"/>
                <c:pt idx="0">
                  <c:v>Unknown</c:v>
                </c:pt>
              </c:strCache>
            </c:strRef>
          </c:tx>
          <c:spPr>
            <a:solidFill>
              <a:schemeClr val="bg1">
                <a:lumMod val="50000"/>
              </a:schemeClr>
            </a:solid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data'!$C$36:$K$36</c:f>
              <c:numCache>
                <c:formatCode>###\ ###\ ##0.0;\-###\ ###\ ##0.0;"–"</c:formatCode>
                <c:ptCount val="9"/>
                <c:pt idx="0">
                  <c:v>100</c:v>
                </c:pt>
                <c:pt idx="1">
                  <c:v>0</c:v>
                </c:pt>
                <c:pt idx="2">
                  <c:v>100</c:v>
                </c:pt>
                <c:pt idx="3">
                  <c:v>0</c:v>
                </c:pt>
                <c:pt idx="4">
                  <c:v>0</c:v>
                </c:pt>
                <c:pt idx="5">
                  <c:v>0</c:v>
                </c:pt>
                <c:pt idx="6">
                  <c:v>0</c:v>
                </c:pt>
                <c:pt idx="7">
                  <c:v>0</c:v>
                </c:pt>
                <c:pt idx="8">
                  <c:v>100</c:v>
                </c:pt>
              </c:numCache>
            </c:numRef>
          </c:val>
        </c:ser>
        <c:ser>
          <c:idx val="3"/>
          <c:order val="3"/>
          <c:tx>
            <c:strRef>
              <c:f>'Education &amp; training data'!$B$37</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data'!$C$37:$K$37</c:f>
              <c:numCache>
                <c:formatCode>###\ ###\ ##0.0;\-###\ ###\ ##0.0;"–"</c:formatCode>
                <c:ptCount val="9"/>
                <c:pt idx="0">
                  <c:v>100</c:v>
                </c:pt>
                <c:pt idx="1">
                  <c:v>100</c:v>
                </c:pt>
                <c:pt idx="2">
                  <c:v>100</c:v>
                </c:pt>
                <c:pt idx="3">
                  <c:v>60</c:v>
                </c:pt>
                <c:pt idx="4">
                  <c:v>100</c:v>
                </c:pt>
                <c:pt idx="5">
                  <c:v>100</c:v>
                </c:pt>
                <c:pt idx="6">
                  <c:v>100</c:v>
                </c:pt>
                <c:pt idx="7">
                  <c:v>100</c:v>
                </c:pt>
                <c:pt idx="8">
                  <c:v>98.111227701993712</c:v>
                </c:pt>
              </c:numCache>
            </c:numRef>
          </c:val>
        </c:ser>
        <c:dLbls>
          <c:showLegendKey val="0"/>
          <c:showVal val="0"/>
          <c:showCatName val="0"/>
          <c:showSerName val="0"/>
          <c:showPercent val="0"/>
          <c:showBubbleSize val="0"/>
        </c:dLbls>
        <c:gapWidth val="150"/>
        <c:axId val="213140608"/>
        <c:axId val="213142144"/>
      </c:barChart>
      <c:catAx>
        <c:axId val="213140608"/>
        <c:scaling>
          <c:orientation val="minMax"/>
        </c:scaling>
        <c:delete val="0"/>
        <c:axPos val="b"/>
        <c:numFmt formatCode="General" sourceLinked="1"/>
        <c:majorTickMark val="out"/>
        <c:minorTickMark val="none"/>
        <c:tickLblPos val="nextTo"/>
        <c:crossAx val="213142144"/>
        <c:crosses val="autoZero"/>
        <c:auto val="1"/>
        <c:lblAlgn val="ctr"/>
        <c:lblOffset val="100"/>
        <c:noMultiLvlLbl val="0"/>
      </c:catAx>
      <c:valAx>
        <c:axId val="213142144"/>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3140608"/>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data'!$B$17</c:f>
              <c:strCache>
                <c:ptCount val="1"/>
                <c:pt idx="0">
                  <c:v>Indigenous</c:v>
                </c:pt>
              </c:strCache>
            </c:strRef>
          </c:tx>
          <c:spPr>
            <a:solidFill>
              <a:sysClr val="window" lastClr="FFFFFF">
                <a:lumMod val="75000"/>
              </a:sysClr>
            </a:solidFill>
            <a:ln>
              <a:solidFill>
                <a:srgbClr val="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data'!$C$17:$K$17</c:f>
              <c:numCache>
                <c:formatCode>###\ ###\ ##0.0;\-###\ ###\ ##0.0;"–"</c:formatCode>
                <c:ptCount val="9"/>
                <c:pt idx="0">
                  <c:v>97.983193277310917</c:v>
                </c:pt>
                <c:pt idx="1">
                  <c:v>93.913043478260875</c:v>
                </c:pt>
                <c:pt idx="2">
                  <c:v>82.404692082111438</c:v>
                </c:pt>
                <c:pt idx="3">
                  <c:v>0</c:v>
                </c:pt>
                <c:pt idx="4">
                  <c:v>0</c:v>
                </c:pt>
                <c:pt idx="5">
                  <c:v>0</c:v>
                </c:pt>
                <c:pt idx="6">
                  <c:v>100</c:v>
                </c:pt>
                <c:pt idx="7">
                  <c:v>22.857142857142858</c:v>
                </c:pt>
                <c:pt idx="8">
                  <c:v>84.105534105534105</c:v>
                </c:pt>
              </c:numCache>
            </c:numRef>
          </c:val>
        </c:ser>
        <c:ser>
          <c:idx val="1"/>
          <c:order val="1"/>
          <c:tx>
            <c:strRef>
              <c:f>'Case plans prepared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data'!$C$18:$K$18</c:f>
              <c:numCache>
                <c:formatCode>###\ ###\ ##0.0;\-###\ ###\ ##0.0;"–"</c:formatCode>
                <c:ptCount val="9"/>
                <c:pt idx="0">
                  <c:v>98.19587628865979</c:v>
                </c:pt>
                <c:pt idx="1">
                  <c:v>96.028368794326241</c:v>
                </c:pt>
                <c:pt idx="2">
                  <c:v>89.054726368159209</c:v>
                </c:pt>
                <c:pt idx="3">
                  <c:v>0</c:v>
                </c:pt>
                <c:pt idx="4">
                  <c:v>0</c:v>
                </c:pt>
                <c:pt idx="5">
                  <c:v>0</c:v>
                </c:pt>
                <c:pt idx="6">
                  <c:v>100</c:v>
                </c:pt>
                <c:pt idx="7">
                  <c:v>46.666666666666664</c:v>
                </c:pt>
                <c:pt idx="8">
                  <c:v>94.669117647058826</c:v>
                </c:pt>
              </c:numCache>
            </c:numRef>
          </c:val>
        </c:ser>
        <c:ser>
          <c:idx val="2"/>
          <c:order val="2"/>
          <c:tx>
            <c:strRef>
              <c:f>'Case plans prepared data'!$B$19</c:f>
              <c:strCache>
                <c:ptCount val="1"/>
                <c:pt idx="0">
                  <c:v>Unknown</c:v>
                </c:pt>
              </c:strCache>
            </c:strRef>
          </c:tx>
          <c:spPr>
            <a:solidFill>
              <a:schemeClr val="bg1">
                <a:lumMod val="50000"/>
              </a:schemeClr>
            </a:solid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data'!$C$19:$K$19</c:f>
              <c:numCache>
                <c:formatCode>###\ ###\ ##0.0;\-###\ ###\ ##0.0;"–"</c:formatCode>
                <c:ptCount val="9"/>
                <c:pt idx="0">
                  <c:v>93.478260869565219</c:v>
                </c:pt>
                <c:pt idx="1">
                  <c:v>100</c:v>
                </c:pt>
                <c:pt idx="2">
                  <c:v>90</c:v>
                </c:pt>
                <c:pt idx="3">
                  <c:v>0</c:v>
                </c:pt>
                <c:pt idx="4">
                  <c:v>0</c:v>
                </c:pt>
                <c:pt idx="5">
                  <c:v>0</c:v>
                </c:pt>
                <c:pt idx="6">
                  <c:v>0</c:v>
                </c:pt>
                <c:pt idx="7">
                  <c:v>0</c:v>
                </c:pt>
                <c:pt idx="8">
                  <c:v>92.957746478873233</c:v>
                </c:pt>
              </c:numCache>
            </c:numRef>
          </c:val>
        </c:ser>
        <c:ser>
          <c:idx val="3"/>
          <c:order val="3"/>
          <c:tx>
            <c:strRef>
              <c:f>'Case plans prepared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data'!$C$20:$K$20</c:f>
              <c:numCache>
                <c:formatCode>###\ ###\ ##0.0;\-###\ ###\ ##0.0;"–"</c:formatCode>
                <c:ptCount val="9"/>
                <c:pt idx="0">
                  <c:v>97.439100562148667</c:v>
                </c:pt>
                <c:pt idx="1">
                  <c:v>95.752427184466015</c:v>
                </c:pt>
                <c:pt idx="2">
                  <c:v>85.692883895131089</c:v>
                </c:pt>
                <c:pt idx="3">
                  <c:v>66.070460704607044</c:v>
                </c:pt>
                <c:pt idx="4">
                  <c:v>0</c:v>
                </c:pt>
                <c:pt idx="5">
                  <c:v>0</c:v>
                </c:pt>
                <c:pt idx="6">
                  <c:v>100</c:v>
                </c:pt>
                <c:pt idx="7">
                  <c:v>25.161290322580644</c:v>
                </c:pt>
                <c:pt idx="8">
                  <c:v>82.778631165727944</c:v>
                </c:pt>
              </c:numCache>
            </c:numRef>
          </c:val>
        </c:ser>
        <c:dLbls>
          <c:showLegendKey val="0"/>
          <c:showVal val="0"/>
          <c:showCatName val="0"/>
          <c:showSerName val="0"/>
          <c:showPercent val="0"/>
          <c:showBubbleSize val="0"/>
        </c:dLbls>
        <c:gapWidth val="150"/>
        <c:axId val="213604224"/>
        <c:axId val="213605760"/>
      </c:barChart>
      <c:catAx>
        <c:axId val="213604224"/>
        <c:scaling>
          <c:orientation val="minMax"/>
        </c:scaling>
        <c:delete val="0"/>
        <c:axPos val="b"/>
        <c:numFmt formatCode="General" sourceLinked="1"/>
        <c:majorTickMark val="out"/>
        <c:minorTickMark val="none"/>
        <c:tickLblPos val="nextTo"/>
        <c:crossAx val="213605760"/>
        <c:crosses val="autoZero"/>
        <c:auto val="1"/>
        <c:lblAlgn val="ctr"/>
        <c:lblOffset val="100"/>
        <c:noMultiLvlLbl val="0"/>
      </c:catAx>
      <c:valAx>
        <c:axId val="21360576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3604224"/>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data'!$B$36</c:f>
              <c:strCache>
                <c:ptCount val="1"/>
                <c:pt idx="0">
                  <c:v>Indigenous</c:v>
                </c:pt>
              </c:strCache>
            </c:strRef>
          </c:tx>
          <c:spPr>
            <a:solidFill>
              <a:sysClr val="window" lastClr="FFFFFF">
                <a:lumMod val="75000"/>
              </a:sysClr>
            </a:solidFill>
            <a:ln>
              <a:solidFill>
                <a:srgbClr val="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data'!$C$36:$K$36</c:f>
              <c:numCache>
                <c:formatCode>###\ ###\ ##0.0;\-###\ ###\ ##0.0;"–"</c:formatCode>
                <c:ptCount val="9"/>
                <c:pt idx="0">
                  <c:v>100</c:v>
                </c:pt>
                <c:pt idx="1">
                  <c:v>91.304347826086953</c:v>
                </c:pt>
                <c:pt idx="2">
                  <c:v>81.355932203389841</c:v>
                </c:pt>
                <c:pt idx="3">
                  <c:v>100</c:v>
                </c:pt>
                <c:pt idx="4">
                  <c:v>0</c:v>
                </c:pt>
                <c:pt idx="5">
                  <c:v>0</c:v>
                </c:pt>
                <c:pt idx="6">
                  <c:v>80</c:v>
                </c:pt>
                <c:pt idx="7">
                  <c:v>100</c:v>
                </c:pt>
                <c:pt idx="8">
                  <c:v>97.021276595744681</c:v>
                </c:pt>
              </c:numCache>
            </c:numRef>
          </c:val>
        </c:ser>
        <c:ser>
          <c:idx val="1"/>
          <c:order val="1"/>
          <c:tx>
            <c:strRef>
              <c:f>'Case plans prepared data'!$B$37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data'!$C$37:$K$37</c:f>
              <c:numCache>
                <c:formatCode>###\ ###\ ##0.0;\-###\ ###\ ##0.0;"–"</c:formatCode>
                <c:ptCount val="9"/>
                <c:pt idx="0">
                  <c:v>100</c:v>
                </c:pt>
                <c:pt idx="1">
                  <c:v>100</c:v>
                </c:pt>
                <c:pt idx="2">
                  <c:v>82.142857142857139</c:v>
                </c:pt>
                <c:pt idx="3">
                  <c:v>100</c:v>
                </c:pt>
                <c:pt idx="4">
                  <c:v>0</c:v>
                </c:pt>
                <c:pt idx="5">
                  <c:v>0</c:v>
                </c:pt>
                <c:pt idx="6">
                  <c:v>85.714285714285708</c:v>
                </c:pt>
                <c:pt idx="7">
                  <c:v>100</c:v>
                </c:pt>
                <c:pt idx="8">
                  <c:v>98.61431870669746</c:v>
                </c:pt>
              </c:numCache>
            </c:numRef>
          </c:val>
        </c:ser>
        <c:ser>
          <c:idx val="2"/>
          <c:order val="2"/>
          <c:tx>
            <c:strRef>
              <c:f>'Case plans prepared data'!$B$38</c:f>
              <c:strCache>
                <c:ptCount val="1"/>
                <c:pt idx="0">
                  <c:v>Unknown</c:v>
                </c:pt>
              </c:strCache>
            </c:strRef>
          </c:tx>
          <c:spPr>
            <a:solidFill>
              <a:schemeClr val="bg1">
                <a:lumMod val="50000"/>
              </a:schemeClr>
            </a:solid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data'!$C$38:$K$38</c:f>
              <c:numCache>
                <c:formatCode>###\ ###\ ##0.0;\-###\ ###\ ##0.0;"–"</c:formatCode>
                <c:ptCount val="9"/>
                <c:pt idx="0">
                  <c:v>100</c:v>
                </c:pt>
                <c:pt idx="1">
                  <c:v>0</c:v>
                </c:pt>
                <c:pt idx="2">
                  <c:v>0</c:v>
                </c:pt>
                <c:pt idx="3">
                  <c:v>0</c:v>
                </c:pt>
                <c:pt idx="4">
                  <c:v>0</c:v>
                </c:pt>
                <c:pt idx="5">
                  <c:v>0</c:v>
                </c:pt>
                <c:pt idx="6">
                  <c:v>0</c:v>
                </c:pt>
                <c:pt idx="7">
                  <c:v>0</c:v>
                </c:pt>
                <c:pt idx="8">
                  <c:v>100</c:v>
                </c:pt>
              </c:numCache>
            </c:numRef>
          </c:val>
        </c:ser>
        <c:ser>
          <c:idx val="3"/>
          <c:order val="3"/>
          <c:tx>
            <c:strRef>
              <c:f>'Case plans prepared data'!$B$39</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data'!$C$39:$K$39</c:f>
              <c:numCache>
                <c:formatCode>###\ ###\ ##0.0;\-###\ ###\ ##0.0;"–"</c:formatCode>
                <c:ptCount val="9"/>
                <c:pt idx="0">
                  <c:v>100</c:v>
                </c:pt>
                <c:pt idx="1">
                  <c:v>98.963730569948183</c:v>
                </c:pt>
                <c:pt idx="2">
                  <c:v>81.609195402298852</c:v>
                </c:pt>
                <c:pt idx="3">
                  <c:v>100</c:v>
                </c:pt>
                <c:pt idx="4">
                  <c:v>0</c:v>
                </c:pt>
                <c:pt idx="5">
                  <c:v>0</c:v>
                </c:pt>
                <c:pt idx="6">
                  <c:v>83.333333333333343</c:v>
                </c:pt>
                <c:pt idx="7">
                  <c:v>100</c:v>
                </c:pt>
                <c:pt idx="8">
                  <c:v>97.799779977997801</c:v>
                </c:pt>
              </c:numCache>
            </c:numRef>
          </c:val>
        </c:ser>
        <c:dLbls>
          <c:showLegendKey val="0"/>
          <c:showVal val="0"/>
          <c:showCatName val="0"/>
          <c:showSerName val="0"/>
          <c:showPercent val="0"/>
          <c:showBubbleSize val="0"/>
        </c:dLbls>
        <c:gapWidth val="150"/>
        <c:axId val="213641472"/>
        <c:axId val="214695936"/>
      </c:barChart>
      <c:catAx>
        <c:axId val="213641472"/>
        <c:scaling>
          <c:orientation val="minMax"/>
        </c:scaling>
        <c:delete val="0"/>
        <c:axPos val="b"/>
        <c:numFmt formatCode="General" sourceLinked="1"/>
        <c:majorTickMark val="out"/>
        <c:minorTickMark val="none"/>
        <c:tickLblPos val="nextTo"/>
        <c:crossAx val="214695936"/>
        <c:crosses val="autoZero"/>
        <c:auto val="1"/>
        <c:lblAlgn val="ctr"/>
        <c:lblOffset val="100"/>
        <c:noMultiLvlLbl val="0"/>
      </c:catAx>
      <c:valAx>
        <c:axId val="214695936"/>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3641472"/>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'Completion of orders data'!$B$17</c:f>
              <c:strCache>
                <c:ptCount val="1"/>
                <c:pt idx="0">
                  <c:v>Indigenous</c:v>
                </c:pt>
              </c:strCache>
            </c:strRef>
          </c:tx>
          <c:spPr>
            <a:solidFill>
              <a:sysClr val="window" lastClr="FFFFFF">
                <a:lumMod val="75000"/>
              </a:sysClr>
            </a:solidFill>
            <a:ln>
              <a:solidFill>
                <a:srgbClr val="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data'!$C$17:$K$17</c:f>
              <c:numCache>
                <c:formatCode>###\ ###\ ##0.0;\-###\ ###\ ##0.0;"–"</c:formatCode>
                <c:ptCount val="9"/>
                <c:pt idx="0">
                  <c:v>84.80686695278969</c:v>
                </c:pt>
                <c:pt idx="1">
                  <c:v>93.238434163701072</c:v>
                </c:pt>
                <c:pt idx="2">
                  <c:v>73.989218328840963</c:v>
                </c:pt>
                <c:pt idx="3">
                  <c:v>56.700379266750943</c:v>
                </c:pt>
                <c:pt idx="4">
                  <c:v>86.602870813397132</c:v>
                </c:pt>
                <c:pt idx="5">
                  <c:v>94.382022471910105</c:v>
                </c:pt>
                <c:pt idx="6">
                  <c:v>0</c:v>
                </c:pt>
                <c:pt idx="7">
                  <c:v>52.046783625730995</c:v>
                </c:pt>
                <c:pt idx="8">
                  <c:v>74.633908232997072</c:v>
                </c:pt>
              </c:numCache>
            </c:numRef>
          </c:val>
        </c:ser>
        <c:ser>
          <c:idx val="1"/>
          <c:order val="1"/>
          <c:tx>
            <c:strRef>
              <c:f>'Completion of orders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data'!$C$18:$K$18</c:f>
              <c:numCache>
                <c:formatCode>###\ ###\ ##0.0;\-###\ ###\ ##0.0;"–"</c:formatCode>
                <c:ptCount val="9"/>
                <c:pt idx="0">
                  <c:v>83.24386503067484</c:v>
                </c:pt>
                <c:pt idx="1">
                  <c:v>90.08390541571319</c:v>
                </c:pt>
                <c:pt idx="2">
                  <c:v>81.087866108786613</c:v>
                </c:pt>
                <c:pt idx="3">
                  <c:v>76.609724047306173</c:v>
                </c:pt>
                <c:pt idx="4">
                  <c:v>85.013623978201636</c:v>
                </c:pt>
                <c:pt idx="5">
                  <c:v>92.670157068062835</c:v>
                </c:pt>
                <c:pt idx="6">
                  <c:v>0</c:v>
                </c:pt>
                <c:pt idx="7">
                  <c:v>61.363636363636367</c:v>
                </c:pt>
                <c:pt idx="8">
                  <c:v>83.938212357528499</c:v>
                </c:pt>
              </c:numCache>
            </c:numRef>
          </c:val>
        </c:ser>
        <c:ser>
          <c:idx val="2"/>
          <c:order val="2"/>
          <c:tx>
            <c:strRef>
              <c:f>'Completion of orders data'!$B$19</c:f>
              <c:strCache>
                <c:ptCount val="1"/>
                <c:pt idx="0">
                  <c:v>Unknown</c:v>
                </c:pt>
              </c:strCache>
            </c:strRef>
          </c:tx>
          <c:spPr>
            <a:solidFill>
              <a:schemeClr val="bg1">
                <a:lumMod val="50000"/>
              </a:schemeClr>
            </a:solid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data'!$C$19:$K$19</c:f>
              <c:numCache>
                <c:formatCode>###\ ###\ ##0.0;\-###\ ###\ ##0.0;"–"</c:formatCode>
                <c:ptCount val="9"/>
                <c:pt idx="0">
                  <c:v>92.617449664429529</c:v>
                </c:pt>
                <c:pt idx="1">
                  <c:v>0</c:v>
                </c:pt>
                <c:pt idx="2">
                  <c:v>89.65517241379311</c:v>
                </c:pt>
                <c:pt idx="3">
                  <c:v>100</c:v>
                </c:pt>
                <c:pt idx="4">
                  <c:v>85.714285714285708</c:v>
                </c:pt>
                <c:pt idx="5">
                  <c:v>50</c:v>
                </c:pt>
                <c:pt idx="6">
                  <c:v>0</c:v>
                </c:pt>
                <c:pt idx="7">
                  <c:v>0</c:v>
                </c:pt>
                <c:pt idx="8">
                  <c:v>92.292490118577078</c:v>
                </c:pt>
              </c:numCache>
            </c:numRef>
          </c:val>
        </c:ser>
        <c:ser>
          <c:idx val="3"/>
          <c:order val="3"/>
          <c:tx>
            <c:strRef>
              <c:f>'Completion of orders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data'!$C$20:$K$20</c:f>
              <c:numCache>
                <c:formatCode>###\ ###\ ##0.0;\-###\ ###\ ##0.0;"–"</c:formatCode>
                <c:ptCount val="9"/>
                <c:pt idx="0">
                  <c:v>84.698235840297116</c:v>
                </c:pt>
                <c:pt idx="1">
                  <c:v>90.640703517587937</c:v>
                </c:pt>
                <c:pt idx="2">
                  <c:v>77.28951255539144</c:v>
                </c:pt>
                <c:pt idx="3">
                  <c:v>63.385659736953755</c:v>
                </c:pt>
                <c:pt idx="4">
                  <c:v>85.593220338983059</c:v>
                </c:pt>
                <c:pt idx="5">
                  <c:v>92.811839323467225</c:v>
                </c:pt>
                <c:pt idx="6">
                  <c:v>0</c:v>
                </c:pt>
                <c:pt idx="7">
                  <c:v>53.953488372093027</c:v>
                </c:pt>
                <c:pt idx="8">
                  <c:v>79.962462462462454</c:v>
                </c:pt>
              </c:numCache>
            </c:numRef>
          </c:val>
        </c:ser>
        <c:dLbls>
          <c:showLegendKey val="0"/>
          <c:showVal val="0"/>
          <c:showCatName val="0"/>
          <c:showSerName val="0"/>
          <c:showPercent val="0"/>
          <c:showBubbleSize val="0"/>
        </c:dLbls>
        <c:gapWidth val="150"/>
        <c:axId val="214735872"/>
        <c:axId val="214741760"/>
      </c:barChart>
      <c:catAx>
        <c:axId val="214735872"/>
        <c:scaling>
          <c:orientation val="minMax"/>
        </c:scaling>
        <c:delete val="0"/>
        <c:axPos val="b"/>
        <c:numFmt formatCode="General" sourceLinked="1"/>
        <c:majorTickMark val="out"/>
        <c:minorTickMark val="none"/>
        <c:tickLblPos val="nextTo"/>
        <c:crossAx val="214741760"/>
        <c:crosses val="autoZero"/>
        <c:auto val="1"/>
        <c:lblAlgn val="ctr"/>
        <c:lblOffset val="100"/>
        <c:noMultiLvlLbl val="0"/>
      </c:catAx>
      <c:valAx>
        <c:axId val="21474176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4735872"/>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7DAC8-0105-4D28-A75B-E0CF6EDC8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19</TotalTime>
  <Pages>25</Pages>
  <Words>5890</Words>
  <Characters>33962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16.</dc:description>
  <cp:lastModifiedBy>Frech, Tanya</cp:lastModifiedBy>
  <cp:revision>12</cp:revision>
  <cp:lastPrinted>2012-07-19T02:05:00Z</cp:lastPrinted>
  <dcterms:created xsi:type="dcterms:W3CDTF">2014-03-03T22:09:00Z</dcterms:created>
  <dcterms:modified xsi:type="dcterms:W3CDTF">2014-04-10T05:08:00Z</dcterms:modified>
</cp:coreProperties>
</file>