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CC6528" w:rsidRDefault="004F7258" w:rsidP="004F7258">
      <w:pPr>
        <w:pStyle w:val="Chapter"/>
        <w:ind w:left="907" w:hanging="907"/>
        <w:rPr>
          <w:b/>
          <w:i/>
          <w:noProof/>
          <w:sz w:val="26"/>
          <w:szCs w:val="26"/>
        </w:rPr>
      </w:pPr>
      <w:bookmarkStart w:id="0" w:name="ChapterNumber"/>
      <w:r w:rsidRPr="004F7258">
        <w:rPr>
          <w:noProof/>
        </w:rPr>
        <w:t>18</w:t>
      </w:r>
      <w:bookmarkEnd w:id="0"/>
      <w:r w:rsidRPr="004F7258">
        <w:rPr>
          <w:noProof/>
        </w:rPr>
        <w:tab/>
      </w:r>
      <w:bookmarkStart w:id="1" w:name="ChapterTitle"/>
      <w:r w:rsidRPr="000551C0">
        <w:rPr>
          <w:noProof/>
        </w:rPr>
        <w:t>Homelessness services</w:t>
      </w:r>
      <w:bookmarkStart w:id="2" w:name="_GoBack"/>
      <w:bookmarkEnd w:id="1"/>
      <w:bookmarkEnd w:id="2"/>
    </w:p>
    <w:p w:rsidR="00C962E9" w:rsidRPr="000551C0" w:rsidRDefault="00270B27" w:rsidP="00270B27">
      <w:pPr>
        <w:pStyle w:val="TOC2"/>
      </w:pPr>
      <w:bookmarkStart w:id="3" w:name="begin"/>
      <w:bookmarkEnd w:id="3"/>
      <w:r w:rsidRPr="000551C0">
        <w:t>CONTENTS</w:t>
      </w:r>
    </w:p>
    <w:p w:rsidR="00CC6528" w:rsidRPr="00CC6528" w:rsidRDefault="00CC6528">
      <w:pPr>
        <w:pStyle w:val="TOC3"/>
        <w:rPr>
          <w:rStyle w:val="Hyperlink"/>
          <w:b/>
          <w:noProof/>
          <w:color w:val="auto"/>
        </w:rPr>
      </w:pPr>
      <w:r w:rsidRPr="0024596C">
        <w:rPr>
          <w:b/>
          <w:noProof/>
        </w:rPr>
        <w:t>Indigenous data in the Homelessness services chapter</w:t>
      </w:r>
      <w:r w:rsidRPr="0024596C">
        <w:rPr>
          <w:b/>
          <w:noProof/>
          <w:webHidden/>
        </w:rPr>
        <w:tab/>
        <w:t>18.4</w:t>
      </w:r>
    </w:p>
    <w:p w:rsidR="00CC6528" w:rsidRPr="00CC6528" w:rsidRDefault="00CC6528">
      <w:pPr>
        <w:pStyle w:val="TOC3"/>
        <w:rPr>
          <w:rStyle w:val="Hyperlink"/>
          <w:b/>
          <w:color w:val="auto"/>
        </w:rPr>
      </w:pPr>
      <w:r w:rsidRPr="0024596C">
        <w:rPr>
          <w:b/>
          <w:noProof/>
        </w:rPr>
        <w:t>Profile of homelessness services</w:t>
      </w:r>
      <w:r w:rsidRPr="0024596C">
        <w:rPr>
          <w:b/>
          <w:noProof/>
          <w:webHidden/>
        </w:rPr>
        <w:tab/>
        <w:t>18.4</w:t>
      </w:r>
    </w:p>
    <w:p w:rsidR="00CC6528" w:rsidRPr="00CC6528" w:rsidRDefault="00CC6528">
      <w:pPr>
        <w:pStyle w:val="TOC4"/>
        <w:rPr>
          <w:rStyle w:val="Hyperlink"/>
          <w:b/>
          <w:color w:val="auto"/>
        </w:rPr>
      </w:pPr>
      <w:r w:rsidRPr="0024596C">
        <w:rPr>
          <w:b/>
          <w:noProof/>
        </w:rPr>
        <w:t>Services to assist people who are homeless or at imminent risk of becoming homeless</w:t>
      </w:r>
      <w:r w:rsidRPr="0024596C">
        <w:rPr>
          <w:b/>
          <w:webHidden/>
        </w:rPr>
        <w:tab/>
        <w:t>18.4</w:t>
      </w:r>
    </w:p>
    <w:p w:rsidR="00CC6528" w:rsidRPr="00CC6528" w:rsidRDefault="00CC6528">
      <w:pPr>
        <w:pStyle w:val="TOC4"/>
        <w:rPr>
          <w:rStyle w:val="Hyperlink"/>
          <w:b/>
          <w:color w:val="auto"/>
        </w:rPr>
      </w:pPr>
      <w:r w:rsidRPr="0024596C">
        <w:rPr>
          <w:b/>
          <w:noProof/>
        </w:rPr>
        <w:t>Homelessness services and the link with other services</w:t>
      </w:r>
      <w:r w:rsidRPr="0024596C">
        <w:rPr>
          <w:b/>
          <w:webHidden/>
        </w:rPr>
        <w:tab/>
        <w:t>18.5</w:t>
      </w:r>
    </w:p>
    <w:p w:rsidR="00CC6528" w:rsidRPr="00CC6528" w:rsidRDefault="00CC6528">
      <w:pPr>
        <w:pStyle w:val="TOC3"/>
        <w:rPr>
          <w:rStyle w:val="Hyperlink"/>
          <w:color w:val="auto"/>
        </w:rPr>
      </w:pPr>
      <w:r w:rsidRPr="0024596C">
        <w:rPr>
          <w:b/>
          <w:noProof/>
        </w:rPr>
        <w:t>Framework of performance indicators for government funded specialist homelessness services</w:t>
      </w:r>
      <w:r w:rsidRPr="0024596C">
        <w:rPr>
          <w:b/>
          <w:noProof/>
          <w:webHidden/>
        </w:rPr>
        <w:tab/>
        <w:t>18.</w:t>
      </w:r>
      <w:r w:rsidRPr="0024596C">
        <w:rPr>
          <w:b/>
          <w:webHidden/>
        </w:rPr>
        <w:t>5</w:t>
      </w:r>
    </w:p>
    <w:p w:rsidR="00CC6528" w:rsidRPr="00CC6528" w:rsidRDefault="00CC6528">
      <w:pPr>
        <w:pStyle w:val="TOC4"/>
        <w:rPr>
          <w:rFonts w:eastAsiaTheme="minorEastAsia"/>
          <w:b/>
          <w:noProof/>
          <w:sz w:val="22"/>
          <w:szCs w:val="22"/>
        </w:rPr>
      </w:pPr>
      <w:r w:rsidRPr="0024596C">
        <w:rPr>
          <w:b/>
          <w:noProof/>
        </w:rPr>
        <w:t>Equity — access</w:t>
      </w:r>
      <w:r w:rsidRPr="0024596C">
        <w:rPr>
          <w:b/>
          <w:webHidden/>
        </w:rPr>
        <w:tab/>
        <w:t>18.7</w:t>
      </w:r>
    </w:p>
    <w:p w:rsidR="00CC6528" w:rsidRPr="00CC6528" w:rsidRDefault="00CC6528">
      <w:pPr>
        <w:pStyle w:val="TOC4"/>
        <w:rPr>
          <w:rFonts w:eastAsiaTheme="minorEastAsia"/>
          <w:b/>
          <w:noProof/>
          <w:sz w:val="22"/>
          <w:szCs w:val="22"/>
        </w:rPr>
      </w:pPr>
      <w:r w:rsidRPr="0024596C">
        <w:rPr>
          <w:b/>
          <w:noProof/>
        </w:rPr>
        <w:t>Effectiveness — appropriateness</w:t>
      </w:r>
      <w:r w:rsidRPr="00CC6528">
        <w:rPr>
          <w:b/>
          <w:noProof/>
          <w:webHidden/>
        </w:rPr>
        <w:tab/>
        <w:t>18.9</w:t>
      </w:r>
    </w:p>
    <w:p w:rsidR="00CC6528" w:rsidRPr="00CC6528" w:rsidRDefault="00CC6528">
      <w:pPr>
        <w:pStyle w:val="TOC4"/>
        <w:rPr>
          <w:rFonts w:eastAsiaTheme="minorEastAsia"/>
          <w:b/>
          <w:noProof/>
          <w:sz w:val="22"/>
          <w:szCs w:val="22"/>
        </w:rPr>
      </w:pPr>
      <w:r w:rsidRPr="0024596C">
        <w:rPr>
          <w:b/>
          <w:noProof/>
        </w:rPr>
        <w:t>Match of needs of clients</w:t>
      </w:r>
      <w:r w:rsidRPr="00CC6528">
        <w:rPr>
          <w:b/>
          <w:noProof/>
          <w:webHidden/>
        </w:rPr>
        <w:tab/>
        <w:t>18.10</w:t>
      </w:r>
    </w:p>
    <w:p w:rsidR="00CC6528" w:rsidRPr="00CC6528" w:rsidRDefault="00CC6528">
      <w:pPr>
        <w:pStyle w:val="TOC4"/>
        <w:rPr>
          <w:rFonts w:eastAsiaTheme="minorEastAsia"/>
          <w:b/>
          <w:noProof/>
          <w:sz w:val="22"/>
          <w:szCs w:val="22"/>
        </w:rPr>
      </w:pPr>
      <w:r w:rsidRPr="0024596C">
        <w:rPr>
          <w:b/>
          <w:noProof/>
        </w:rPr>
        <w:t>Achievement of employment on exit</w:t>
      </w:r>
      <w:r w:rsidRPr="00CC6528">
        <w:rPr>
          <w:b/>
          <w:noProof/>
          <w:webHidden/>
        </w:rPr>
        <w:tab/>
        <w:t>18.12</w:t>
      </w:r>
    </w:p>
    <w:p w:rsidR="00CC6528" w:rsidRPr="00CC6528" w:rsidRDefault="00CC6528">
      <w:pPr>
        <w:pStyle w:val="TOC4"/>
        <w:rPr>
          <w:rFonts w:eastAsiaTheme="minorEastAsia"/>
          <w:b/>
          <w:noProof/>
          <w:sz w:val="22"/>
          <w:szCs w:val="22"/>
        </w:rPr>
      </w:pPr>
      <w:r w:rsidRPr="0024596C">
        <w:rPr>
          <w:b/>
          <w:noProof/>
        </w:rPr>
        <w:t>Achievement of income on exit</w:t>
      </w:r>
      <w:r w:rsidRPr="00CC6528">
        <w:rPr>
          <w:b/>
          <w:noProof/>
          <w:webHidden/>
        </w:rPr>
        <w:tab/>
        <w:t>18.14</w:t>
      </w:r>
    </w:p>
    <w:p w:rsidR="00CC6528" w:rsidRPr="00CC6528" w:rsidRDefault="00CC6528">
      <w:pPr>
        <w:pStyle w:val="TOC4"/>
        <w:rPr>
          <w:rFonts w:eastAsiaTheme="minorEastAsia"/>
          <w:b/>
          <w:noProof/>
          <w:sz w:val="22"/>
          <w:szCs w:val="22"/>
        </w:rPr>
      </w:pPr>
      <w:r w:rsidRPr="0024596C">
        <w:rPr>
          <w:b/>
          <w:noProof/>
        </w:rPr>
        <w:t>Achievement of independent housing on exit</w:t>
      </w:r>
      <w:r w:rsidRPr="00CC6528">
        <w:rPr>
          <w:b/>
          <w:noProof/>
          <w:webHidden/>
        </w:rPr>
        <w:tab/>
        <w:t>18.16</w:t>
      </w:r>
    </w:p>
    <w:p w:rsidR="00CC6528" w:rsidRPr="00CC6528" w:rsidRDefault="00CC6528">
      <w:pPr>
        <w:pStyle w:val="TOC4"/>
        <w:rPr>
          <w:rFonts w:eastAsiaTheme="minorEastAsia"/>
          <w:b/>
          <w:noProof/>
          <w:sz w:val="22"/>
          <w:szCs w:val="22"/>
        </w:rPr>
      </w:pPr>
      <w:r w:rsidRPr="0024596C">
        <w:rPr>
          <w:b/>
          <w:noProof/>
        </w:rPr>
        <w:t>Proportion of people experiencing repeat periods of homelessness</w:t>
      </w:r>
      <w:r w:rsidRPr="00CC6528">
        <w:rPr>
          <w:b/>
          <w:noProof/>
          <w:webHidden/>
        </w:rPr>
        <w:tab/>
        <w:t>18.17</w:t>
      </w:r>
    </w:p>
    <w:p w:rsidR="00CC6528" w:rsidRPr="00CC6528" w:rsidRDefault="00CC6528">
      <w:pPr>
        <w:pStyle w:val="TOC3"/>
        <w:rPr>
          <w:rFonts w:eastAsiaTheme="minorEastAsia"/>
          <w:b/>
          <w:noProof/>
          <w:sz w:val="22"/>
          <w:szCs w:val="22"/>
        </w:rPr>
      </w:pPr>
      <w:r w:rsidRPr="0024596C">
        <w:rPr>
          <w:b/>
          <w:noProof/>
        </w:rPr>
        <w:t>Definitions of key terms</w:t>
      </w:r>
      <w:r w:rsidRPr="00CC6528">
        <w:rPr>
          <w:b/>
          <w:noProof/>
          <w:webHidden/>
        </w:rPr>
        <w:tab/>
        <w:t>18.20</w:t>
      </w:r>
    </w:p>
    <w:p w:rsidR="00CC6528" w:rsidRPr="00CC6528" w:rsidRDefault="00CC6528">
      <w:pPr>
        <w:pStyle w:val="TOC3"/>
        <w:rPr>
          <w:rFonts w:eastAsiaTheme="minorEastAsia"/>
          <w:b/>
          <w:noProof/>
          <w:sz w:val="22"/>
          <w:szCs w:val="22"/>
        </w:rPr>
      </w:pPr>
      <w:r w:rsidRPr="0024596C">
        <w:rPr>
          <w:b/>
          <w:noProof/>
        </w:rPr>
        <w:t>List of attachment tables</w:t>
      </w:r>
      <w:r w:rsidRPr="00CC6528">
        <w:rPr>
          <w:b/>
          <w:noProof/>
          <w:webHidden/>
        </w:rPr>
        <w:tab/>
        <w:t>18.23</w:t>
      </w:r>
    </w:p>
    <w:p w:rsidR="00CC6528" w:rsidRPr="00CC6528" w:rsidRDefault="00CC6528">
      <w:pPr>
        <w:pStyle w:val="TOC3"/>
        <w:rPr>
          <w:rFonts w:eastAsiaTheme="minorEastAsia"/>
          <w:noProof/>
          <w:sz w:val="22"/>
          <w:szCs w:val="22"/>
        </w:rPr>
      </w:pPr>
      <w:r w:rsidRPr="0024596C">
        <w:rPr>
          <w:b/>
          <w:noProof/>
        </w:rPr>
        <w:t>References</w:t>
      </w:r>
      <w:r w:rsidRPr="00CC6528">
        <w:rPr>
          <w:b/>
          <w:noProof/>
          <w:webHidden/>
        </w:rPr>
        <w:tab/>
        <w:t>18.23</w:t>
      </w:r>
    </w:p>
    <w:p w:rsidR="00F55B7A" w:rsidRPr="00CC6528" w:rsidRDefault="00F55B7A" w:rsidP="000551C0">
      <w:pPr>
        <w:pStyle w:val="TOC3"/>
      </w:pPr>
    </w:p>
    <w:p w:rsidR="00270B27" w:rsidRPr="004F7258" w:rsidRDefault="00270B27" w:rsidP="00270B27">
      <w:pPr>
        <w:pStyle w:val="BoxSpace"/>
      </w:pPr>
      <w:bookmarkStart w:id="4" w:name="_Toc211788423"/>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70B27" w:rsidRPr="004F7258" w:rsidTr="0076310E">
        <w:trPr>
          <w:cantSplit/>
        </w:trPr>
        <w:tc>
          <w:tcPr>
            <w:tcW w:w="8771" w:type="dxa"/>
            <w:tcBorders>
              <w:top w:val="single" w:sz="6" w:space="0" w:color="auto"/>
              <w:left w:val="single" w:sz="6" w:space="0" w:color="auto"/>
              <w:bottom w:val="nil"/>
              <w:right w:val="single" w:sz="6" w:space="0" w:color="auto"/>
            </w:tcBorders>
            <w:shd w:val="clear" w:color="auto" w:fill="E6E6E6"/>
          </w:tcPr>
          <w:p w:rsidR="00270B27" w:rsidRPr="004F7258" w:rsidRDefault="00270B27" w:rsidP="0076310E">
            <w:pPr>
              <w:pStyle w:val="BoxTitle"/>
            </w:pPr>
            <w:r w:rsidRPr="004F7258">
              <w:t>Attachment tables</w:t>
            </w:r>
          </w:p>
        </w:tc>
      </w:tr>
      <w:tr w:rsidR="00270B27" w:rsidRPr="004F7258" w:rsidTr="0076310E">
        <w:trPr>
          <w:cantSplit/>
        </w:trPr>
        <w:tc>
          <w:tcPr>
            <w:tcW w:w="8771" w:type="dxa"/>
            <w:tcBorders>
              <w:top w:val="nil"/>
              <w:left w:val="single" w:sz="6" w:space="0" w:color="auto"/>
              <w:bottom w:val="nil"/>
              <w:right w:val="single" w:sz="6" w:space="0" w:color="auto"/>
            </w:tcBorders>
            <w:shd w:val="clear" w:color="auto" w:fill="E6E6E6"/>
          </w:tcPr>
          <w:p w:rsidR="00270B27" w:rsidRPr="004F7258" w:rsidRDefault="00270B27" w:rsidP="004F7258">
            <w:pPr>
              <w:pStyle w:val="Box"/>
            </w:pPr>
            <w:r w:rsidRPr="004F7258">
              <w:t xml:space="preserve">Attachment tables are identified in references throughout this Indigenous Compendium by an ‘A’ prefix (for example, in this chapter, table </w:t>
            </w:r>
            <w:proofErr w:type="spellStart"/>
            <w:r w:rsidRPr="004F7258">
              <w:t>1</w:t>
            </w:r>
            <w:r w:rsidR="004F7258" w:rsidRPr="004F7258">
              <w:t>8</w:t>
            </w:r>
            <w:r w:rsidRPr="004F7258">
              <w:t>A.1</w:t>
            </w:r>
            <w:proofErr w:type="spellEnd"/>
            <w:r w:rsidRPr="004F7258">
              <w:t>). As the data are directly sourced from the 201</w:t>
            </w:r>
            <w:r w:rsidR="004F7258" w:rsidRPr="004F7258">
              <w:t>4</w:t>
            </w:r>
            <w:r w:rsidRPr="004F7258">
              <w:t xml:space="preserve"> Report, the Compendium also notes where the original table, figure or text in the 201</w:t>
            </w:r>
            <w:r w:rsidR="004F7258" w:rsidRPr="004F7258">
              <w:t>4</w:t>
            </w:r>
            <w:r w:rsidRPr="004F7258">
              <w:t xml:space="preserve"> Report can be found. For example, where the Compendium refers to ‘201</w:t>
            </w:r>
            <w:r w:rsidR="004F7258" w:rsidRPr="004F7258">
              <w:t>4</w:t>
            </w:r>
            <w:r w:rsidRPr="004F7258">
              <w:t xml:space="preserve"> Report, p. 1</w:t>
            </w:r>
            <w:r w:rsidR="004F7258" w:rsidRPr="004F7258">
              <w:t>8</w:t>
            </w:r>
            <w:r w:rsidRPr="004F7258">
              <w:t>.1’ this is page 1 of chapter 1</w:t>
            </w:r>
            <w:r w:rsidR="004F7258" w:rsidRPr="004F7258">
              <w:t>8</w:t>
            </w:r>
            <w:r w:rsidRPr="004F7258">
              <w:t xml:space="preserve"> of the 201</w:t>
            </w:r>
            <w:r w:rsidR="004F7258" w:rsidRPr="004F7258">
              <w:t>4</w:t>
            </w:r>
            <w:r w:rsidRPr="004F7258">
              <w:t xml:space="preserve"> Report, and ‘201</w:t>
            </w:r>
            <w:r w:rsidR="004F7258" w:rsidRPr="004F7258">
              <w:t>4</w:t>
            </w:r>
            <w:r w:rsidRPr="004F7258">
              <w:t xml:space="preserve"> Report, table </w:t>
            </w:r>
            <w:proofErr w:type="spellStart"/>
            <w:r w:rsidRPr="004F7258">
              <w:t>1</w:t>
            </w:r>
            <w:r w:rsidR="004F7258" w:rsidRPr="004F7258">
              <w:t>8</w:t>
            </w:r>
            <w:r w:rsidRPr="004F7258">
              <w:t>A.1</w:t>
            </w:r>
            <w:proofErr w:type="spellEnd"/>
            <w:r w:rsidRPr="004F7258">
              <w:t xml:space="preserve">’ is attachment table 1 of attachment </w:t>
            </w:r>
            <w:proofErr w:type="spellStart"/>
            <w:r w:rsidRPr="004F7258">
              <w:t>1</w:t>
            </w:r>
            <w:r w:rsidR="004F7258" w:rsidRPr="004F7258">
              <w:t>8</w:t>
            </w:r>
            <w:r w:rsidRPr="004F7258">
              <w:t>A</w:t>
            </w:r>
            <w:proofErr w:type="spellEnd"/>
            <w:r w:rsidRPr="004F7258">
              <w:t xml:space="preserve"> of the 201</w:t>
            </w:r>
            <w:r w:rsidR="004F7258" w:rsidRPr="004F7258">
              <w:t>4</w:t>
            </w:r>
            <w:r w:rsidR="00906468" w:rsidRPr="004F7258">
              <w:t xml:space="preserve"> Report. A </w:t>
            </w:r>
            <w:r w:rsidRPr="004F7258">
              <w:t xml:space="preserve">list of attachment tables referred to in the Compendium is provided at the end of this chapter, and the </w:t>
            </w:r>
            <w:r w:rsidR="00906468" w:rsidRPr="004F7258">
              <w:t xml:space="preserve">full </w:t>
            </w:r>
            <w:r w:rsidRPr="004F7258">
              <w:t xml:space="preserve">attachment tables are available from the Review website at </w:t>
            </w:r>
            <w:proofErr w:type="spellStart"/>
            <w:r w:rsidRPr="004F7258">
              <w:t>www.pc.gov.au</w:t>
            </w:r>
            <w:proofErr w:type="spellEnd"/>
            <w:r w:rsidRPr="004F7258">
              <w:t>/</w:t>
            </w:r>
            <w:proofErr w:type="spellStart"/>
            <w:r w:rsidRPr="004F7258">
              <w:t>gsp</w:t>
            </w:r>
            <w:proofErr w:type="spellEnd"/>
            <w:r w:rsidRPr="004F7258">
              <w:t>.</w:t>
            </w:r>
          </w:p>
        </w:tc>
      </w:tr>
      <w:tr w:rsidR="00270B27" w:rsidRPr="004F7258" w:rsidTr="0076310E">
        <w:trPr>
          <w:cantSplit/>
        </w:trPr>
        <w:tc>
          <w:tcPr>
            <w:tcW w:w="8771" w:type="dxa"/>
            <w:tcBorders>
              <w:top w:val="nil"/>
              <w:left w:val="single" w:sz="6" w:space="0" w:color="auto"/>
              <w:bottom w:val="single" w:sz="6" w:space="0" w:color="auto"/>
              <w:right w:val="single" w:sz="6" w:space="0" w:color="auto"/>
            </w:tcBorders>
            <w:shd w:val="clear" w:color="auto" w:fill="E6E6E6"/>
          </w:tcPr>
          <w:p w:rsidR="00270B27" w:rsidRPr="004F7258" w:rsidRDefault="00270B27" w:rsidP="0076310E">
            <w:pPr>
              <w:pStyle w:val="Box"/>
              <w:spacing w:before="0" w:line="120" w:lineRule="exact"/>
            </w:pPr>
          </w:p>
        </w:tc>
      </w:tr>
      <w:tr w:rsidR="00270B27" w:rsidRPr="004F7258" w:rsidTr="0076310E">
        <w:tc>
          <w:tcPr>
            <w:tcW w:w="8771" w:type="dxa"/>
            <w:tcBorders>
              <w:top w:val="nil"/>
              <w:left w:val="nil"/>
              <w:bottom w:val="nil"/>
              <w:right w:val="nil"/>
            </w:tcBorders>
          </w:tcPr>
          <w:p w:rsidR="00270B27" w:rsidRPr="004F7258" w:rsidRDefault="00270B27" w:rsidP="0076310E">
            <w:pPr>
              <w:pStyle w:val="Box"/>
              <w:keepNext w:val="0"/>
              <w:spacing w:before="60" w:after="60" w:line="80" w:lineRule="exact"/>
              <w:rPr>
                <w:b/>
                <w:color w:val="FF00FF"/>
                <w:sz w:val="14"/>
              </w:rPr>
            </w:pPr>
          </w:p>
        </w:tc>
      </w:tr>
    </w:tbl>
    <w:bookmarkEnd w:id="4"/>
    <w:p w:rsidR="00F4697E" w:rsidRDefault="00F4697E" w:rsidP="00F4697E">
      <w:pPr>
        <w:spacing w:before="240" w:line="320" w:lineRule="atLeast"/>
        <w:jc w:val="both"/>
        <w:rPr>
          <w:szCs w:val="20"/>
        </w:rPr>
      </w:pPr>
      <w:r w:rsidRPr="004F7258">
        <w:rPr>
          <w:szCs w:val="20"/>
        </w:rPr>
        <w:lastRenderedPageBreak/>
        <w:t>The Homelessness services chapter (chapter 1</w:t>
      </w:r>
      <w:r w:rsidR="004F7258" w:rsidRPr="004F7258">
        <w:rPr>
          <w:szCs w:val="20"/>
        </w:rPr>
        <w:t>8</w:t>
      </w:r>
      <w:r w:rsidRPr="004F7258">
        <w:rPr>
          <w:szCs w:val="20"/>
        </w:rPr>
        <w:t xml:space="preserve">) in the </w:t>
      </w:r>
      <w:r w:rsidRPr="004F7258">
        <w:rPr>
          <w:i/>
          <w:szCs w:val="20"/>
        </w:rPr>
        <w:t>Report on Government Services 201</w:t>
      </w:r>
      <w:r w:rsidR="004F7258" w:rsidRPr="004F7258">
        <w:rPr>
          <w:i/>
          <w:szCs w:val="20"/>
        </w:rPr>
        <w:t>4</w:t>
      </w:r>
      <w:r w:rsidR="00260EFC" w:rsidRPr="004F7258">
        <w:rPr>
          <w:szCs w:val="20"/>
        </w:rPr>
        <w:t xml:space="preserve"> (201</w:t>
      </w:r>
      <w:r w:rsidR="004F7258" w:rsidRPr="004F7258">
        <w:rPr>
          <w:szCs w:val="20"/>
        </w:rPr>
        <w:t xml:space="preserve">4 </w:t>
      </w:r>
      <w:r w:rsidRPr="004F7258">
        <w:rPr>
          <w:szCs w:val="20"/>
        </w:rPr>
        <w:t xml:space="preserve">Report) reports on the Homelessness services in each </w:t>
      </w:r>
      <w:smartTag w:uri="urn:schemas-microsoft-com:office:smarttags" w:element="place">
        <w:smartTag w:uri="urn:schemas-microsoft-com:office:smarttags" w:element="PlaceName">
          <w:r w:rsidRPr="004F7258">
            <w:rPr>
              <w:szCs w:val="20"/>
            </w:rPr>
            <w:t>Australian</w:t>
          </w:r>
        </w:smartTag>
        <w:r w:rsidRPr="004F7258">
          <w:rPr>
            <w:szCs w:val="20"/>
          </w:rPr>
          <w:t xml:space="preserve"> </w:t>
        </w:r>
        <w:smartTag w:uri="urn:schemas-microsoft-com:office:smarttags" w:element="PlaceType">
          <w:r w:rsidRPr="004F7258">
            <w:rPr>
              <w:szCs w:val="20"/>
            </w:rPr>
            <w:t>State</w:t>
          </w:r>
        </w:smartTag>
      </w:smartTag>
      <w:r w:rsidRPr="004F7258">
        <w:rPr>
          <w:szCs w:val="20"/>
        </w:rPr>
        <w:t xml:space="preserve"> and Territory. Data are reported for Indigenous </w:t>
      </w:r>
      <w:r w:rsidR="00ED2F1F" w:rsidRPr="004F7258">
        <w:rPr>
          <w:szCs w:val="20"/>
        </w:rPr>
        <w:t>Australians</w:t>
      </w:r>
      <w:r w:rsidRPr="004F7258">
        <w:rPr>
          <w:szCs w:val="20"/>
        </w:rPr>
        <w:t xml:space="preserve"> for a subset of the performance indicators reported in that chapter — those data are compiled and presented here.</w:t>
      </w:r>
    </w:p>
    <w:p w:rsidR="004F7258" w:rsidRPr="00704D24" w:rsidRDefault="004F7258" w:rsidP="004F7258">
      <w:pPr>
        <w:pStyle w:val="BodyText"/>
        <w:rPr>
          <w:color w:val="000000" w:themeColor="text1"/>
        </w:rPr>
      </w:pPr>
      <w:r w:rsidRPr="00704D24">
        <w:rPr>
          <w:color w:val="000000" w:themeColor="text1"/>
        </w:rPr>
        <w:t>Homelessness has multiple causes. Some of the social and personal factors associated with homelessness include a shortage of affordable housing, family and relationship breakdown, unemployment and financial hardship, mental health problems, and drug and alcohol abuse (</w:t>
      </w:r>
      <w:proofErr w:type="spellStart"/>
      <w:r w:rsidRPr="00704D24">
        <w:rPr>
          <w:color w:val="000000" w:themeColor="text1"/>
        </w:rPr>
        <w:t>COAG</w:t>
      </w:r>
      <w:proofErr w:type="spellEnd"/>
      <w:r w:rsidRPr="00704D24">
        <w:rPr>
          <w:color w:val="000000" w:themeColor="text1"/>
        </w:rPr>
        <w:t xml:space="preserve"> Reform Council</w:t>
      </w:r>
      <w:r>
        <w:rPr>
          <w:color w:val="000000" w:themeColor="text1"/>
        </w:rPr>
        <w:t xml:space="preserve"> </w:t>
      </w:r>
      <w:r w:rsidRPr="00704D24">
        <w:rPr>
          <w:color w:val="000000" w:themeColor="text1"/>
        </w:rPr>
        <w:t>2010).</w:t>
      </w:r>
    </w:p>
    <w:p w:rsidR="004F7258" w:rsidRPr="004F17C9" w:rsidRDefault="004F7258" w:rsidP="004F7258">
      <w:pPr>
        <w:pStyle w:val="BodyText"/>
      </w:pPr>
      <w:r w:rsidRPr="00704D24">
        <w:rPr>
          <w:color w:val="000000" w:themeColor="text1"/>
        </w:rPr>
        <w:t xml:space="preserve">Australian, State and Territory governments fund services to assist people who are homeless </w:t>
      </w:r>
      <w:r>
        <w:t>or at risk of homelessness.</w:t>
      </w:r>
    </w:p>
    <w:p w:rsidR="004F7258" w:rsidRPr="004F17C9" w:rsidRDefault="004F7258" w:rsidP="004F7258">
      <w:pPr>
        <w:pStyle w:val="BodyText"/>
      </w:pPr>
      <w:r w:rsidRPr="004F17C9">
        <w:t>Between 1985 and 2009, the Australian Government and State and Territory governments funded the Supported Accommodation Assistance Program (</w:t>
      </w:r>
      <w:proofErr w:type="spellStart"/>
      <w:r w:rsidRPr="004F17C9">
        <w:t>SAAP</w:t>
      </w:r>
      <w:proofErr w:type="spellEnd"/>
      <w:r w:rsidRPr="004F17C9">
        <w:t xml:space="preserve">) to alleviate the difficulties of people who are homeless or at risk of homelessness and reduce the potential for their recurrence. </w:t>
      </w:r>
      <w:r>
        <w:rPr>
          <w:color w:val="000000" w:themeColor="text1"/>
        </w:rPr>
        <w:t xml:space="preserve">The </w:t>
      </w:r>
      <w:proofErr w:type="spellStart"/>
      <w:r>
        <w:rPr>
          <w:color w:val="000000" w:themeColor="text1"/>
        </w:rPr>
        <w:t>SAAP</w:t>
      </w:r>
      <w:proofErr w:type="spellEnd"/>
      <w:r>
        <w:rPr>
          <w:color w:val="000000" w:themeColor="text1"/>
        </w:rPr>
        <w:t xml:space="preserve"> </w:t>
      </w:r>
      <w:r w:rsidRPr="00D42861">
        <w:rPr>
          <w:color w:val="000000" w:themeColor="text1"/>
        </w:rPr>
        <w:t xml:space="preserve">was the main governmental response to homelessness </w:t>
      </w:r>
      <w:r>
        <w:rPr>
          <w:color w:val="000000" w:themeColor="text1"/>
        </w:rPr>
        <w:t xml:space="preserve">during this period. </w:t>
      </w:r>
      <w:r w:rsidRPr="00D42861">
        <w:rPr>
          <w:color w:val="000000" w:themeColor="text1"/>
        </w:rPr>
        <w:t>It provided emergency accommodation as well as support services to people experiencing, or at risk of, homelessness</w:t>
      </w:r>
      <w:r>
        <w:rPr>
          <w:color w:val="000000" w:themeColor="text1"/>
        </w:rPr>
        <w:t xml:space="preserve">. </w:t>
      </w:r>
      <w:proofErr w:type="spellStart"/>
      <w:r>
        <w:rPr>
          <w:color w:val="000000" w:themeColor="text1"/>
        </w:rPr>
        <w:t>SAAP</w:t>
      </w:r>
      <w:proofErr w:type="spellEnd"/>
      <w:r>
        <w:rPr>
          <w:color w:val="000000" w:themeColor="text1"/>
        </w:rPr>
        <w:t xml:space="preserve"> </w:t>
      </w:r>
      <w:r w:rsidRPr="004F17C9">
        <w:t xml:space="preserve">services provided assistance to individuals and families who were in crisis or experienced difficulties that hindered personal or family functioning. The </w:t>
      </w:r>
      <w:proofErr w:type="spellStart"/>
      <w:r>
        <w:t>SAAP</w:t>
      </w:r>
      <w:proofErr w:type="spellEnd"/>
      <w:r>
        <w:t xml:space="preserve"> concluded on 31 December </w:t>
      </w:r>
      <w:r w:rsidRPr="004F17C9">
        <w:t xml:space="preserve">2008 at the expiry of the </w:t>
      </w:r>
      <w:proofErr w:type="spellStart"/>
      <w:r w:rsidRPr="004F17C9">
        <w:t>SAAP</w:t>
      </w:r>
      <w:proofErr w:type="spellEnd"/>
      <w:r w:rsidRPr="004F17C9">
        <w:t xml:space="preserve"> V Multilateral Agreement</w:t>
      </w:r>
      <w:r>
        <w:t>.</w:t>
      </w:r>
    </w:p>
    <w:p w:rsidR="004F7258" w:rsidRPr="00704D24" w:rsidRDefault="004F7258" w:rsidP="004F7258">
      <w:pPr>
        <w:pStyle w:val="BodyText"/>
      </w:pPr>
      <w:r w:rsidRPr="00000AAB">
        <w:t xml:space="preserve">The National Affordable Housing Agreement (NAHA) commenced </w:t>
      </w:r>
      <w:r w:rsidRPr="004F7258">
        <w:t>on</w:t>
      </w:r>
      <w:r w:rsidRPr="00000AAB">
        <w:rPr>
          <w:shd w:val="clear" w:color="auto" w:fill="FFC000"/>
        </w:rPr>
        <w:t xml:space="preserve"> </w:t>
      </w:r>
      <w:r>
        <w:rPr>
          <w:shd w:val="clear" w:color="auto" w:fill="FFC000"/>
        </w:rPr>
        <w:br/>
      </w:r>
      <w:r w:rsidRPr="00000AAB">
        <w:t>1</w:t>
      </w:r>
      <w:r>
        <w:t xml:space="preserve"> January </w:t>
      </w:r>
      <w:r w:rsidRPr="00000AAB">
        <w:t>2009 as part of the Intergovernmental Agreement on Federal Financial Relations. The NAHA is associated with the National Affordable Housing Specific Purpose Payment, which is an indexed ongoing payment by the Australian Government to the states and territories to be spent in the housing and homelessness sector. To support the NAHA, the National Partnership Agreement on Homelessness (</w:t>
      </w:r>
      <w:proofErr w:type="spellStart"/>
      <w:r w:rsidRPr="00000AAB">
        <w:t>NPAH</w:t>
      </w:r>
      <w:proofErr w:type="spellEnd"/>
      <w:r w:rsidRPr="00000AAB">
        <w:t>) commenced on 1 July 2009. Government funding for specialist homelessness services is provided through the National Affordable Housing Specific Purpose Payment.</w:t>
      </w:r>
    </w:p>
    <w:p w:rsidR="004F7258" w:rsidRPr="00AD2CD8" w:rsidRDefault="004F7258" w:rsidP="004F7258">
      <w:pPr>
        <w:pStyle w:val="BodyText"/>
        <w:rPr>
          <w:color w:val="000000" w:themeColor="text1"/>
        </w:rPr>
      </w:pPr>
      <w:r w:rsidRPr="00AD2CD8">
        <w:rPr>
          <w:color w:val="000000" w:themeColor="text1"/>
        </w:rPr>
        <w:t xml:space="preserve">The NAHA and </w:t>
      </w:r>
      <w:proofErr w:type="spellStart"/>
      <w:r w:rsidRPr="00AD2CD8">
        <w:rPr>
          <w:color w:val="000000" w:themeColor="text1"/>
        </w:rPr>
        <w:t>NPAH</w:t>
      </w:r>
      <w:proofErr w:type="spellEnd"/>
      <w:r w:rsidRPr="00AD2CD8">
        <w:rPr>
          <w:color w:val="000000" w:themeColor="text1"/>
        </w:rPr>
        <w:t xml:space="preserve"> provide the framework for Australian Government and State and Territory governments </w:t>
      </w:r>
      <w:r>
        <w:rPr>
          <w:color w:val="000000" w:themeColor="text1"/>
        </w:rPr>
        <w:t xml:space="preserve">to work together </w:t>
      </w:r>
      <w:r w:rsidRPr="00AD2CD8">
        <w:rPr>
          <w:color w:val="000000" w:themeColor="text1"/>
        </w:rPr>
        <w:t>to reduce homelessness and improve housing outcomes for Australians. Under the NAHA, governments have committed to undertake reforms in the housing sector to improve integration between homelessness services and mainstream services, and reduce the rate of homelessness.</w:t>
      </w:r>
    </w:p>
    <w:p w:rsidR="004F7258" w:rsidRPr="004F17C9" w:rsidRDefault="004F7258" w:rsidP="004F7258">
      <w:pPr>
        <w:pStyle w:val="BodyText"/>
      </w:pPr>
      <w:r>
        <w:lastRenderedPageBreak/>
        <w:t xml:space="preserve">Under the NAHA, and the </w:t>
      </w:r>
      <w:proofErr w:type="spellStart"/>
      <w:r>
        <w:t>NPAH</w:t>
      </w:r>
      <w:proofErr w:type="spellEnd"/>
      <w:r>
        <w:t xml:space="preserve"> in particular, </w:t>
      </w:r>
      <w:r w:rsidRPr="004F17C9">
        <w:t>Australian, State and Territory governments agreed to a number of outcomes relating to homelessness, including</w:t>
      </w:r>
      <w:r>
        <w:t xml:space="preserve"> that</w:t>
      </w:r>
      <w:r w:rsidRPr="004F17C9">
        <w:t>:</w:t>
      </w:r>
    </w:p>
    <w:p w:rsidR="004F7258" w:rsidRDefault="004F7258" w:rsidP="004F7258">
      <w:pPr>
        <w:pStyle w:val="ListBullet"/>
      </w:pPr>
      <w:r>
        <w:t>fewer people will become homeless and fewer of these will sleep rough</w:t>
      </w:r>
    </w:p>
    <w:p w:rsidR="004F7258" w:rsidRDefault="004F7258" w:rsidP="004F7258">
      <w:pPr>
        <w:pStyle w:val="ListBullet"/>
      </w:pPr>
      <w:r>
        <w:t>fewer people will become homeless more than once</w:t>
      </w:r>
    </w:p>
    <w:p w:rsidR="004F7258" w:rsidRDefault="004F7258" w:rsidP="004F7258">
      <w:pPr>
        <w:pStyle w:val="ListBullet"/>
      </w:pPr>
      <w:r>
        <w:t>people at risk of or experiencing homelessness will maintain or improve connections with their families and communities, and maintain or improve their education, training or employment participation</w:t>
      </w:r>
    </w:p>
    <w:p w:rsidR="004F7258" w:rsidRPr="00DF5AD5" w:rsidRDefault="004F7258" w:rsidP="004F7258">
      <w:pPr>
        <w:pStyle w:val="ListBullet"/>
      </w:pPr>
      <w:r>
        <w:t>people at risk of or experiencing homelessness will be supported by quality services, with improved access to sustainable housing.</w:t>
      </w:r>
    </w:p>
    <w:p w:rsidR="004F7258" w:rsidRPr="0059316B" w:rsidRDefault="004F7258" w:rsidP="004F7258">
      <w:pPr>
        <w:pStyle w:val="BodyText"/>
      </w:pPr>
      <w:r w:rsidRPr="0059316B">
        <w:t xml:space="preserve">The initial </w:t>
      </w:r>
      <w:proofErr w:type="spellStart"/>
      <w:r w:rsidRPr="0059316B">
        <w:t>NPAH</w:t>
      </w:r>
      <w:proofErr w:type="spellEnd"/>
      <w:r w:rsidRPr="0059316B">
        <w:t xml:space="preserve"> (2009</w:t>
      </w:r>
      <w:r>
        <w:t>–</w:t>
      </w:r>
      <w:r w:rsidRPr="0059316B">
        <w:t>2013) was a $1.1 billion partnership with states and territories. Under the initial agreement, which concluded on 30 June 2013, more than 180 initiatives provided housing and support services for people who would otherwise have been homeless.</w:t>
      </w:r>
    </w:p>
    <w:p w:rsidR="004F7258" w:rsidRPr="0059316B" w:rsidRDefault="004F7258" w:rsidP="004F7258">
      <w:pPr>
        <w:pStyle w:val="BodyText"/>
      </w:pPr>
      <w:r w:rsidRPr="0059316B">
        <w:t>The 2009</w:t>
      </w:r>
      <w:r>
        <w:t>–</w:t>
      </w:r>
      <w:r w:rsidRPr="0059316B">
        <w:t xml:space="preserve">13 </w:t>
      </w:r>
      <w:proofErr w:type="spellStart"/>
      <w:r w:rsidRPr="0059316B">
        <w:t>NPAH</w:t>
      </w:r>
      <w:proofErr w:type="spellEnd"/>
      <w:r w:rsidRPr="0059316B">
        <w:t xml:space="preserve"> reflected</w:t>
      </w:r>
      <w:r>
        <w:t xml:space="preserve"> a major reform of the way the Australian Government and State and Territory g</w:t>
      </w:r>
      <w:r w:rsidRPr="0059316B">
        <w:t>overnment</w:t>
      </w:r>
      <w:r>
        <w:t xml:space="preserve">s </w:t>
      </w:r>
      <w:r w:rsidRPr="0059316B">
        <w:t>worked to</w:t>
      </w:r>
      <w:r>
        <w:t xml:space="preserve">gether to tackle homelessness. </w:t>
      </w:r>
      <w:r w:rsidRPr="0059316B">
        <w:t>As part of wider Council of Australian Governments (</w:t>
      </w:r>
      <w:proofErr w:type="spellStart"/>
      <w:r w:rsidRPr="0059316B">
        <w:t>COAG</w:t>
      </w:r>
      <w:proofErr w:type="spellEnd"/>
      <w:r w:rsidRPr="0059316B">
        <w:t xml:space="preserve">) reforms, the </w:t>
      </w:r>
      <w:proofErr w:type="spellStart"/>
      <w:r w:rsidRPr="0059316B">
        <w:t>NPAH</w:t>
      </w:r>
      <w:proofErr w:type="spellEnd"/>
      <w:r w:rsidRPr="0059316B">
        <w:t xml:space="preserve"> clarified that </w:t>
      </w:r>
      <w:r>
        <w:t xml:space="preserve">States and Territories </w:t>
      </w:r>
      <w:r w:rsidRPr="0059316B">
        <w:t xml:space="preserve">were responsible for day to day delivery of services, as they are best placed to consider local context. One of the critical features of the new </w:t>
      </w:r>
      <w:proofErr w:type="spellStart"/>
      <w:r w:rsidRPr="0059316B">
        <w:t>COAG</w:t>
      </w:r>
      <w:proofErr w:type="spellEnd"/>
      <w:r w:rsidRPr="0059316B">
        <w:t xml:space="preserve"> approach was that the achievement of outcomes would not be narrowly defined, but focused on improving the delivery of services to prevent and respond to homelessness.</w:t>
      </w:r>
    </w:p>
    <w:p w:rsidR="004F7258" w:rsidRPr="000F6AE5" w:rsidRDefault="004F7258" w:rsidP="004F7258">
      <w:pPr>
        <w:pStyle w:val="BodyText"/>
      </w:pPr>
      <w:r w:rsidRPr="0059316B">
        <w:t xml:space="preserve">A one year transitional </w:t>
      </w:r>
      <w:proofErr w:type="spellStart"/>
      <w:r w:rsidRPr="0059316B">
        <w:t>NPAH</w:t>
      </w:r>
      <w:proofErr w:type="spellEnd"/>
      <w:r w:rsidRPr="0059316B">
        <w:t xml:space="preserve"> commenced on 1 </w:t>
      </w:r>
      <w:r>
        <w:t xml:space="preserve">July 2013. It will deliver </w:t>
      </w:r>
      <w:r>
        <w:br/>
        <w:t xml:space="preserve">$159 </w:t>
      </w:r>
      <w:r w:rsidRPr="0059316B">
        <w:t>millio</w:t>
      </w:r>
      <w:r>
        <w:t xml:space="preserve">n </w:t>
      </w:r>
      <w:r w:rsidRPr="0059316B">
        <w:t xml:space="preserve">of </w:t>
      </w:r>
      <w:r>
        <w:t xml:space="preserve">Australian Government </w:t>
      </w:r>
      <w:r w:rsidRPr="0059316B">
        <w:t>funding, which includes a $43 million Commonwealth commitment to the Development Fund for capital and development projects. States and territories are required to match this funding, a</w:t>
      </w:r>
      <w:r>
        <w:t>nd some may exceed this requirement.</w:t>
      </w:r>
    </w:p>
    <w:p w:rsidR="004F7258" w:rsidRPr="000F6AE5" w:rsidRDefault="004F7258" w:rsidP="004F7258">
      <w:pPr>
        <w:pStyle w:val="BodyText"/>
      </w:pPr>
      <w:r w:rsidRPr="000F6AE5">
        <w:t>This chapter presents data on government-funded specialist homelessness services and the people accessing these services. Homelessness services that do not receive government funding and other non-specialist homelessness services are not included in Report.</w:t>
      </w:r>
    </w:p>
    <w:p w:rsidR="004F7258" w:rsidRPr="004F7258" w:rsidRDefault="004F7258" w:rsidP="004F7258">
      <w:pPr>
        <w:pStyle w:val="BodyText"/>
      </w:pPr>
      <w:r w:rsidRPr="004F7258">
        <w:t>Data from the Specialist Homelessness Services data collection (</w:t>
      </w:r>
      <w:proofErr w:type="spellStart"/>
      <w:r w:rsidRPr="004F7258">
        <w:t>SHSC</w:t>
      </w:r>
      <w:proofErr w:type="spellEnd"/>
      <w:r w:rsidRPr="004F7258">
        <w:t xml:space="preserve">) commenced in 2011–12 and are included in this Report. The </w:t>
      </w:r>
      <w:proofErr w:type="spellStart"/>
      <w:r w:rsidRPr="004F7258">
        <w:t>SHSC</w:t>
      </w:r>
      <w:proofErr w:type="spellEnd"/>
      <w:r w:rsidRPr="004F7258">
        <w:t xml:space="preserve"> replaced the </w:t>
      </w:r>
      <w:proofErr w:type="spellStart"/>
      <w:r w:rsidRPr="004F7258">
        <w:t>SAAP</w:t>
      </w:r>
      <w:proofErr w:type="spellEnd"/>
      <w:r w:rsidRPr="004F7258">
        <w:t xml:space="preserve"> National Data Collection which concluded in 2010–11. </w:t>
      </w:r>
      <w:proofErr w:type="spellStart"/>
      <w:r w:rsidRPr="004F7258">
        <w:t>SAAP</w:t>
      </w:r>
      <w:proofErr w:type="spellEnd"/>
      <w:r w:rsidRPr="004F7258">
        <w:t xml:space="preserve"> data are included in earlier Reports.</w:t>
      </w:r>
    </w:p>
    <w:p w:rsidR="00F4697E" w:rsidRPr="004F7258" w:rsidRDefault="00F4697E" w:rsidP="00F4697E">
      <w:pPr>
        <w:keepNext/>
        <w:spacing w:before="560" w:line="320" w:lineRule="exact"/>
        <w:outlineLvl w:val="2"/>
        <w:rPr>
          <w:rFonts w:ascii="Arial" w:hAnsi="Arial"/>
          <w:b/>
          <w:szCs w:val="20"/>
        </w:rPr>
      </w:pPr>
      <w:bookmarkStart w:id="5" w:name="_Toc257271979"/>
      <w:bookmarkStart w:id="6" w:name="_Toc290296863"/>
      <w:bookmarkStart w:id="7" w:name="_Toc290296898"/>
      <w:bookmarkStart w:id="8" w:name="_Toc319588797"/>
      <w:bookmarkStart w:id="9" w:name="_Toc349206451"/>
      <w:bookmarkStart w:id="10" w:name="_Toc350860190"/>
      <w:bookmarkStart w:id="11" w:name="_Toc384648006"/>
      <w:bookmarkStart w:id="12" w:name="OLE_LINK29"/>
      <w:bookmarkStart w:id="13" w:name="OLE_LINK30"/>
      <w:r w:rsidRPr="004F7258">
        <w:rPr>
          <w:rFonts w:ascii="Arial" w:hAnsi="Arial"/>
          <w:b/>
          <w:szCs w:val="20"/>
        </w:rPr>
        <w:lastRenderedPageBreak/>
        <w:t>Indigenous data in the Homelessness services chapter</w:t>
      </w:r>
      <w:bookmarkEnd w:id="5"/>
      <w:bookmarkEnd w:id="6"/>
      <w:bookmarkEnd w:id="7"/>
      <w:bookmarkEnd w:id="8"/>
      <w:bookmarkEnd w:id="9"/>
      <w:bookmarkEnd w:id="10"/>
      <w:bookmarkEnd w:id="11"/>
    </w:p>
    <w:p w:rsidR="00F4697E" w:rsidRPr="004F7258" w:rsidRDefault="00F4697E" w:rsidP="00F4697E">
      <w:pPr>
        <w:spacing w:before="240" w:line="320" w:lineRule="atLeast"/>
        <w:jc w:val="both"/>
        <w:rPr>
          <w:szCs w:val="20"/>
        </w:rPr>
      </w:pPr>
      <w:r w:rsidRPr="004F7258">
        <w:rPr>
          <w:szCs w:val="20"/>
        </w:rPr>
        <w:t>The Homelessness services chapter in the 201</w:t>
      </w:r>
      <w:r w:rsidR="004F7258" w:rsidRPr="004F7258">
        <w:rPr>
          <w:szCs w:val="20"/>
        </w:rPr>
        <w:t>4</w:t>
      </w:r>
      <w:r w:rsidRPr="004F7258">
        <w:rPr>
          <w:szCs w:val="20"/>
        </w:rPr>
        <w:t xml:space="preserve"> Report and its corresponding attachment tables contain the following d</w:t>
      </w:r>
      <w:r w:rsidR="000F73B5" w:rsidRPr="004F7258">
        <w:rPr>
          <w:szCs w:val="20"/>
        </w:rPr>
        <w:t xml:space="preserve">ata items on Indigenous </w:t>
      </w:r>
      <w:r w:rsidR="00ED2F1F" w:rsidRPr="004F7258">
        <w:rPr>
          <w:szCs w:val="20"/>
        </w:rPr>
        <w:t>Australians</w:t>
      </w:r>
      <w:r w:rsidR="000F73B5" w:rsidRPr="004F7258">
        <w:rPr>
          <w:szCs w:val="20"/>
        </w:rPr>
        <w:t>:</w:t>
      </w:r>
    </w:p>
    <w:p w:rsidR="000F73B5" w:rsidRDefault="000F73B5" w:rsidP="000F73B5">
      <w:pPr>
        <w:pStyle w:val="ListBullet"/>
      </w:pPr>
      <w:r w:rsidRPr="004F7258">
        <w:t>proportion of Indigenous clients among all clients whose needs for accommodation and services other than accommodation were met</w:t>
      </w:r>
    </w:p>
    <w:p w:rsidR="004F7258" w:rsidRDefault="004F7258" w:rsidP="004F7258">
      <w:pPr>
        <w:pStyle w:val="ListBullet"/>
      </w:pPr>
      <w:r>
        <w:t>p</w:t>
      </w:r>
      <w:r w:rsidR="00C47BE0">
        <w:t xml:space="preserve">roportion of Indigenous people </w:t>
      </w:r>
      <w:r w:rsidRPr="004F7258">
        <w:t>represented in specialist homelessness services and in the population</w:t>
      </w:r>
    </w:p>
    <w:p w:rsidR="004F7258" w:rsidRDefault="004F7258" w:rsidP="004F7258">
      <w:pPr>
        <w:pStyle w:val="ListBullet"/>
      </w:pPr>
      <w:r>
        <w:t>c</w:t>
      </w:r>
      <w:r w:rsidRPr="004F7258">
        <w:t>losed support periods, proportion of Indigenous clients with a case management plan</w:t>
      </w:r>
    </w:p>
    <w:p w:rsidR="004F7258" w:rsidRDefault="004F7258" w:rsidP="004F7258">
      <w:pPr>
        <w:pStyle w:val="ListBullet"/>
      </w:pPr>
      <w:r>
        <w:t>c</w:t>
      </w:r>
      <w:r w:rsidRPr="004F7258">
        <w:t>losed support periods, support needs of clients, Indigenous clients</w:t>
      </w:r>
    </w:p>
    <w:p w:rsidR="004F7258" w:rsidRDefault="004F7258" w:rsidP="004F7258">
      <w:pPr>
        <w:pStyle w:val="ListBullet"/>
      </w:pPr>
      <w:r>
        <w:t>c</w:t>
      </w:r>
      <w:r w:rsidRPr="004F7258">
        <w:t>losed support periods, proportion of Indigenous clients who needed employment and/or training assistance, and who were employed after support</w:t>
      </w:r>
    </w:p>
    <w:p w:rsidR="004F7258" w:rsidRDefault="004F7258" w:rsidP="004F7258">
      <w:pPr>
        <w:pStyle w:val="ListBullet"/>
      </w:pPr>
      <w:r>
        <w:t>c</w:t>
      </w:r>
      <w:r w:rsidRPr="004F7258">
        <w:t>losed support periods, proportion of Indigenous clients who needed income assistance and who had an income source after support</w:t>
      </w:r>
    </w:p>
    <w:p w:rsidR="004F7258" w:rsidRPr="00795967" w:rsidRDefault="004F7258" w:rsidP="004F7258">
      <w:pPr>
        <w:pStyle w:val="ListBullet"/>
      </w:pPr>
      <w:r w:rsidRPr="00795967">
        <w:t>closed support periods, proportion of Indigenous clients who needed assistance to obtain or maintain independent housing, type of tenure before and after support</w:t>
      </w:r>
    </w:p>
    <w:p w:rsidR="004F7258" w:rsidRPr="00795967" w:rsidRDefault="004F7258" w:rsidP="004F7258">
      <w:pPr>
        <w:pStyle w:val="ListBullet"/>
      </w:pPr>
      <w:r w:rsidRPr="00795967">
        <w:t>closed support periods, proportion of Indigenous clients who needed assistance to obtain or maintain independent housing and who achieved independent housing after support, and did not present again with a need for accommodation within the reporting period, by tenure type after support</w:t>
      </w:r>
    </w:p>
    <w:p w:rsidR="004F7258" w:rsidRPr="00795967" w:rsidRDefault="00795967" w:rsidP="00795967">
      <w:pPr>
        <w:pStyle w:val="ListBullet"/>
      </w:pPr>
      <w:r>
        <w:t>p</w:t>
      </w:r>
      <w:r w:rsidRPr="00795967">
        <w:t>roportion of Indigenous clients experiencing homelessness who had repeat periods of homelessness</w:t>
      </w:r>
      <w:r w:rsidR="00D93042">
        <w:t>.</w:t>
      </w:r>
    </w:p>
    <w:p w:rsidR="00F4697E" w:rsidRPr="00795967" w:rsidRDefault="00F4697E" w:rsidP="00F4697E">
      <w:pPr>
        <w:keepNext/>
        <w:spacing w:before="560" w:line="320" w:lineRule="exact"/>
        <w:outlineLvl w:val="2"/>
        <w:rPr>
          <w:rFonts w:ascii="Arial" w:hAnsi="Arial"/>
          <w:b/>
          <w:szCs w:val="20"/>
        </w:rPr>
      </w:pPr>
      <w:bookmarkStart w:id="14" w:name="_Toc309313615"/>
      <w:bookmarkStart w:id="15" w:name="_Toc319588798"/>
      <w:bookmarkStart w:id="16" w:name="_Toc349206452"/>
      <w:bookmarkStart w:id="17" w:name="_Toc350860193"/>
      <w:bookmarkStart w:id="18" w:name="_Toc384648007"/>
      <w:bookmarkEnd w:id="12"/>
      <w:bookmarkEnd w:id="13"/>
      <w:r w:rsidRPr="00795967">
        <w:rPr>
          <w:rFonts w:ascii="Arial" w:hAnsi="Arial"/>
          <w:b/>
          <w:szCs w:val="20"/>
        </w:rPr>
        <w:t>Profile of homelessness services</w:t>
      </w:r>
      <w:bookmarkEnd w:id="14"/>
      <w:bookmarkEnd w:id="15"/>
      <w:bookmarkEnd w:id="16"/>
      <w:bookmarkEnd w:id="17"/>
      <w:bookmarkEnd w:id="18"/>
    </w:p>
    <w:p w:rsidR="002D0C98" w:rsidRPr="00795967" w:rsidRDefault="002D0C98" w:rsidP="002D0C98">
      <w:pPr>
        <w:keepNext/>
        <w:spacing w:before="480" w:line="320" w:lineRule="exact"/>
        <w:outlineLvl w:val="3"/>
        <w:rPr>
          <w:rFonts w:ascii="Arial" w:hAnsi="Arial"/>
          <w:i/>
          <w:sz w:val="24"/>
          <w:szCs w:val="20"/>
        </w:rPr>
      </w:pPr>
      <w:bookmarkStart w:id="19" w:name="_Toc350860194"/>
      <w:bookmarkStart w:id="20" w:name="_Toc384648008"/>
      <w:r w:rsidRPr="00795967">
        <w:rPr>
          <w:rFonts w:ascii="Arial" w:hAnsi="Arial"/>
          <w:i/>
          <w:sz w:val="24"/>
          <w:szCs w:val="20"/>
        </w:rPr>
        <w:t>Services to assist people who are homeless or at imminent risk of becoming homeless</w:t>
      </w:r>
      <w:bookmarkEnd w:id="19"/>
      <w:bookmarkEnd w:id="20"/>
    </w:p>
    <w:p w:rsidR="00795967" w:rsidRPr="00D42861" w:rsidRDefault="00795967" w:rsidP="00795967">
      <w:pPr>
        <w:pStyle w:val="BodyText"/>
        <w:rPr>
          <w:color w:val="000000" w:themeColor="text1"/>
        </w:rPr>
      </w:pPr>
      <w:r w:rsidRPr="00D42861">
        <w:rPr>
          <w:color w:val="000000" w:themeColor="text1"/>
        </w:rPr>
        <w:t xml:space="preserve">Specialist homelessness services aim to provide support to people who </w:t>
      </w:r>
      <w:r>
        <w:rPr>
          <w:color w:val="000000" w:themeColor="text1"/>
        </w:rPr>
        <w:t xml:space="preserve">are </w:t>
      </w:r>
      <w:r w:rsidRPr="00D42861">
        <w:rPr>
          <w:color w:val="000000" w:themeColor="text1"/>
        </w:rPr>
        <w:t>homeless or at imminent risk of becoming homeless as a result of a crisis, including women and child</w:t>
      </w:r>
      <w:r>
        <w:rPr>
          <w:color w:val="000000" w:themeColor="text1"/>
        </w:rPr>
        <w:t>ren escaping domestic and family violence.</w:t>
      </w:r>
    </w:p>
    <w:p w:rsidR="00795967" w:rsidRPr="00D42861" w:rsidRDefault="00795967" w:rsidP="00795967">
      <w:pPr>
        <w:pStyle w:val="BodyText"/>
        <w:rPr>
          <w:color w:val="000000" w:themeColor="text1"/>
        </w:rPr>
      </w:pPr>
      <w:r w:rsidRPr="00D42861">
        <w:rPr>
          <w:color w:val="000000" w:themeColor="text1"/>
        </w:rPr>
        <w:t xml:space="preserve">Some of the </w:t>
      </w:r>
      <w:r>
        <w:rPr>
          <w:color w:val="000000" w:themeColor="text1"/>
        </w:rPr>
        <w:t xml:space="preserve">main </w:t>
      </w:r>
      <w:r w:rsidRPr="00D42861">
        <w:rPr>
          <w:color w:val="000000" w:themeColor="text1"/>
        </w:rPr>
        <w:t xml:space="preserve">developments of </w:t>
      </w:r>
      <w:proofErr w:type="spellStart"/>
      <w:r>
        <w:rPr>
          <w:color w:val="000000" w:themeColor="text1"/>
        </w:rPr>
        <w:t>SAAP</w:t>
      </w:r>
      <w:proofErr w:type="spellEnd"/>
      <w:r>
        <w:rPr>
          <w:color w:val="000000" w:themeColor="text1"/>
        </w:rPr>
        <w:t xml:space="preserve"> </w:t>
      </w:r>
      <w:r w:rsidRPr="00D42861">
        <w:rPr>
          <w:color w:val="000000" w:themeColor="text1"/>
        </w:rPr>
        <w:t xml:space="preserve">that have influenced the </w:t>
      </w:r>
      <w:r>
        <w:rPr>
          <w:color w:val="000000" w:themeColor="text1"/>
        </w:rPr>
        <w:t xml:space="preserve">current </w:t>
      </w:r>
      <w:r w:rsidRPr="00D42861">
        <w:rPr>
          <w:color w:val="000000" w:themeColor="text1"/>
        </w:rPr>
        <w:t>service environment include:</w:t>
      </w:r>
    </w:p>
    <w:p w:rsidR="00795967" w:rsidRPr="00D42861" w:rsidRDefault="00795967" w:rsidP="00795967">
      <w:pPr>
        <w:pStyle w:val="ListBullet"/>
        <w:rPr>
          <w:color w:val="000000" w:themeColor="text1"/>
        </w:rPr>
      </w:pPr>
      <w:r w:rsidRPr="00D42861">
        <w:rPr>
          <w:color w:val="000000" w:themeColor="text1"/>
        </w:rPr>
        <w:t>expansion of target groups and increasing specialisation of services</w:t>
      </w:r>
    </w:p>
    <w:p w:rsidR="00795967" w:rsidRPr="00D42861" w:rsidRDefault="00795967" w:rsidP="00795967">
      <w:pPr>
        <w:pStyle w:val="ListBullet"/>
        <w:rPr>
          <w:color w:val="000000" w:themeColor="text1"/>
        </w:rPr>
      </w:pPr>
      <w:r w:rsidRPr="00D42861">
        <w:rPr>
          <w:color w:val="000000" w:themeColor="text1"/>
        </w:rPr>
        <w:lastRenderedPageBreak/>
        <w:t>the provision of non-accommodation support services</w:t>
      </w:r>
    </w:p>
    <w:p w:rsidR="00795967" w:rsidRPr="00D42861" w:rsidRDefault="00795967" w:rsidP="00795967">
      <w:pPr>
        <w:pStyle w:val="ListBullet"/>
        <w:rPr>
          <w:color w:val="000000" w:themeColor="text1"/>
        </w:rPr>
      </w:pPr>
      <w:r w:rsidRPr="00D42861">
        <w:rPr>
          <w:color w:val="000000" w:themeColor="text1"/>
        </w:rPr>
        <w:t>responding to the individual needs of clients</w:t>
      </w:r>
      <w:r>
        <w:rPr>
          <w:color w:val="000000" w:themeColor="text1"/>
        </w:rPr>
        <w:t xml:space="preserve"> through </w:t>
      </w:r>
      <w:r w:rsidRPr="00D42861">
        <w:rPr>
          <w:color w:val="000000" w:themeColor="text1"/>
        </w:rPr>
        <w:t>an emphasis on case management</w:t>
      </w:r>
      <w:r>
        <w:rPr>
          <w:color w:val="000000" w:themeColor="text1"/>
        </w:rPr>
        <w:t xml:space="preserve"> and an integrated service response — </w:t>
      </w:r>
      <w:r w:rsidRPr="00D42861">
        <w:rPr>
          <w:color w:val="000000" w:themeColor="text1"/>
        </w:rPr>
        <w:t>a form of service delivery that involves an assessment process to identify the specific needs of clients and to connect</w:t>
      </w:r>
      <w:r>
        <w:rPr>
          <w:color w:val="000000" w:themeColor="text1"/>
        </w:rPr>
        <w:t xml:space="preserve"> them with appropriate services (</w:t>
      </w:r>
      <w:proofErr w:type="spellStart"/>
      <w:r>
        <w:rPr>
          <w:color w:val="000000" w:themeColor="text1"/>
        </w:rPr>
        <w:t>AIHW</w:t>
      </w:r>
      <w:proofErr w:type="spellEnd"/>
      <w:r>
        <w:rPr>
          <w:color w:val="000000" w:themeColor="text1"/>
        </w:rPr>
        <w:t xml:space="preserve"> 2011).</w:t>
      </w:r>
    </w:p>
    <w:p w:rsidR="00795967" w:rsidRPr="00795967" w:rsidRDefault="00795967" w:rsidP="00795967">
      <w:pPr>
        <w:pStyle w:val="BodyText"/>
        <w:rPr>
          <w:color w:val="000000" w:themeColor="text1"/>
        </w:rPr>
      </w:pPr>
      <w:r w:rsidRPr="0077766F">
        <w:rPr>
          <w:color w:val="000000" w:themeColor="text1"/>
        </w:rPr>
        <w:t xml:space="preserve">Government and non-government </w:t>
      </w:r>
      <w:r>
        <w:rPr>
          <w:color w:val="000000" w:themeColor="text1"/>
        </w:rPr>
        <w:t xml:space="preserve">service providers </w:t>
      </w:r>
      <w:r w:rsidRPr="0077766F">
        <w:rPr>
          <w:color w:val="000000" w:themeColor="text1"/>
        </w:rPr>
        <w:t xml:space="preserve">(including community organisations) deliver a variety of homelessness services to clients, including supported accommodation, counselling, advocacy, links to housing, health, </w:t>
      </w:r>
      <w:r w:rsidRPr="00795967">
        <w:rPr>
          <w:color w:val="000000" w:themeColor="text1"/>
        </w:rPr>
        <w:t>education and employment services, outreach support, brokerage and meals services, and financial and employment assistance.</w:t>
      </w:r>
    </w:p>
    <w:p w:rsidR="002D0C98" w:rsidRPr="00795967" w:rsidRDefault="002D0C98" w:rsidP="002D0C98">
      <w:pPr>
        <w:keepNext/>
        <w:spacing w:before="480" w:line="320" w:lineRule="exact"/>
        <w:outlineLvl w:val="3"/>
        <w:rPr>
          <w:rFonts w:ascii="Arial" w:hAnsi="Arial"/>
          <w:i/>
          <w:sz w:val="24"/>
          <w:szCs w:val="20"/>
        </w:rPr>
      </w:pPr>
      <w:bookmarkStart w:id="21" w:name="_Toc350860195"/>
      <w:bookmarkStart w:id="22" w:name="_Toc384648009"/>
      <w:r w:rsidRPr="00795967">
        <w:rPr>
          <w:rFonts w:ascii="Arial" w:hAnsi="Arial"/>
          <w:i/>
          <w:sz w:val="24"/>
          <w:szCs w:val="20"/>
        </w:rPr>
        <w:t>Homelessness services and the link with other services</w:t>
      </w:r>
      <w:bookmarkEnd w:id="21"/>
      <w:bookmarkEnd w:id="22"/>
    </w:p>
    <w:p w:rsidR="00795967" w:rsidRPr="00E50D70" w:rsidRDefault="00795967" w:rsidP="00795967">
      <w:pPr>
        <w:pStyle w:val="BodyText"/>
        <w:rPr>
          <w:color w:val="000000" w:themeColor="text1"/>
        </w:rPr>
      </w:pPr>
      <w:r w:rsidRPr="00E50D70">
        <w:rPr>
          <w:color w:val="000000" w:themeColor="text1"/>
        </w:rPr>
        <w:t>Close links exist between homelessness services and other forms of housing assistance reported in the Housing chapter of this Report (chapter 1</w:t>
      </w:r>
      <w:r>
        <w:rPr>
          <w:color w:val="000000" w:themeColor="text1"/>
        </w:rPr>
        <w:t>7</w:t>
      </w:r>
      <w:r w:rsidRPr="00E50D70">
        <w:rPr>
          <w:color w:val="000000" w:themeColor="text1"/>
        </w:rPr>
        <w:t xml:space="preserve">). Some individuals and families </w:t>
      </w:r>
      <w:r>
        <w:rPr>
          <w:color w:val="000000" w:themeColor="text1"/>
        </w:rPr>
        <w:t xml:space="preserve">access both </w:t>
      </w:r>
      <w:r w:rsidRPr="00E50D70">
        <w:rPr>
          <w:color w:val="000000" w:themeColor="text1"/>
        </w:rPr>
        <w:t>homelessness and housing services, as people can move from homelessness to social housing, or might be in receipt of homelessness services and accommodated in social housing.</w:t>
      </w:r>
      <w:r w:rsidRPr="00833A63">
        <w:rPr>
          <w:rStyle w:val="FootnoteReference"/>
        </w:rPr>
        <w:footnoteReference w:id="1"/>
      </w:r>
      <w:r>
        <w:rPr>
          <w:color w:val="000000" w:themeColor="text1"/>
        </w:rPr>
        <w:t>. T</w:t>
      </w:r>
      <w:r w:rsidRPr="00575132">
        <w:rPr>
          <w:color w:val="000000" w:themeColor="text1"/>
        </w:rPr>
        <w:t xml:space="preserve">he </w:t>
      </w:r>
      <w:r w:rsidRPr="00E50D70">
        <w:rPr>
          <w:color w:val="000000" w:themeColor="text1"/>
        </w:rPr>
        <w:t xml:space="preserve">Housing and homelessness </w:t>
      </w:r>
      <w:r>
        <w:rPr>
          <w:color w:val="000000" w:themeColor="text1"/>
        </w:rPr>
        <w:t>sector overview p</w:t>
      </w:r>
      <w:r w:rsidRPr="00E50D70">
        <w:rPr>
          <w:color w:val="000000" w:themeColor="text1"/>
        </w:rPr>
        <w:t>rovides some information on the interconnections between these</w:t>
      </w:r>
      <w:r>
        <w:rPr>
          <w:color w:val="000000" w:themeColor="text1"/>
        </w:rPr>
        <w:t xml:space="preserve"> and other services.</w:t>
      </w:r>
    </w:p>
    <w:p w:rsidR="00F4697E" w:rsidRPr="00795967" w:rsidRDefault="00F4697E" w:rsidP="00F4697E">
      <w:pPr>
        <w:keepNext/>
        <w:spacing w:before="560" w:line="320" w:lineRule="exact"/>
        <w:outlineLvl w:val="2"/>
        <w:rPr>
          <w:rFonts w:ascii="Arial" w:hAnsi="Arial"/>
          <w:b/>
          <w:szCs w:val="20"/>
        </w:rPr>
      </w:pPr>
      <w:bookmarkStart w:id="23" w:name="_Toc309313616"/>
      <w:bookmarkStart w:id="24" w:name="_Toc319588801"/>
      <w:bookmarkStart w:id="25" w:name="_Toc349206453"/>
      <w:bookmarkStart w:id="26" w:name="_Toc350860196"/>
      <w:bookmarkStart w:id="27" w:name="_Toc384648010"/>
      <w:r w:rsidRPr="00795967">
        <w:rPr>
          <w:rFonts w:ascii="Arial" w:hAnsi="Arial"/>
          <w:b/>
          <w:szCs w:val="20"/>
        </w:rPr>
        <w:t>Framework of performance indicators for government funded specialist homelessness services</w:t>
      </w:r>
      <w:bookmarkEnd w:id="23"/>
      <w:bookmarkEnd w:id="24"/>
      <w:bookmarkEnd w:id="25"/>
      <w:bookmarkEnd w:id="26"/>
      <w:bookmarkEnd w:id="27"/>
    </w:p>
    <w:p w:rsidR="00F4697E" w:rsidRPr="00795967" w:rsidRDefault="00F4697E" w:rsidP="00F4697E">
      <w:pPr>
        <w:spacing w:before="240" w:line="320" w:lineRule="atLeast"/>
        <w:jc w:val="both"/>
        <w:rPr>
          <w:szCs w:val="20"/>
        </w:rPr>
      </w:pPr>
      <w:r w:rsidRPr="00795967">
        <w:rPr>
          <w:szCs w:val="20"/>
        </w:rPr>
        <w:t>The Homelessness services performance indicat</w:t>
      </w:r>
      <w:r w:rsidR="00795967" w:rsidRPr="00795967">
        <w:rPr>
          <w:szCs w:val="20"/>
        </w:rPr>
        <w:t xml:space="preserve">or framework outlined in </w:t>
      </w:r>
      <w:r w:rsidR="00795967" w:rsidRPr="00795967">
        <w:rPr>
          <w:szCs w:val="20"/>
        </w:rPr>
        <w:br/>
        <w:t>figure 18</w:t>
      </w:r>
      <w:r w:rsidRPr="00795967">
        <w:rPr>
          <w:szCs w:val="20"/>
        </w:rPr>
        <w:t>.1 identifies the principal homelessness services activity areas considered in the 201</w:t>
      </w:r>
      <w:r w:rsidR="00795967" w:rsidRPr="00795967">
        <w:rPr>
          <w:szCs w:val="20"/>
        </w:rPr>
        <w:t xml:space="preserve">4 </w:t>
      </w:r>
      <w:r w:rsidRPr="00795967">
        <w:rPr>
          <w:szCs w:val="20"/>
        </w:rPr>
        <w:t xml:space="preserve">Report. Data for Indigenous </w:t>
      </w:r>
      <w:r w:rsidR="00ED2F1F" w:rsidRPr="00795967">
        <w:rPr>
          <w:szCs w:val="20"/>
        </w:rPr>
        <w:t>Australians</w:t>
      </w:r>
      <w:r w:rsidRPr="00795967">
        <w:rPr>
          <w:szCs w:val="20"/>
        </w:rPr>
        <w:t xml:space="preserve"> 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F4697E" w:rsidRPr="00795967" w:rsidRDefault="00F4697E" w:rsidP="00F4697E">
      <w:pPr>
        <w:spacing w:before="240" w:line="320" w:lineRule="atLeast"/>
        <w:jc w:val="both"/>
        <w:rPr>
          <w:szCs w:val="20"/>
        </w:rPr>
      </w:pPr>
      <w:r w:rsidRPr="00795967">
        <w:rPr>
          <w:szCs w:val="20"/>
        </w:rPr>
        <w:t>Indicator boxes presented throughout the chapter provide information about the reported indicators. As these are sourced directly from the 201</w:t>
      </w:r>
      <w:r w:rsidR="00795967" w:rsidRPr="00795967">
        <w:rPr>
          <w:szCs w:val="20"/>
        </w:rPr>
        <w:t>4</w:t>
      </w:r>
      <w:r w:rsidRPr="00795967">
        <w:rPr>
          <w:szCs w:val="20"/>
        </w:rPr>
        <w:t xml:space="preserve"> Report, they may include references to data not reported for Indigenous </w:t>
      </w:r>
      <w:r w:rsidR="00ED2F1F" w:rsidRPr="00795967">
        <w:rPr>
          <w:szCs w:val="20"/>
        </w:rPr>
        <w:t>Australians</w:t>
      </w:r>
      <w:r w:rsidRPr="00795967">
        <w:rPr>
          <w:szCs w:val="20"/>
        </w:rPr>
        <w:t xml:space="preserve"> and therefore not included in this Compendium.</w:t>
      </w:r>
    </w:p>
    <w:p w:rsidR="00D8702F" w:rsidRPr="00795967" w:rsidRDefault="00D8702F" w:rsidP="00D8702F">
      <w:pPr>
        <w:pStyle w:val="BodyText"/>
        <w:rPr>
          <w:color w:val="000000" w:themeColor="text1"/>
        </w:rPr>
      </w:pPr>
      <w:r w:rsidRPr="00795967">
        <w:lastRenderedPageBreak/>
        <w:t>The performance indicator framework for government funded specialist homelessness services is based on shared government objectives for homelessness services delivered under the NAHA (box 1</w:t>
      </w:r>
      <w:r w:rsidR="00795967" w:rsidRPr="00795967">
        <w:t>8</w:t>
      </w:r>
      <w:r w:rsidRPr="00795967">
        <w:t>.1).</w:t>
      </w:r>
    </w:p>
    <w:p w:rsidR="000A57DC" w:rsidRPr="004F7258" w:rsidRDefault="000A57DC" w:rsidP="000A57DC">
      <w:pPr>
        <w:pStyle w:val="BoxSpace"/>
        <w:rPr>
          <w:highlight w:val="yellow"/>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4697E" w:rsidRPr="004F7258" w:rsidTr="004F7258">
        <w:tc>
          <w:tcPr>
            <w:tcW w:w="8771" w:type="dxa"/>
            <w:tcBorders>
              <w:top w:val="single" w:sz="6" w:space="0" w:color="auto"/>
              <w:bottom w:val="nil"/>
            </w:tcBorders>
          </w:tcPr>
          <w:p w:rsidR="00F4697E" w:rsidRPr="004F7258" w:rsidRDefault="00F4697E" w:rsidP="00795967">
            <w:pPr>
              <w:keepNext/>
              <w:keepLines/>
              <w:spacing w:before="120" w:line="280" w:lineRule="exact"/>
              <w:ind w:left="1304" w:hanging="1304"/>
              <w:rPr>
                <w:rFonts w:ascii="Arial" w:hAnsi="Arial"/>
                <w:b/>
                <w:highlight w:val="yellow"/>
              </w:rPr>
            </w:pPr>
            <w:r w:rsidRPr="00795967">
              <w:rPr>
                <w:rFonts w:ascii="Arial" w:hAnsi="Arial"/>
              </w:rPr>
              <w:t xml:space="preserve">Box </w:t>
            </w:r>
            <w:r w:rsidR="000A3ED2" w:rsidRPr="00795967">
              <w:rPr>
                <w:rFonts w:ascii="Arial" w:hAnsi="Arial"/>
                <w:sz w:val="24"/>
              </w:rPr>
              <w:t>1</w:t>
            </w:r>
            <w:r w:rsidR="00795967" w:rsidRPr="00795967">
              <w:rPr>
                <w:rFonts w:ascii="Arial" w:hAnsi="Arial"/>
                <w:sz w:val="24"/>
              </w:rPr>
              <w:t>8</w:t>
            </w:r>
            <w:r w:rsidR="000A3ED2" w:rsidRPr="00795967">
              <w:rPr>
                <w:rFonts w:ascii="Arial" w:hAnsi="Arial"/>
                <w:sz w:val="24"/>
              </w:rPr>
              <w:t>.1</w:t>
            </w:r>
            <w:r w:rsidR="00D8702F" w:rsidRPr="00795967">
              <w:tab/>
            </w:r>
            <w:r w:rsidR="00795967" w:rsidRPr="00795967">
              <w:rPr>
                <w:rFonts w:ascii="Arial" w:hAnsi="Arial"/>
                <w:b/>
              </w:rPr>
              <w:t>Objectives for government funded specialist homelessness services</w:t>
            </w:r>
          </w:p>
        </w:tc>
      </w:tr>
      <w:tr w:rsidR="00F4697E" w:rsidRPr="004F7258" w:rsidTr="004F7258">
        <w:trPr>
          <w:cantSplit/>
        </w:trPr>
        <w:tc>
          <w:tcPr>
            <w:tcW w:w="8771" w:type="dxa"/>
            <w:tcBorders>
              <w:top w:val="nil"/>
              <w:left w:val="single" w:sz="6" w:space="0" w:color="auto"/>
              <w:bottom w:val="nil"/>
              <w:right w:val="single" w:sz="6" w:space="0" w:color="auto"/>
            </w:tcBorders>
          </w:tcPr>
          <w:p w:rsidR="00795967" w:rsidRPr="00213F6B" w:rsidRDefault="00795967" w:rsidP="00795967">
            <w:pPr>
              <w:pStyle w:val="Box"/>
              <w:rPr>
                <w:color w:val="000000" w:themeColor="text1"/>
              </w:rPr>
            </w:pPr>
            <w:r w:rsidRPr="00213F6B">
              <w:rPr>
                <w:color w:val="000000" w:themeColor="text1"/>
              </w:rPr>
              <w:t>The overall aim of specialist homelessness services is to provide transitional supported accommodation and a range of related support services, to help people who are homeless or at imminent risk of homelessness to achieve the maximum possible degree of self-reliance and independen</w:t>
            </w:r>
            <w:r>
              <w:rPr>
                <w:color w:val="000000" w:themeColor="text1"/>
              </w:rPr>
              <w:t xml:space="preserve">ce. Within this aim, the goals are </w:t>
            </w:r>
            <w:r w:rsidRPr="00213F6B">
              <w:rPr>
                <w:color w:val="000000" w:themeColor="text1"/>
              </w:rPr>
              <w:t xml:space="preserve">to: </w:t>
            </w:r>
          </w:p>
          <w:p w:rsidR="00795967" w:rsidRPr="00213F6B" w:rsidRDefault="00795967" w:rsidP="00795967">
            <w:pPr>
              <w:pStyle w:val="BoxListBullet"/>
              <w:rPr>
                <w:color w:val="000000" w:themeColor="text1"/>
              </w:rPr>
            </w:pPr>
            <w:r w:rsidRPr="00213F6B">
              <w:rPr>
                <w:color w:val="000000" w:themeColor="text1"/>
              </w:rPr>
              <w:t>resolve crises</w:t>
            </w:r>
          </w:p>
          <w:p w:rsidR="00795967" w:rsidRPr="00213F6B" w:rsidRDefault="00795967" w:rsidP="00795967">
            <w:pPr>
              <w:pStyle w:val="BoxListBullet"/>
              <w:rPr>
                <w:color w:val="000000" w:themeColor="text1"/>
              </w:rPr>
            </w:pPr>
            <w:r w:rsidRPr="00213F6B">
              <w:rPr>
                <w:color w:val="000000" w:themeColor="text1"/>
              </w:rPr>
              <w:t>re-establish family links where appropriate</w:t>
            </w:r>
          </w:p>
          <w:p w:rsidR="00795967" w:rsidRDefault="00795967" w:rsidP="00795967">
            <w:pPr>
              <w:pStyle w:val="BoxListBullet"/>
              <w:rPr>
                <w:color w:val="000000" w:themeColor="text1"/>
              </w:rPr>
            </w:pPr>
            <w:r w:rsidRPr="00213F6B">
              <w:rPr>
                <w:color w:val="000000" w:themeColor="text1"/>
              </w:rPr>
              <w:t>re-establish the capacity of clients to live independently</w:t>
            </w:r>
            <w:r>
              <w:rPr>
                <w:color w:val="000000" w:themeColor="text1"/>
              </w:rPr>
              <w:t xml:space="preserve">, </w:t>
            </w:r>
            <w:r w:rsidRPr="00CE5C29">
              <w:rPr>
                <w:color w:val="000000" w:themeColor="text1"/>
              </w:rPr>
              <w:t xml:space="preserve">achieve sustainable housing and social </w:t>
            </w:r>
            <w:r>
              <w:rPr>
                <w:color w:val="000000" w:themeColor="text1"/>
              </w:rPr>
              <w:t>inclusion</w:t>
            </w:r>
          </w:p>
          <w:p w:rsidR="00F4697E" w:rsidRPr="00795967" w:rsidRDefault="00795967" w:rsidP="00795967">
            <w:pPr>
              <w:pStyle w:val="BoxListBullet"/>
              <w:rPr>
                <w:color w:val="000000" w:themeColor="text1"/>
              </w:rPr>
            </w:pPr>
            <w:r w:rsidRPr="00795967">
              <w:rPr>
                <w:color w:val="000000" w:themeColor="text1"/>
              </w:rPr>
              <w:t>provide homelessness services in an equitable and efficient manner.</w:t>
            </w:r>
          </w:p>
        </w:tc>
      </w:tr>
      <w:tr w:rsidR="00F4697E" w:rsidRPr="004F7258" w:rsidTr="004F7258">
        <w:trPr>
          <w:cantSplit/>
        </w:trPr>
        <w:tc>
          <w:tcPr>
            <w:tcW w:w="8771" w:type="dxa"/>
            <w:tcBorders>
              <w:top w:val="nil"/>
              <w:left w:val="single" w:sz="6" w:space="0" w:color="auto"/>
              <w:bottom w:val="single" w:sz="6" w:space="0" w:color="auto"/>
              <w:right w:val="single" w:sz="6" w:space="0" w:color="auto"/>
            </w:tcBorders>
          </w:tcPr>
          <w:p w:rsidR="00F4697E" w:rsidRPr="004F7258" w:rsidRDefault="00F4697E" w:rsidP="00F4697E">
            <w:pPr>
              <w:keepNext/>
              <w:spacing w:line="120" w:lineRule="exact"/>
              <w:jc w:val="both"/>
              <w:rPr>
                <w:rFonts w:ascii="Arial" w:hAnsi="Arial"/>
                <w:sz w:val="22"/>
                <w:szCs w:val="20"/>
                <w:highlight w:val="yellow"/>
              </w:rPr>
            </w:pPr>
          </w:p>
        </w:tc>
      </w:tr>
      <w:tr w:rsidR="00F4697E" w:rsidRPr="004F7258" w:rsidTr="004F7258">
        <w:tc>
          <w:tcPr>
            <w:tcW w:w="8771" w:type="dxa"/>
            <w:tcBorders>
              <w:top w:val="nil"/>
              <w:left w:val="nil"/>
              <w:bottom w:val="nil"/>
              <w:right w:val="nil"/>
            </w:tcBorders>
          </w:tcPr>
          <w:p w:rsidR="00F4697E" w:rsidRPr="004F7258" w:rsidRDefault="00F4697E" w:rsidP="00F4697E">
            <w:pPr>
              <w:spacing w:before="60" w:after="60" w:line="80" w:lineRule="exact"/>
              <w:jc w:val="both"/>
              <w:rPr>
                <w:rFonts w:ascii="Arial" w:hAnsi="Arial"/>
                <w:b/>
                <w:color w:val="FF00FF"/>
                <w:sz w:val="14"/>
                <w:szCs w:val="20"/>
                <w:highlight w:val="yellow"/>
              </w:rPr>
            </w:pPr>
          </w:p>
        </w:tc>
      </w:tr>
    </w:tbl>
    <w:p w:rsidR="008F0BEE" w:rsidRDefault="008F0BEE" w:rsidP="008F0BEE">
      <w:pPr>
        <w:pStyle w:val="BodyText"/>
      </w:pPr>
      <w:proofErr w:type="spellStart"/>
      <w:r w:rsidRPr="004F17C9">
        <w:t>COAG</w:t>
      </w:r>
      <w:proofErr w:type="spellEnd"/>
      <w:r w:rsidRPr="004F17C9">
        <w:t xml:space="preserve"> has agreed six National Agreements to enhance accountability to the public for the outcomes achieved or outputs delivered by a range of government services (see </w:t>
      </w:r>
      <w:r>
        <w:t xml:space="preserve">2014 Report, </w:t>
      </w:r>
      <w:r w:rsidRPr="004F17C9">
        <w:t>chapter 1 for more detail on reforms t</w:t>
      </w:r>
      <w:r>
        <w:t>o federal financial relations).</w:t>
      </w:r>
    </w:p>
    <w:p w:rsidR="008F0BEE" w:rsidRPr="00975FE4" w:rsidRDefault="008F0BEE" w:rsidP="008F0BEE">
      <w:pPr>
        <w:pStyle w:val="BodyText"/>
      </w:pPr>
      <w:r w:rsidRPr="00975FE4">
        <w:t xml:space="preserve">The NAHA covers the areas of housing and homelessness services. The NAHA includes sets of performance indicators, for which the Steering Committee collates performance information for analysis by the </w:t>
      </w:r>
      <w:proofErr w:type="spellStart"/>
      <w:r w:rsidRPr="00975FE4">
        <w:t>COAG</w:t>
      </w:r>
      <w:proofErr w:type="spellEnd"/>
      <w:r w:rsidRPr="00975FE4">
        <w:t xml:space="preserve"> Reform Council (CRC). Performance indicators reported in this chapter are aligned with the ho</w:t>
      </w:r>
      <w:r>
        <w:t>melessness</w:t>
      </w:r>
      <w:r w:rsidRPr="00975FE4">
        <w:t>-related performance indicators in the NAHA. The NAHA was reviewed in 2012 and 2013, resulting in changes that have been reflected in this Report, as relevant.</w:t>
      </w:r>
    </w:p>
    <w:p w:rsidR="008F0BEE" w:rsidRPr="004F17C9" w:rsidRDefault="008F0BEE" w:rsidP="008F0BEE">
      <w:pPr>
        <w:pStyle w:val="BodyText"/>
      </w:pPr>
      <w:r w:rsidRPr="004F17C9">
        <w:t xml:space="preserve">The performance indicator framework provides information on equity, efficiency and effectiveness, and distinguishes the outputs and outcomes of </w:t>
      </w:r>
      <w:r>
        <w:t>government funded specialist homelessness</w:t>
      </w:r>
      <w:r w:rsidRPr="004F17C9">
        <w:t xml:space="preserve"> services (figure </w:t>
      </w:r>
      <w:r>
        <w:t>18.1</w:t>
      </w:r>
      <w:r w:rsidRPr="009F439F">
        <w:t xml:space="preserve">). The performance indicator framework shows which data are </w:t>
      </w:r>
      <w:r>
        <w:t xml:space="preserve">complete and </w:t>
      </w:r>
      <w:r w:rsidRPr="009F439F">
        <w:t>comparable in the 201</w:t>
      </w:r>
      <w:r>
        <w:t>4</w:t>
      </w:r>
      <w:r w:rsidRPr="009F439F">
        <w:t xml:space="preserve"> Report. </w:t>
      </w:r>
      <w:r w:rsidRPr="004F17C9">
        <w:t xml:space="preserve">For data that are not considered directly comparable, the text includes relevant caveats and supporting commentary. Chapter 1 discusses data comparability from a Report-wide perspective (see </w:t>
      </w:r>
      <w:r>
        <w:t xml:space="preserve">2014 Report, section </w:t>
      </w:r>
      <w:r w:rsidRPr="004F17C9">
        <w:t>1.6).</w:t>
      </w:r>
    </w:p>
    <w:p w:rsidR="008F0BEE" w:rsidRDefault="008F0BEE" w:rsidP="008F0BEE">
      <w:pPr>
        <w:pStyle w:val="BodyText"/>
      </w:pPr>
      <w:r w:rsidRPr="004F17C9">
        <w:t xml:space="preserve">The Report’s statistical </w:t>
      </w:r>
      <w:r>
        <w:t xml:space="preserve">context chapter </w:t>
      </w:r>
      <w:r w:rsidRPr="004F17C9">
        <w:t>contains data that may assist in interpreting the performance indicators presented in this chapter. These data cover a range of demographic and geographic characteristics, including age profile, geographic distribution of the population, income levels, education levels, te</w:t>
      </w:r>
      <w:r>
        <w:t xml:space="preserve">nure of dwellings and cultural background </w:t>
      </w:r>
      <w:r w:rsidRPr="004F17C9">
        <w:t xml:space="preserve">(including Indigenous and </w:t>
      </w:r>
      <w:r>
        <w:t xml:space="preserve">cultural </w:t>
      </w:r>
      <w:r w:rsidRPr="004F17C9">
        <w:t>status) (</w:t>
      </w:r>
      <w:r>
        <w:t xml:space="preserve">chapter 2 </w:t>
      </w:r>
      <w:r w:rsidRPr="004F17C9">
        <w:t>).</w:t>
      </w:r>
    </w:p>
    <w:p w:rsidR="00335EFF" w:rsidRPr="00457B6E" w:rsidRDefault="00335EFF" w:rsidP="00335EFF">
      <w:pPr>
        <w:pStyle w:val="FigureTitle"/>
        <w:rPr>
          <w:color w:val="000000" w:themeColor="text1"/>
          <w:sz w:val="22"/>
        </w:rPr>
      </w:pPr>
      <w:r w:rsidRPr="004F17C9">
        <w:rPr>
          <w:b w:val="0"/>
        </w:rPr>
        <w:lastRenderedPageBreak/>
        <w:t xml:space="preserve">Figure </w:t>
      </w:r>
      <w:r>
        <w:rPr>
          <w:b w:val="0"/>
        </w:rPr>
        <w:t>18.1</w:t>
      </w:r>
      <w:r>
        <w:tab/>
        <w:t>G</w:t>
      </w:r>
      <w:r w:rsidRPr="004F17C9">
        <w:t xml:space="preserve">overnment </w:t>
      </w:r>
      <w:r w:rsidRPr="00457B6E">
        <w:rPr>
          <w:color w:val="000000" w:themeColor="text1"/>
        </w:rPr>
        <w:t>funded specialist homelessness services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35EFF" w:rsidRPr="004F17C9" w:rsidTr="007E3D58">
        <w:tc>
          <w:tcPr>
            <w:tcW w:w="8777" w:type="dxa"/>
          </w:tcPr>
          <w:p w:rsidR="00335EFF" w:rsidRPr="004F17C9" w:rsidRDefault="00335EFF" w:rsidP="007E3D58">
            <w:pPr>
              <w:pStyle w:val="Figure"/>
              <w:spacing w:after="0"/>
              <w:rPr>
                <w:noProof/>
              </w:rPr>
            </w:pPr>
            <w:r>
              <w:rPr>
                <w:noProof/>
              </w:rPr>
              <w:drawing>
                <wp:inline distT="0" distB="0" distL="0" distR="0" wp14:anchorId="28BC7CBC" wp14:editId="6209FCA1">
                  <wp:extent cx="5572125" cy="4486275"/>
                  <wp:effectExtent l="0" t="0" r="0" b="0"/>
                  <wp:docPr id="2" name="Picture 2" descr="Figure 18.1 Government funded specialist homelessness services performance indicator framework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2125" cy="4486275"/>
                          </a:xfrm>
                          <a:prstGeom prst="rect">
                            <a:avLst/>
                          </a:prstGeom>
                          <a:noFill/>
                          <a:ln>
                            <a:noFill/>
                          </a:ln>
                        </pic:spPr>
                      </pic:pic>
                    </a:graphicData>
                  </a:graphic>
                </wp:inline>
              </w:drawing>
            </w:r>
          </w:p>
        </w:tc>
      </w:tr>
    </w:tbl>
    <w:p w:rsidR="00335EFF" w:rsidRPr="00335EFF" w:rsidRDefault="00335EFF" w:rsidP="00335EFF">
      <w:pPr>
        <w:keepLines/>
        <w:spacing w:before="80" w:after="120" w:line="220" w:lineRule="exact"/>
        <w:jc w:val="both"/>
        <w:rPr>
          <w:rFonts w:ascii="Arial" w:hAnsi="Arial"/>
          <w:i/>
          <w:sz w:val="18"/>
          <w:szCs w:val="20"/>
        </w:rPr>
      </w:pPr>
      <w:r w:rsidRPr="00335EFF">
        <w:rPr>
          <w:rFonts w:ascii="Arial" w:hAnsi="Arial"/>
          <w:i/>
          <w:sz w:val="18"/>
          <w:szCs w:val="20"/>
        </w:rPr>
        <w:t>Source</w:t>
      </w:r>
      <w:r w:rsidRPr="00335EFF">
        <w:rPr>
          <w:rFonts w:ascii="Arial" w:hAnsi="Arial"/>
          <w:sz w:val="18"/>
          <w:szCs w:val="20"/>
        </w:rPr>
        <w:t>: 2014 Report, figure 18.2, p. 18.9.</w:t>
      </w:r>
    </w:p>
    <w:p w:rsidR="00F4697E" w:rsidRPr="00CA05B9" w:rsidRDefault="00607851" w:rsidP="00F4697E">
      <w:pPr>
        <w:keepNext/>
        <w:spacing w:before="480" w:line="320" w:lineRule="exact"/>
        <w:outlineLvl w:val="3"/>
        <w:rPr>
          <w:rFonts w:ascii="Arial" w:hAnsi="Arial"/>
          <w:i/>
          <w:sz w:val="24"/>
          <w:szCs w:val="20"/>
        </w:rPr>
      </w:pPr>
      <w:bookmarkStart w:id="28" w:name="_Toc319588802"/>
      <w:bookmarkStart w:id="29" w:name="_Toc350860197"/>
      <w:bookmarkStart w:id="30" w:name="_Toc384648011"/>
      <w:r w:rsidRPr="00CA05B9">
        <w:rPr>
          <w:rFonts w:ascii="Arial" w:hAnsi="Arial"/>
          <w:i/>
          <w:sz w:val="24"/>
          <w:szCs w:val="20"/>
        </w:rPr>
        <w:t xml:space="preserve">Equity — </w:t>
      </w:r>
      <w:r w:rsidR="00AF267B" w:rsidRPr="00CA05B9">
        <w:rPr>
          <w:rFonts w:ascii="Arial" w:hAnsi="Arial"/>
          <w:i/>
          <w:sz w:val="24"/>
          <w:szCs w:val="20"/>
        </w:rPr>
        <w:t>a</w:t>
      </w:r>
      <w:r w:rsidR="00F4697E" w:rsidRPr="00CA05B9">
        <w:rPr>
          <w:rFonts w:ascii="Arial" w:hAnsi="Arial"/>
          <w:i/>
          <w:sz w:val="24"/>
          <w:szCs w:val="20"/>
        </w:rPr>
        <w:t>ccess</w:t>
      </w:r>
      <w:bookmarkEnd w:id="28"/>
      <w:bookmarkEnd w:id="29"/>
      <w:bookmarkEnd w:id="30"/>
    </w:p>
    <w:p w:rsidR="00CA05B9" w:rsidRPr="009E5CE0" w:rsidRDefault="00CA05B9" w:rsidP="00CA05B9">
      <w:pPr>
        <w:pStyle w:val="BodyText"/>
        <w:rPr>
          <w:color w:val="000000" w:themeColor="text1"/>
        </w:rPr>
      </w:pPr>
      <w:r w:rsidRPr="009E5CE0">
        <w:rPr>
          <w:color w:val="000000" w:themeColor="text1"/>
        </w:rPr>
        <w:t>Equity and access indicators are indicators of governments’ objective to ensure that all clients have fair and equitable access to services on the basis of relative need and available resources.</w:t>
      </w:r>
    </w:p>
    <w:p w:rsidR="00AF267B" w:rsidRPr="00CA05B9" w:rsidRDefault="00AF267B" w:rsidP="0079282C">
      <w:pPr>
        <w:pStyle w:val="Heading5"/>
      </w:pPr>
      <w:r w:rsidRPr="00CA05B9">
        <w:t>Access of special needs groups to homelessness services</w:t>
      </w:r>
    </w:p>
    <w:p w:rsidR="00607851" w:rsidRPr="00CA05B9" w:rsidRDefault="00607851" w:rsidP="00607851">
      <w:pPr>
        <w:pStyle w:val="BodyText"/>
      </w:pPr>
      <w:r w:rsidRPr="00CA05B9">
        <w:t>‘Access of special needs groups to homelessness services’ is an indicator of governments’ objective to ensure all Australians have equitable access to accommodation services on the basis of relative need (box 1</w:t>
      </w:r>
      <w:r w:rsidR="00CA05B9" w:rsidRPr="00CA05B9">
        <w:t>8</w:t>
      </w:r>
      <w:r w:rsidRPr="00CA05B9">
        <w:t>.2).</w:t>
      </w:r>
    </w:p>
    <w:p w:rsidR="00607851" w:rsidRPr="00CA05B9" w:rsidRDefault="00607851" w:rsidP="0060785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4697E" w:rsidRPr="00CA05B9" w:rsidTr="004F7258">
        <w:tc>
          <w:tcPr>
            <w:tcW w:w="8771" w:type="dxa"/>
            <w:tcBorders>
              <w:top w:val="single" w:sz="6" w:space="0" w:color="auto"/>
              <w:bottom w:val="nil"/>
            </w:tcBorders>
          </w:tcPr>
          <w:p w:rsidR="00F4697E" w:rsidRPr="00CA05B9" w:rsidRDefault="00F4697E" w:rsidP="00CA05B9">
            <w:pPr>
              <w:keepNext/>
              <w:keepLines/>
              <w:spacing w:before="120" w:line="280" w:lineRule="exact"/>
              <w:ind w:left="1304" w:hanging="1304"/>
              <w:rPr>
                <w:rFonts w:ascii="Arial" w:hAnsi="Arial"/>
                <w:b/>
              </w:rPr>
            </w:pPr>
            <w:r w:rsidRPr="00CA05B9">
              <w:rPr>
                <w:rFonts w:ascii="Arial" w:hAnsi="Arial"/>
              </w:rPr>
              <w:t xml:space="preserve">Box </w:t>
            </w:r>
            <w:r w:rsidR="000A3ED2" w:rsidRPr="00CA05B9">
              <w:rPr>
                <w:rFonts w:ascii="Arial" w:hAnsi="Arial"/>
                <w:sz w:val="24"/>
              </w:rPr>
              <w:t>1</w:t>
            </w:r>
            <w:r w:rsidR="00CA05B9" w:rsidRPr="00CA05B9">
              <w:rPr>
                <w:rFonts w:ascii="Arial" w:hAnsi="Arial"/>
                <w:sz w:val="24"/>
              </w:rPr>
              <w:t>8</w:t>
            </w:r>
            <w:r w:rsidR="000A3ED2" w:rsidRPr="00CA05B9">
              <w:rPr>
                <w:rFonts w:ascii="Arial" w:hAnsi="Arial"/>
                <w:sz w:val="24"/>
              </w:rPr>
              <w:t>.2</w:t>
            </w:r>
            <w:r w:rsidRPr="00CA05B9">
              <w:rPr>
                <w:rFonts w:ascii="Arial" w:hAnsi="Arial"/>
                <w:b/>
              </w:rPr>
              <w:tab/>
              <w:t>Access of Indigenous people to homelessness services</w:t>
            </w:r>
          </w:p>
        </w:tc>
      </w:tr>
      <w:tr w:rsidR="00F4697E" w:rsidRPr="004F7258" w:rsidTr="004F7258">
        <w:trPr>
          <w:cantSplit/>
        </w:trPr>
        <w:tc>
          <w:tcPr>
            <w:tcW w:w="8771" w:type="dxa"/>
            <w:tcBorders>
              <w:top w:val="nil"/>
              <w:left w:val="single" w:sz="6" w:space="0" w:color="auto"/>
              <w:bottom w:val="nil"/>
              <w:right w:val="single" w:sz="6" w:space="0" w:color="auto"/>
            </w:tcBorders>
          </w:tcPr>
          <w:p w:rsidR="00CA05B9" w:rsidRDefault="00CA05B9" w:rsidP="00CA05B9">
            <w:pPr>
              <w:pStyle w:val="Box"/>
              <w:rPr>
                <w:bCs/>
                <w:color w:val="000000" w:themeColor="text1"/>
              </w:rPr>
            </w:pPr>
            <w:r w:rsidRPr="009E5CE0">
              <w:rPr>
                <w:bCs/>
                <w:color w:val="000000" w:themeColor="text1"/>
              </w:rPr>
              <w:t>‘Access of special needs g</w:t>
            </w:r>
            <w:r>
              <w:rPr>
                <w:bCs/>
                <w:color w:val="000000" w:themeColor="text1"/>
              </w:rPr>
              <w:t xml:space="preserve">roups to homelessness services’ </w:t>
            </w:r>
            <w:r w:rsidRPr="009E5CE0">
              <w:rPr>
                <w:bCs/>
                <w:color w:val="000000" w:themeColor="text1"/>
              </w:rPr>
              <w:t xml:space="preserve">is </w:t>
            </w:r>
            <w:r w:rsidRPr="00F606F8">
              <w:rPr>
                <w:bCs/>
                <w:color w:val="000000" w:themeColor="text1"/>
              </w:rPr>
              <w:t xml:space="preserve">the comparison between the representation of </w:t>
            </w:r>
            <w:r w:rsidRPr="00000AAB">
              <w:rPr>
                <w:bCs/>
                <w:color w:val="000000" w:themeColor="text1"/>
              </w:rPr>
              <w:t>Indigenous people  among all people whose needs for accommodation and other services were met, and the representation</w:t>
            </w:r>
            <w:r>
              <w:rPr>
                <w:bCs/>
                <w:color w:val="000000" w:themeColor="text1"/>
              </w:rPr>
              <w:t xml:space="preserve"> of these </w:t>
            </w:r>
            <w:r w:rsidRPr="00F606F8">
              <w:rPr>
                <w:bCs/>
                <w:color w:val="000000" w:themeColor="text1"/>
              </w:rPr>
              <w:t xml:space="preserve">groups in the </w:t>
            </w:r>
            <w:r>
              <w:rPr>
                <w:bCs/>
                <w:color w:val="000000" w:themeColor="text1"/>
              </w:rPr>
              <w:t>population.</w:t>
            </w:r>
          </w:p>
          <w:p w:rsidR="00CA05B9" w:rsidRDefault="00CA05B9" w:rsidP="00CA05B9">
            <w:pPr>
              <w:pStyle w:val="Box"/>
              <w:spacing w:after="120"/>
              <w:rPr>
                <w:bCs/>
                <w:color w:val="000000" w:themeColor="text1"/>
              </w:rPr>
            </w:pPr>
            <w:r>
              <w:rPr>
                <w:bCs/>
                <w:color w:val="000000" w:themeColor="text1"/>
              </w:rPr>
              <w:t xml:space="preserve">This indicator is </w:t>
            </w:r>
            <w:r w:rsidRPr="009E5CE0">
              <w:rPr>
                <w:bCs/>
                <w:color w:val="000000" w:themeColor="text1"/>
              </w:rPr>
              <w:t xml:space="preserve">defined </w:t>
            </w:r>
            <w:r>
              <w:rPr>
                <w:bCs/>
                <w:color w:val="000000" w:themeColor="text1"/>
              </w:rPr>
              <w:t>by three measures:</w:t>
            </w:r>
          </w:p>
          <w:p w:rsidR="00CA05B9" w:rsidRPr="006D31BC" w:rsidRDefault="00CA05B9" w:rsidP="00CA05B9">
            <w:pPr>
              <w:pStyle w:val="BoxListBullet"/>
            </w:pPr>
            <w:r w:rsidRPr="006D31BC">
              <w:t xml:space="preserve">the number of </w:t>
            </w:r>
            <w:r>
              <w:t xml:space="preserve">Indigenous clients </w:t>
            </w:r>
            <w:r w:rsidRPr="006D31BC">
              <w:t>whose demand for accommodation was met divided by the total number of clients whose demand for accommodation was met</w:t>
            </w:r>
          </w:p>
          <w:p w:rsidR="00CA05B9" w:rsidRPr="006D31BC" w:rsidRDefault="00CA05B9" w:rsidP="00CA05B9">
            <w:pPr>
              <w:pStyle w:val="BoxListBullet"/>
            </w:pPr>
            <w:r w:rsidRPr="006D31BC">
              <w:t xml:space="preserve">the number of </w:t>
            </w:r>
            <w:r>
              <w:t xml:space="preserve">Indigenous clients </w:t>
            </w:r>
            <w:r w:rsidRPr="006D31BC">
              <w:t>whose demand for services other than accommodation was met divided by the total number of clients whose demand for services other than accommodation was met</w:t>
            </w:r>
          </w:p>
          <w:p w:rsidR="00CA05B9" w:rsidRPr="006D31BC" w:rsidRDefault="00CA05B9" w:rsidP="00CA05B9">
            <w:pPr>
              <w:pStyle w:val="BoxListBullet"/>
            </w:pPr>
            <w:r w:rsidRPr="006D31BC">
              <w:t xml:space="preserve">the representation of </w:t>
            </w:r>
            <w:r>
              <w:t xml:space="preserve">Indigenous clients </w:t>
            </w:r>
            <w:r w:rsidRPr="006D31BC">
              <w:t xml:space="preserve">in specialist homelessness services compared with their representation in the </w:t>
            </w:r>
            <w:r>
              <w:t>population.</w:t>
            </w:r>
          </w:p>
          <w:p w:rsidR="00CA05B9" w:rsidRPr="006D31BC" w:rsidRDefault="00CA05B9" w:rsidP="00CA05B9">
            <w:pPr>
              <w:pStyle w:val="Box"/>
            </w:pPr>
            <w:r>
              <w:t xml:space="preserve">Use by special needs groups is a proxy indicator of equitable access. In general, usage rates for special needs groups similar or higher to those for the broader service population are desirable. Several factors need to be considered in interpreting the results for this set of measures. In particular, </w:t>
            </w:r>
            <w:r w:rsidRPr="006D31BC">
              <w:t xml:space="preserve">cultural differences can influence the extent to which </w:t>
            </w:r>
            <w:r w:rsidRPr="001D711D">
              <w:t xml:space="preserve">Indigenous </w:t>
            </w:r>
            <w:r w:rsidRPr="006D31BC">
              <w:t>use different types of services</w:t>
            </w:r>
            <w:r>
              <w:t>.</w:t>
            </w:r>
          </w:p>
          <w:p w:rsidR="00CA05B9" w:rsidRDefault="00CA05B9" w:rsidP="00CA05B9">
            <w:pPr>
              <w:pStyle w:val="Box"/>
              <w:rPr>
                <w:color w:val="000000" w:themeColor="text1"/>
              </w:rPr>
            </w:pPr>
            <w:r>
              <w:rPr>
                <w:color w:val="000000" w:themeColor="text1"/>
              </w:rPr>
              <w:t>Data reported for these measures are:</w:t>
            </w:r>
          </w:p>
          <w:p w:rsidR="00CA05B9" w:rsidRDefault="00CA05B9" w:rsidP="00CA05B9">
            <w:pPr>
              <w:pStyle w:val="BoxListBullet"/>
            </w:pPr>
            <w:r>
              <w:t>comparable (subject to caveats) across jurisdictions and over time</w:t>
            </w:r>
          </w:p>
          <w:p w:rsidR="00CA05B9" w:rsidRDefault="00CA05B9" w:rsidP="00CA05B9">
            <w:pPr>
              <w:pStyle w:val="BoxListBullet"/>
            </w:pPr>
            <w:r>
              <w:t>complete for the current reporting period. All required (2012–13) data are available for all jurisdictions.</w:t>
            </w:r>
          </w:p>
          <w:p w:rsidR="00F4697E" w:rsidRPr="004F7258" w:rsidRDefault="00CA05B9" w:rsidP="00CA05B9">
            <w:pPr>
              <w:pStyle w:val="Box"/>
              <w:rPr>
                <w:highlight w:val="yellow"/>
              </w:rPr>
            </w:pPr>
            <w:r w:rsidRPr="00CA05B9">
              <w:t>Data quality information for this indicator is under development.</w:t>
            </w:r>
          </w:p>
        </w:tc>
      </w:tr>
      <w:tr w:rsidR="00F4697E" w:rsidRPr="004F7258" w:rsidTr="004F7258">
        <w:trPr>
          <w:cantSplit/>
        </w:trPr>
        <w:tc>
          <w:tcPr>
            <w:tcW w:w="8771" w:type="dxa"/>
            <w:tcBorders>
              <w:top w:val="nil"/>
              <w:left w:val="single" w:sz="6" w:space="0" w:color="auto"/>
              <w:bottom w:val="single" w:sz="6" w:space="0" w:color="auto"/>
              <w:right w:val="single" w:sz="6" w:space="0" w:color="auto"/>
            </w:tcBorders>
          </w:tcPr>
          <w:p w:rsidR="00F4697E" w:rsidRPr="004F7258" w:rsidRDefault="00F4697E" w:rsidP="00F4697E">
            <w:pPr>
              <w:keepNext/>
              <w:spacing w:line="120" w:lineRule="exact"/>
              <w:jc w:val="both"/>
              <w:rPr>
                <w:rFonts w:ascii="Arial" w:hAnsi="Arial"/>
                <w:sz w:val="22"/>
                <w:szCs w:val="20"/>
                <w:highlight w:val="yellow"/>
              </w:rPr>
            </w:pPr>
          </w:p>
        </w:tc>
      </w:tr>
      <w:tr w:rsidR="00F4697E" w:rsidRPr="004F7258" w:rsidTr="004F7258">
        <w:tc>
          <w:tcPr>
            <w:tcW w:w="8771" w:type="dxa"/>
            <w:tcBorders>
              <w:top w:val="nil"/>
              <w:left w:val="nil"/>
              <w:bottom w:val="nil"/>
              <w:right w:val="nil"/>
            </w:tcBorders>
          </w:tcPr>
          <w:p w:rsidR="00F4697E" w:rsidRPr="004F7258" w:rsidRDefault="00F4697E" w:rsidP="00F4697E">
            <w:pPr>
              <w:spacing w:before="60" w:after="60" w:line="80" w:lineRule="exact"/>
              <w:jc w:val="both"/>
              <w:rPr>
                <w:rFonts w:ascii="Arial" w:hAnsi="Arial"/>
                <w:b/>
                <w:color w:val="FF00FF"/>
                <w:sz w:val="14"/>
                <w:szCs w:val="20"/>
                <w:highlight w:val="yellow"/>
              </w:rPr>
            </w:pPr>
          </w:p>
        </w:tc>
      </w:tr>
    </w:tbl>
    <w:p w:rsidR="00607851" w:rsidRPr="00CA05B9" w:rsidRDefault="00607851" w:rsidP="00607851">
      <w:pPr>
        <w:keepNext/>
        <w:spacing w:before="360" w:line="320" w:lineRule="exact"/>
        <w:outlineLvl w:val="4"/>
        <w:rPr>
          <w:i/>
          <w:szCs w:val="20"/>
        </w:rPr>
      </w:pPr>
      <w:r w:rsidRPr="00CA05B9">
        <w:rPr>
          <w:i/>
          <w:szCs w:val="20"/>
        </w:rPr>
        <w:t>Access of Indigenous people to homelessness services</w:t>
      </w:r>
    </w:p>
    <w:p w:rsidR="00CA05B9" w:rsidRDefault="00CA05B9" w:rsidP="00CA05B9">
      <w:pPr>
        <w:pStyle w:val="BodyText"/>
        <w:rPr>
          <w:color w:val="000000" w:themeColor="text1"/>
        </w:rPr>
      </w:pPr>
      <w:r w:rsidRPr="00602189">
        <w:rPr>
          <w:color w:val="000000" w:themeColor="text1"/>
        </w:rPr>
        <w:t xml:space="preserve">Nationally, Indigenous people made up </w:t>
      </w:r>
      <w:r>
        <w:rPr>
          <w:color w:val="000000" w:themeColor="text1"/>
        </w:rPr>
        <w:t xml:space="preserve">25.3 per </w:t>
      </w:r>
      <w:r w:rsidRPr="00B55A2E">
        <w:rPr>
          <w:color w:val="000000" w:themeColor="text1"/>
        </w:rPr>
        <w:t>cent of all clients who</w:t>
      </w:r>
      <w:r>
        <w:rPr>
          <w:color w:val="000000" w:themeColor="text1"/>
        </w:rPr>
        <w:t xml:space="preserve"> received accommodation assistance, and 14.1 per </w:t>
      </w:r>
      <w:r w:rsidRPr="00602189">
        <w:rPr>
          <w:color w:val="000000" w:themeColor="text1"/>
        </w:rPr>
        <w:t xml:space="preserve">cent of all clients </w:t>
      </w:r>
      <w:r>
        <w:rPr>
          <w:color w:val="000000" w:themeColor="text1"/>
        </w:rPr>
        <w:t xml:space="preserve">who received </w:t>
      </w:r>
      <w:r w:rsidRPr="00602189">
        <w:rPr>
          <w:color w:val="000000" w:themeColor="text1"/>
        </w:rPr>
        <w:t xml:space="preserve">services </w:t>
      </w:r>
      <w:r>
        <w:rPr>
          <w:color w:val="000000" w:themeColor="text1"/>
        </w:rPr>
        <w:t xml:space="preserve">other than accommodation </w:t>
      </w:r>
      <w:r w:rsidRPr="00602189">
        <w:rPr>
          <w:color w:val="000000" w:themeColor="text1"/>
        </w:rPr>
        <w:t>in 201</w:t>
      </w:r>
      <w:r>
        <w:rPr>
          <w:color w:val="000000" w:themeColor="text1"/>
        </w:rPr>
        <w:t>2–</w:t>
      </w:r>
      <w:r w:rsidRPr="00602189">
        <w:rPr>
          <w:color w:val="000000" w:themeColor="text1"/>
        </w:rPr>
        <w:t>1</w:t>
      </w:r>
      <w:r>
        <w:rPr>
          <w:color w:val="000000" w:themeColor="text1"/>
        </w:rPr>
        <w:t xml:space="preserve">3. </w:t>
      </w:r>
      <w:r w:rsidRPr="00602189">
        <w:rPr>
          <w:color w:val="000000" w:themeColor="text1"/>
        </w:rPr>
        <w:t>Th</w:t>
      </w:r>
      <w:r>
        <w:rPr>
          <w:color w:val="000000" w:themeColor="text1"/>
        </w:rPr>
        <w:t xml:space="preserve">ese </w:t>
      </w:r>
      <w:r w:rsidRPr="00602189">
        <w:rPr>
          <w:color w:val="000000" w:themeColor="text1"/>
        </w:rPr>
        <w:t>result</w:t>
      </w:r>
      <w:r>
        <w:rPr>
          <w:color w:val="000000" w:themeColor="text1"/>
        </w:rPr>
        <w:t>s</w:t>
      </w:r>
      <w:r w:rsidRPr="00602189">
        <w:rPr>
          <w:color w:val="000000" w:themeColor="text1"/>
        </w:rPr>
        <w:t xml:space="preserve"> varied across jurisdictions (figure </w:t>
      </w:r>
      <w:r>
        <w:rPr>
          <w:color w:val="000000" w:themeColor="text1"/>
        </w:rPr>
        <w:t>18.2</w:t>
      </w:r>
      <w:r w:rsidRPr="00602189">
        <w:rPr>
          <w:color w:val="000000" w:themeColor="text1"/>
        </w:rPr>
        <w:t>).</w:t>
      </w:r>
    </w:p>
    <w:p w:rsidR="00CA05B9" w:rsidRPr="002B5C01" w:rsidRDefault="00CA05B9" w:rsidP="00CA05B9">
      <w:pPr>
        <w:pStyle w:val="FigureTitle"/>
        <w:rPr>
          <w:rStyle w:val="NoteLabel"/>
        </w:rPr>
      </w:pPr>
      <w:r>
        <w:rPr>
          <w:b w:val="0"/>
        </w:rPr>
        <w:lastRenderedPageBreak/>
        <w:t>Figure 18.2</w:t>
      </w:r>
      <w:r>
        <w:tab/>
      </w:r>
      <w:r w:rsidRPr="009F48BD">
        <w:rPr>
          <w:color w:val="000000" w:themeColor="text1"/>
        </w:rPr>
        <w:t>Proportion of Indigenous clients whose needs for accommodation and services other than accommodation were met</w:t>
      </w:r>
      <w:r>
        <w:rPr>
          <w:color w:val="000000" w:themeColor="text1"/>
        </w:rPr>
        <w:t>, 2012–13</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A05B9" w:rsidRPr="00CA05B9" w:rsidTr="007E3D58">
        <w:tc>
          <w:tcPr>
            <w:tcW w:w="8777" w:type="dxa"/>
          </w:tcPr>
          <w:p w:rsidR="00CA05B9" w:rsidRPr="00CA05B9" w:rsidRDefault="00CA05B9" w:rsidP="007E3D58">
            <w:pPr>
              <w:pStyle w:val="Figure"/>
              <w:rPr>
                <w:color w:val="000000" w:themeColor="text1"/>
              </w:rPr>
            </w:pPr>
            <w:r w:rsidRPr="00CA05B9">
              <w:rPr>
                <w:noProof/>
                <w:color w:val="000000" w:themeColor="text1"/>
              </w:rPr>
              <w:drawing>
                <wp:inline distT="0" distB="0" distL="0" distR="0" wp14:anchorId="50EC4B66" wp14:editId="1415730E">
                  <wp:extent cx="5362575" cy="2705100"/>
                  <wp:effectExtent l="0" t="0" r="9525" b="0"/>
                  <wp:docPr id="10" name="Picture 10" descr="Figure 18.2 Proportion of Indigenous clients whose needs for accommodation and services other than accommodation were met,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62575" cy="2705100"/>
                          </a:xfrm>
                          <a:prstGeom prst="rect">
                            <a:avLst/>
                          </a:prstGeom>
                          <a:noFill/>
                          <a:ln>
                            <a:noFill/>
                          </a:ln>
                        </pic:spPr>
                      </pic:pic>
                    </a:graphicData>
                  </a:graphic>
                </wp:inline>
              </w:drawing>
            </w:r>
          </w:p>
        </w:tc>
      </w:tr>
    </w:tbl>
    <w:p w:rsidR="00CA05B9" w:rsidRPr="00421C75" w:rsidRDefault="00CA05B9" w:rsidP="00CA05B9">
      <w:pPr>
        <w:pStyle w:val="Note"/>
        <w:rPr>
          <w:color w:val="000000" w:themeColor="text1"/>
        </w:rPr>
      </w:pPr>
      <w:r w:rsidRPr="00CA05B9">
        <w:rPr>
          <w:i/>
          <w:color w:val="000000" w:themeColor="text1"/>
        </w:rPr>
        <w:t>Source</w:t>
      </w:r>
      <w:r w:rsidRPr="00CA05B9">
        <w:rPr>
          <w:color w:val="000000" w:themeColor="text1"/>
        </w:rPr>
        <w:t xml:space="preserve">: </w:t>
      </w:r>
      <w:proofErr w:type="spellStart"/>
      <w:r w:rsidRPr="00CA05B9">
        <w:rPr>
          <w:color w:val="000000" w:themeColor="text1"/>
        </w:rPr>
        <w:t>AIHW</w:t>
      </w:r>
      <w:proofErr w:type="spellEnd"/>
      <w:r w:rsidRPr="00CA05B9">
        <w:rPr>
          <w:color w:val="000000" w:themeColor="text1"/>
        </w:rPr>
        <w:t xml:space="preserve"> (unpublished) </w:t>
      </w:r>
      <w:r w:rsidRPr="00CA05B9">
        <w:rPr>
          <w:i/>
          <w:color w:val="000000" w:themeColor="text1"/>
        </w:rPr>
        <w:t>Specialist Homelessness Services Collection: National Data Collection annual report</w:t>
      </w:r>
      <w:r w:rsidRPr="00CA05B9">
        <w:rPr>
          <w:color w:val="000000" w:themeColor="text1"/>
        </w:rPr>
        <w:t xml:space="preserve">, Australia; table </w:t>
      </w:r>
      <w:proofErr w:type="spellStart"/>
      <w:r w:rsidRPr="00CA05B9">
        <w:rPr>
          <w:color w:val="000000" w:themeColor="text1"/>
        </w:rPr>
        <w:t>18A.5</w:t>
      </w:r>
      <w:proofErr w:type="spellEnd"/>
      <w:r w:rsidRPr="00CA05B9">
        <w:t>; 2014 Report, figure 18.3, p. 17.13.</w:t>
      </w:r>
    </w:p>
    <w:p w:rsidR="00CA05B9" w:rsidRDefault="00CA05B9" w:rsidP="00CA05B9">
      <w:pPr>
        <w:pStyle w:val="BodyText"/>
      </w:pPr>
      <w:r w:rsidRPr="00CD6783">
        <w:t>Nationally in 2012</w:t>
      </w:r>
      <w:r>
        <w:t>–</w:t>
      </w:r>
      <w:r w:rsidRPr="00CD6783">
        <w:t xml:space="preserve">13, Indigenous people had a higher representation amongst all people accessing specialist homelessness services (22.5 per cent) than their representation in the </w:t>
      </w:r>
      <w:r>
        <w:t xml:space="preserve">population </w:t>
      </w:r>
      <w:r w:rsidRPr="00CD6783">
        <w:t xml:space="preserve">(3.0 per cent) </w:t>
      </w:r>
      <w:r>
        <w:t xml:space="preserve">(table </w:t>
      </w:r>
      <w:r w:rsidRPr="00CD6783">
        <w:t>18.1).</w:t>
      </w:r>
    </w:p>
    <w:p w:rsidR="00CA05B9" w:rsidRPr="00CA05B9" w:rsidRDefault="00CA05B9" w:rsidP="00CA05B9">
      <w:pPr>
        <w:keepNext/>
        <w:keepLines/>
        <w:spacing w:before="480" w:after="80" w:line="280" w:lineRule="exact"/>
        <w:ind w:left="1474" w:hanging="1474"/>
        <w:rPr>
          <w:rFonts w:ascii="Arial" w:hAnsi="Arial"/>
          <w:b/>
        </w:rPr>
      </w:pPr>
      <w:r w:rsidRPr="00CA05B9">
        <w:rPr>
          <w:rFonts w:ascii="Arial" w:hAnsi="Arial"/>
        </w:rPr>
        <w:t>Table 18.1</w:t>
      </w:r>
      <w:r w:rsidRPr="00CA05B9">
        <w:rPr>
          <w:rFonts w:ascii="Arial" w:hAnsi="Arial"/>
          <w:b/>
        </w:rPr>
        <w:tab/>
        <w:t>Proportion of Indigenous people represented in specialist homelessness services and in the population, 2012–13 (per cent)</w:t>
      </w:r>
    </w:p>
    <w:tbl>
      <w:tblPr>
        <w:tblW w:w="8794" w:type="dxa"/>
        <w:tblBorders>
          <w:left w:val="single" w:sz="4" w:space="0" w:color="auto"/>
        </w:tblBorders>
        <w:tblLayout w:type="fixed"/>
        <w:tblCellMar>
          <w:left w:w="0" w:type="dxa"/>
          <w:right w:w="0" w:type="dxa"/>
        </w:tblCellMar>
        <w:tblLook w:val="0000" w:firstRow="0" w:lastRow="0" w:firstColumn="0" w:lastColumn="0" w:noHBand="0" w:noVBand="0"/>
      </w:tblPr>
      <w:tblGrid>
        <w:gridCol w:w="2552"/>
        <w:gridCol w:w="709"/>
        <w:gridCol w:w="708"/>
        <w:gridCol w:w="709"/>
        <w:gridCol w:w="709"/>
        <w:gridCol w:w="709"/>
        <w:gridCol w:w="708"/>
        <w:gridCol w:w="567"/>
        <w:gridCol w:w="709"/>
        <w:gridCol w:w="714"/>
      </w:tblGrid>
      <w:tr w:rsidR="00CA05B9" w:rsidRPr="00CA05B9" w:rsidTr="007E3D58">
        <w:tc>
          <w:tcPr>
            <w:tcW w:w="2552" w:type="dxa"/>
            <w:tcBorders>
              <w:top w:val="single" w:sz="4" w:space="0" w:color="auto"/>
              <w:left w:val="nil"/>
              <w:bottom w:val="single" w:sz="4" w:space="0" w:color="auto"/>
            </w:tcBorders>
          </w:tcPr>
          <w:p w:rsidR="00CA05B9" w:rsidRPr="00CA05B9" w:rsidRDefault="00CA05B9" w:rsidP="007E3D58"/>
        </w:tc>
        <w:tc>
          <w:tcPr>
            <w:tcW w:w="709" w:type="dxa"/>
            <w:tcBorders>
              <w:top w:val="single" w:sz="4" w:space="0" w:color="auto"/>
              <w:bottom w:val="single" w:sz="4" w:space="0" w:color="auto"/>
            </w:tcBorders>
          </w:tcPr>
          <w:p w:rsidR="00CA05B9" w:rsidRPr="00CA05B9" w:rsidRDefault="00CA05B9" w:rsidP="007E3D58">
            <w:pPr>
              <w:pStyle w:val="TableBodyText"/>
              <w:rPr>
                <w:i/>
              </w:rPr>
            </w:pPr>
            <w:r w:rsidRPr="00CA05B9">
              <w:rPr>
                <w:i/>
              </w:rPr>
              <w:t>NSW</w:t>
            </w:r>
          </w:p>
        </w:tc>
        <w:tc>
          <w:tcPr>
            <w:tcW w:w="708" w:type="dxa"/>
            <w:tcBorders>
              <w:top w:val="single" w:sz="4" w:space="0" w:color="auto"/>
              <w:bottom w:val="single" w:sz="4" w:space="0" w:color="auto"/>
            </w:tcBorders>
          </w:tcPr>
          <w:p w:rsidR="00CA05B9" w:rsidRPr="00CA05B9" w:rsidRDefault="00CA05B9" w:rsidP="007E3D58">
            <w:pPr>
              <w:pStyle w:val="TableBodyText"/>
              <w:rPr>
                <w:i/>
              </w:rPr>
            </w:pPr>
            <w:r w:rsidRPr="00CA05B9">
              <w:rPr>
                <w:i/>
              </w:rPr>
              <w:t>Vic</w:t>
            </w:r>
          </w:p>
        </w:tc>
        <w:tc>
          <w:tcPr>
            <w:tcW w:w="709" w:type="dxa"/>
            <w:tcBorders>
              <w:top w:val="single" w:sz="4" w:space="0" w:color="auto"/>
              <w:bottom w:val="single" w:sz="4" w:space="0" w:color="auto"/>
            </w:tcBorders>
          </w:tcPr>
          <w:p w:rsidR="00CA05B9" w:rsidRPr="00CA05B9" w:rsidRDefault="00CA05B9" w:rsidP="007E3D58">
            <w:pPr>
              <w:pStyle w:val="TableBodyText"/>
              <w:rPr>
                <w:i/>
              </w:rPr>
            </w:pPr>
            <w:r w:rsidRPr="00CA05B9">
              <w:rPr>
                <w:i/>
              </w:rPr>
              <w:t>Qld</w:t>
            </w:r>
          </w:p>
        </w:tc>
        <w:tc>
          <w:tcPr>
            <w:tcW w:w="709" w:type="dxa"/>
            <w:tcBorders>
              <w:top w:val="single" w:sz="4" w:space="0" w:color="auto"/>
              <w:bottom w:val="single" w:sz="4" w:space="0" w:color="auto"/>
            </w:tcBorders>
          </w:tcPr>
          <w:p w:rsidR="00CA05B9" w:rsidRPr="00CA05B9" w:rsidRDefault="00CA05B9" w:rsidP="007E3D58">
            <w:pPr>
              <w:pStyle w:val="TableBodyText"/>
              <w:rPr>
                <w:i/>
              </w:rPr>
            </w:pPr>
            <w:r w:rsidRPr="00CA05B9">
              <w:rPr>
                <w:i/>
              </w:rPr>
              <w:t>WA</w:t>
            </w:r>
          </w:p>
        </w:tc>
        <w:tc>
          <w:tcPr>
            <w:tcW w:w="709" w:type="dxa"/>
            <w:tcBorders>
              <w:top w:val="single" w:sz="4" w:space="0" w:color="auto"/>
              <w:bottom w:val="single" w:sz="4" w:space="0" w:color="auto"/>
            </w:tcBorders>
          </w:tcPr>
          <w:p w:rsidR="00CA05B9" w:rsidRPr="00CA05B9" w:rsidRDefault="00CA05B9" w:rsidP="007E3D58">
            <w:pPr>
              <w:pStyle w:val="TableBodyText"/>
              <w:rPr>
                <w:i/>
              </w:rPr>
            </w:pPr>
            <w:r w:rsidRPr="00CA05B9">
              <w:rPr>
                <w:i/>
              </w:rPr>
              <w:t>SA</w:t>
            </w:r>
          </w:p>
        </w:tc>
        <w:tc>
          <w:tcPr>
            <w:tcW w:w="708" w:type="dxa"/>
            <w:tcBorders>
              <w:top w:val="single" w:sz="4" w:space="0" w:color="auto"/>
              <w:bottom w:val="single" w:sz="4" w:space="0" w:color="auto"/>
            </w:tcBorders>
          </w:tcPr>
          <w:p w:rsidR="00CA05B9" w:rsidRPr="00CA05B9" w:rsidRDefault="00CA05B9" w:rsidP="007E3D58">
            <w:pPr>
              <w:pStyle w:val="TableBodyText"/>
              <w:rPr>
                <w:i/>
              </w:rPr>
            </w:pPr>
            <w:proofErr w:type="spellStart"/>
            <w:r w:rsidRPr="00CA05B9">
              <w:rPr>
                <w:i/>
              </w:rPr>
              <w:t>Tas</w:t>
            </w:r>
            <w:proofErr w:type="spellEnd"/>
          </w:p>
        </w:tc>
        <w:tc>
          <w:tcPr>
            <w:tcW w:w="567" w:type="dxa"/>
            <w:tcBorders>
              <w:top w:val="single" w:sz="4" w:space="0" w:color="auto"/>
              <w:bottom w:val="single" w:sz="4" w:space="0" w:color="auto"/>
            </w:tcBorders>
          </w:tcPr>
          <w:p w:rsidR="00CA05B9" w:rsidRPr="00CA05B9" w:rsidRDefault="00CA05B9" w:rsidP="007E3D58">
            <w:pPr>
              <w:pStyle w:val="TableBodyText"/>
              <w:rPr>
                <w:i/>
              </w:rPr>
            </w:pPr>
            <w:r w:rsidRPr="00CA05B9">
              <w:rPr>
                <w:i/>
              </w:rPr>
              <w:t>ACT</w:t>
            </w:r>
          </w:p>
        </w:tc>
        <w:tc>
          <w:tcPr>
            <w:tcW w:w="709" w:type="dxa"/>
            <w:tcBorders>
              <w:top w:val="single" w:sz="4" w:space="0" w:color="auto"/>
              <w:bottom w:val="single" w:sz="4" w:space="0" w:color="auto"/>
            </w:tcBorders>
          </w:tcPr>
          <w:p w:rsidR="00CA05B9" w:rsidRPr="00CA05B9" w:rsidRDefault="00CA05B9" w:rsidP="007E3D58">
            <w:pPr>
              <w:pStyle w:val="TableBodyText"/>
              <w:rPr>
                <w:i/>
              </w:rPr>
            </w:pPr>
            <w:r w:rsidRPr="00CA05B9">
              <w:rPr>
                <w:i/>
              </w:rPr>
              <w:t>NT</w:t>
            </w:r>
          </w:p>
        </w:tc>
        <w:tc>
          <w:tcPr>
            <w:tcW w:w="714" w:type="dxa"/>
            <w:tcBorders>
              <w:top w:val="single" w:sz="4" w:space="0" w:color="auto"/>
              <w:bottom w:val="single" w:sz="4" w:space="0" w:color="auto"/>
              <w:right w:val="nil"/>
            </w:tcBorders>
          </w:tcPr>
          <w:p w:rsidR="00CA05B9" w:rsidRPr="00CA05B9" w:rsidRDefault="00CA05B9" w:rsidP="007E3D58">
            <w:pPr>
              <w:pStyle w:val="TableBodyText"/>
              <w:rPr>
                <w:i/>
              </w:rPr>
            </w:pPr>
            <w:proofErr w:type="spellStart"/>
            <w:r w:rsidRPr="00CA05B9">
              <w:rPr>
                <w:i/>
              </w:rPr>
              <w:t>Aust</w:t>
            </w:r>
            <w:proofErr w:type="spellEnd"/>
          </w:p>
        </w:tc>
      </w:tr>
      <w:tr w:rsidR="00CA05B9" w:rsidRPr="00CA05B9" w:rsidTr="007E3D58">
        <w:trPr>
          <w:trHeight w:val="270"/>
        </w:trPr>
        <w:tc>
          <w:tcPr>
            <w:tcW w:w="2552" w:type="dxa"/>
            <w:tcBorders>
              <w:left w:val="nil"/>
              <w:bottom w:val="nil"/>
            </w:tcBorders>
          </w:tcPr>
          <w:p w:rsidR="00CA05B9" w:rsidRPr="00CA05B9" w:rsidRDefault="00CA05B9" w:rsidP="007E3D58">
            <w:pPr>
              <w:pStyle w:val="TableBodyText"/>
              <w:spacing w:before="120"/>
              <w:jc w:val="left"/>
            </w:pPr>
            <w:r w:rsidRPr="00CA05B9">
              <w:t>In specialist homelessness services</w:t>
            </w:r>
          </w:p>
        </w:tc>
        <w:tc>
          <w:tcPr>
            <w:tcW w:w="709" w:type="dxa"/>
            <w:tcBorders>
              <w:bottom w:val="nil"/>
            </w:tcBorders>
            <w:vAlign w:val="center"/>
          </w:tcPr>
          <w:p w:rsidR="00CA05B9" w:rsidRPr="00CA05B9" w:rsidRDefault="00CA05B9" w:rsidP="007E3D58">
            <w:pPr>
              <w:jc w:val="right"/>
              <w:rPr>
                <w:rFonts w:ascii="Arial" w:hAnsi="Arial" w:cs="Arial"/>
                <w:sz w:val="20"/>
                <w:szCs w:val="20"/>
              </w:rPr>
            </w:pPr>
            <w:r w:rsidRPr="00CA05B9">
              <w:rPr>
                <w:rFonts w:ascii="Arial" w:hAnsi="Arial" w:cs="Arial"/>
                <w:sz w:val="20"/>
                <w:szCs w:val="20"/>
              </w:rPr>
              <w:t>24.6</w:t>
            </w:r>
          </w:p>
        </w:tc>
        <w:tc>
          <w:tcPr>
            <w:tcW w:w="708" w:type="dxa"/>
            <w:tcBorders>
              <w:bottom w:val="nil"/>
            </w:tcBorders>
            <w:vAlign w:val="center"/>
          </w:tcPr>
          <w:p w:rsidR="00CA05B9" w:rsidRPr="00CA05B9" w:rsidRDefault="00CA05B9" w:rsidP="007E3D58">
            <w:pPr>
              <w:jc w:val="right"/>
              <w:rPr>
                <w:rFonts w:ascii="Arial" w:hAnsi="Arial" w:cs="Arial"/>
                <w:sz w:val="20"/>
                <w:szCs w:val="20"/>
              </w:rPr>
            </w:pPr>
            <w:r w:rsidRPr="00CA05B9">
              <w:rPr>
                <w:rFonts w:ascii="Arial" w:hAnsi="Arial" w:cs="Arial"/>
                <w:sz w:val="20"/>
                <w:szCs w:val="20"/>
              </w:rPr>
              <w:t>8.9</w:t>
            </w:r>
          </w:p>
        </w:tc>
        <w:tc>
          <w:tcPr>
            <w:tcW w:w="709" w:type="dxa"/>
            <w:tcBorders>
              <w:bottom w:val="nil"/>
            </w:tcBorders>
            <w:vAlign w:val="center"/>
          </w:tcPr>
          <w:p w:rsidR="00CA05B9" w:rsidRPr="00CA05B9" w:rsidRDefault="00CA05B9" w:rsidP="007E3D58">
            <w:pPr>
              <w:jc w:val="right"/>
              <w:rPr>
                <w:rFonts w:ascii="Arial" w:hAnsi="Arial" w:cs="Arial"/>
                <w:sz w:val="20"/>
                <w:szCs w:val="20"/>
              </w:rPr>
            </w:pPr>
            <w:r w:rsidRPr="00CA05B9">
              <w:rPr>
                <w:rFonts w:ascii="Arial" w:hAnsi="Arial" w:cs="Arial"/>
                <w:sz w:val="20"/>
                <w:szCs w:val="20"/>
              </w:rPr>
              <w:t>32.5</w:t>
            </w:r>
          </w:p>
        </w:tc>
        <w:tc>
          <w:tcPr>
            <w:tcW w:w="709" w:type="dxa"/>
            <w:tcBorders>
              <w:bottom w:val="nil"/>
            </w:tcBorders>
            <w:vAlign w:val="center"/>
          </w:tcPr>
          <w:p w:rsidR="00CA05B9" w:rsidRPr="00CA05B9" w:rsidRDefault="00CA05B9" w:rsidP="007E3D58">
            <w:pPr>
              <w:jc w:val="right"/>
              <w:rPr>
                <w:rFonts w:ascii="Arial" w:hAnsi="Arial" w:cs="Arial"/>
                <w:sz w:val="20"/>
                <w:szCs w:val="20"/>
              </w:rPr>
            </w:pPr>
            <w:r w:rsidRPr="00CA05B9">
              <w:rPr>
                <w:rFonts w:ascii="Arial" w:hAnsi="Arial" w:cs="Arial"/>
                <w:sz w:val="20"/>
                <w:szCs w:val="20"/>
              </w:rPr>
              <w:t>35.1</w:t>
            </w:r>
          </w:p>
        </w:tc>
        <w:tc>
          <w:tcPr>
            <w:tcW w:w="709" w:type="dxa"/>
            <w:tcBorders>
              <w:bottom w:val="nil"/>
            </w:tcBorders>
            <w:vAlign w:val="center"/>
          </w:tcPr>
          <w:p w:rsidR="00CA05B9" w:rsidRPr="00CA05B9" w:rsidRDefault="00CA05B9" w:rsidP="007E3D58">
            <w:pPr>
              <w:jc w:val="right"/>
              <w:rPr>
                <w:rFonts w:ascii="Arial" w:hAnsi="Arial" w:cs="Arial"/>
                <w:sz w:val="20"/>
                <w:szCs w:val="20"/>
              </w:rPr>
            </w:pPr>
            <w:r w:rsidRPr="00CA05B9">
              <w:rPr>
                <w:rFonts w:ascii="Arial" w:hAnsi="Arial" w:cs="Arial"/>
                <w:sz w:val="20"/>
                <w:szCs w:val="20"/>
              </w:rPr>
              <w:t>24.3</w:t>
            </w:r>
          </w:p>
        </w:tc>
        <w:tc>
          <w:tcPr>
            <w:tcW w:w="708" w:type="dxa"/>
            <w:tcBorders>
              <w:bottom w:val="nil"/>
            </w:tcBorders>
            <w:vAlign w:val="center"/>
          </w:tcPr>
          <w:p w:rsidR="00CA05B9" w:rsidRPr="00CA05B9" w:rsidRDefault="00CA05B9" w:rsidP="007E3D58">
            <w:pPr>
              <w:jc w:val="right"/>
              <w:rPr>
                <w:rFonts w:ascii="Arial" w:hAnsi="Arial" w:cs="Arial"/>
                <w:sz w:val="20"/>
                <w:szCs w:val="20"/>
              </w:rPr>
            </w:pPr>
            <w:r w:rsidRPr="00CA05B9">
              <w:rPr>
                <w:rFonts w:ascii="Arial" w:hAnsi="Arial" w:cs="Arial"/>
                <w:sz w:val="20"/>
                <w:szCs w:val="20"/>
              </w:rPr>
              <w:t>15.7</w:t>
            </w:r>
          </w:p>
        </w:tc>
        <w:tc>
          <w:tcPr>
            <w:tcW w:w="567" w:type="dxa"/>
            <w:tcBorders>
              <w:bottom w:val="nil"/>
            </w:tcBorders>
            <w:vAlign w:val="center"/>
          </w:tcPr>
          <w:p w:rsidR="00CA05B9" w:rsidRPr="00CA05B9" w:rsidRDefault="00CA05B9" w:rsidP="007E3D58">
            <w:pPr>
              <w:jc w:val="right"/>
              <w:rPr>
                <w:rFonts w:ascii="Arial" w:hAnsi="Arial" w:cs="Arial"/>
                <w:sz w:val="20"/>
                <w:szCs w:val="20"/>
              </w:rPr>
            </w:pPr>
            <w:r w:rsidRPr="00CA05B9">
              <w:rPr>
                <w:rFonts w:ascii="Arial" w:hAnsi="Arial" w:cs="Arial"/>
                <w:sz w:val="20"/>
                <w:szCs w:val="20"/>
              </w:rPr>
              <w:t>15.9</w:t>
            </w:r>
          </w:p>
        </w:tc>
        <w:tc>
          <w:tcPr>
            <w:tcW w:w="709" w:type="dxa"/>
            <w:tcBorders>
              <w:bottom w:val="nil"/>
            </w:tcBorders>
            <w:vAlign w:val="center"/>
          </w:tcPr>
          <w:p w:rsidR="00CA05B9" w:rsidRPr="00CA05B9" w:rsidRDefault="00CA05B9" w:rsidP="007E3D58">
            <w:pPr>
              <w:jc w:val="right"/>
              <w:rPr>
                <w:rFonts w:ascii="Arial" w:hAnsi="Arial" w:cs="Arial"/>
                <w:sz w:val="20"/>
                <w:szCs w:val="20"/>
              </w:rPr>
            </w:pPr>
            <w:r w:rsidRPr="00CA05B9">
              <w:rPr>
                <w:rFonts w:ascii="Arial" w:hAnsi="Arial" w:cs="Arial"/>
                <w:sz w:val="20"/>
                <w:szCs w:val="20"/>
              </w:rPr>
              <w:t>76.0</w:t>
            </w:r>
          </w:p>
        </w:tc>
        <w:tc>
          <w:tcPr>
            <w:tcW w:w="714" w:type="dxa"/>
            <w:tcBorders>
              <w:bottom w:val="nil"/>
              <w:right w:val="nil"/>
            </w:tcBorders>
            <w:shd w:val="clear" w:color="auto" w:fill="auto"/>
            <w:vAlign w:val="center"/>
          </w:tcPr>
          <w:p w:rsidR="00CA05B9" w:rsidRPr="00CA05B9" w:rsidRDefault="00CA05B9" w:rsidP="007E3D58">
            <w:pPr>
              <w:jc w:val="right"/>
              <w:rPr>
                <w:rFonts w:ascii="Arial" w:hAnsi="Arial" w:cs="Arial"/>
                <w:sz w:val="20"/>
                <w:szCs w:val="20"/>
              </w:rPr>
            </w:pPr>
            <w:r w:rsidRPr="00CA05B9">
              <w:rPr>
                <w:rFonts w:ascii="Arial" w:hAnsi="Arial" w:cs="Arial"/>
                <w:sz w:val="20"/>
                <w:szCs w:val="20"/>
              </w:rPr>
              <w:t>22.5</w:t>
            </w:r>
          </w:p>
        </w:tc>
      </w:tr>
      <w:tr w:rsidR="00CA05B9" w:rsidRPr="00CA05B9" w:rsidTr="007E3D58">
        <w:trPr>
          <w:trHeight w:val="270"/>
        </w:trPr>
        <w:tc>
          <w:tcPr>
            <w:tcW w:w="2552" w:type="dxa"/>
            <w:tcBorders>
              <w:left w:val="nil"/>
              <w:bottom w:val="single" w:sz="4" w:space="0" w:color="auto"/>
            </w:tcBorders>
          </w:tcPr>
          <w:p w:rsidR="00CA05B9" w:rsidRPr="00CA05B9" w:rsidRDefault="00CA05B9" w:rsidP="007E3D58">
            <w:pPr>
              <w:pStyle w:val="TableBodyText"/>
              <w:jc w:val="left"/>
            </w:pPr>
            <w:r w:rsidRPr="00CA05B9">
              <w:t>In the population, 2011</w:t>
            </w:r>
          </w:p>
        </w:tc>
        <w:tc>
          <w:tcPr>
            <w:tcW w:w="709" w:type="dxa"/>
            <w:tcBorders>
              <w:bottom w:val="single" w:sz="4" w:space="0" w:color="auto"/>
            </w:tcBorders>
            <w:vAlign w:val="center"/>
          </w:tcPr>
          <w:p w:rsidR="00CA05B9" w:rsidRPr="00CA05B9" w:rsidRDefault="00CA05B9" w:rsidP="007E3D58">
            <w:pPr>
              <w:jc w:val="right"/>
              <w:rPr>
                <w:rFonts w:ascii="Arial" w:hAnsi="Arial" w:cs="Arial"/>
                <w:sz w:val="20"/>
                <w:szCs w:val="20"/>
              </w:rPr>
            </w:pPr>
            <w:r w:rsidRPr="00CA05B9">
              <w:rPr>
                <w:rFonts w:ascii="Arial" w:hAnsi="Arial" w:cs="Arial"/>
                <w:sz w:val="20"/>
                <w:szCs w:val="20"/>
              </w:rPr>
              <w:t>2.9</w:t>
            </w:r>
          </w:p>
        </w:tc>
        <w:tc>
          <w:tcPr>
            <w:tcW w:w="708" w:type="dxa"/>
            <w:tcBorders>
              <w:bottom w:val="single" w:sz="4" w:space="0" w:color="auto"/>
            </w:tcBorders>
            <w:vAlign w:val="center"/>
          </w:tcPr>
          <w:p w:rsidR="00CA05B9" w:rsidRPr="00CA05B9" w:rsidRDefault="00CA05B9" w:rsidP="007E3D58">
            <w:pPr>
              <w:jc w:val="right"/>
              <w:rPr>
                <w:rFonts w:ascii="Arial" w:hAnsi="Arial" w:cs="Arial"/>
                <w:sz w:val="20"/>
                <w:szCs w:val="20"/>
              </w:rPr>
            </w:pPr>
            <w:r w:rsidRPr="00CA05B9">
              <w:rPr>
                <w:rFonts w:ascii="Arial" w:hAnsi="Arial" w:cs="Arial"/>
                <w:sz w:val="20"/>
                <w:szCs w:val="20"/>
              </w:rPr>
              <w:t>0.9</w:t>
            </w:r>
          </w:p>
        </w:tc>
        <w:tc>
          <w:tcPr>
            <w:tcW w:w="709" w:type="dxa"/>
            <w:tcBorders>
              <w:bottom w:val="single" w:sz="4" w:space="0" w:color="auto"/>
            </w:tcBorders>
            <w:vAlign w:val="center"/>
          </w:tcPr>
          <w:p w:rsidR="00CA05B9" w:rsidRPr="00CA05B9" w:rsidRDefault="00CA05B9" w:rsidP="007E3D58">
            <w:pPr>
              <w:jc w:val="right"/>
              <w:rPr>
                <w:rFonts w:ascii="Arial" w:hAnsi="Arial" w:cs="Arial"/>
                <w:sz w:val="20"/>
                <w:szCs w:val="20"/>
              </w:rPr>
            </w:pPr>
            <w:r w:rsidRPr="00CA05B9">
              <w:rPr>
                <w:rFonts w:ascii="Arial" w:hAnsi="Arial" w:cs="Arial"/>
                <w:sz w:val="20"/>
                <w:szCs w:val="20"/>
              </w:rPr>
              <w:t>4.2</w:t>
            </w:r>
          </w:p>
        </w:tc>
        <w:tc>
          <w:tcPr>
            <w:tcW w:w="709" w:type="dxa"/>
            <w:tcBorders>
              <w:bottom w:val="single" w:sz="4" w:space="0" w:color="auto"/>
            </w:tcBorders>
            <w:vAlign w:val="center"/>
          </w:tcPr>
          <w:p w:rsidR="00CA05B9" w:rsidRPr="00CA05B9" w:rsidRDefault="00CA05B9" w:rsidP="007E3D58">
            <w:pPr>
              <w:jc w:val="right"/>
              <w:rPr>
                <w:rFonts w:ascii="Arial" w:hAnsi="Arial" w:cs="Arial"/>
                <w:sz w:val="20"/>
                <w:szCs w:val="20"/>
              </w:rPr>
            </w:pPr>
            <w:r w:rsidRPr="00CA05B9">
              <w:rPr>
                <w:rFonts w:ascii="Arial" w:hAnsi="Arial" w:cs="Arial"/>
                <w:sz w:val="20"/>
                <w:szCs w:val="20"/>
              </w:rPr>
              <w:t>3.8</w:t>
            </w:r>
          </w:p>
        </w:tc>
        <w:tc>
          <w:tcPr>
            <w:tcW w:w="709" w:type="dxa"/>
            <w:tcBorders>
              <w:bottom w:val="single" w:sz="4" w:space="0" w:color="auto"/>
            </w:tcBorders>
            <w:vAlign w:val="center"/>
          </w:tcPr>
          <w:p w:rsidR="00CA05B9" w:rsidRPr="00CA05B9" w:rsidRDefault="00CA05B9" w:rsidP="007E3D58">
            <w:pPr>
              <w:jc w:val="right"/>
              <w:rPr>
                <w:rFonts w:ascii="Arial" w:hAnsi="Arial" w:cs="Arial"/>
                <w:sz w:val="20"/>
                <w:szCs w:val="20"/>
              </w:rPr>
            </w:pPr>
            <w:r w:rsidRPr="00CA05B9">
              <w:rPr>
                <w:rFonts w:ascii="Arial" w:hAnsi="Arial" w:cs="Arial"/>
                <w:sz w:val="20"/>
                <w:szCs w:val="20"/>
              </w:rPr>
              <w:t>2.3</w:t>
            </w:r>
          </w:p>
        </w:tc>
        <w:tc>
          <w:tcPr>
            <w:tcW w:w="708" w:type="dxa"/>
            <w:tcBorders>
              <w:bottom w:val="single" w:sz="4" w:space="0" w:color="auto"/>
            </w:tcBorders>
            <w:vAlign w:val="center"/>
          </w:tcPr>
          <w:p w:rsidR="00CA05B9" w:rsidRPr="00CA05B9" w:rsidRDefault="00CA05B9" w:rsidP="007E3D58">
            <w:pPr>
              <w:jc w:val="right"/>
              <w:rPr>
                <w:rFonts w:ascii="Arial" w:hAnsi="Arial" w:cs="Arial"/>
                <w:sz w:val="20"/>
                <w:szCs w:val="20"/>
              </w:rPr>
            </w:pPr>
            <w:r w:rsidRPr="00CA05B9">
              <w:rPr>
                <w:rFonts w:ascii="Arial" w:hAnsi="Arial" w:cs="Arial"/>
                <w:sz w:val="20"/>
                <w:szCs w:val="20"/>
              </w:rPr>
              <w:t>4.7</w:t>
            </w:r>
          </w:p>
        </w:tc>
        <w:tc>
          <w:tcPr>
            <w:tcW w:w="567" w:type="dxa"/>
            <w:tcBorders>
              <w:bottom w:val="single" w:sz="4" w:space="0" w:color="auto"/>
            </w:tcBorders>
            <w:vAlign w:val="center"/>
          </w:tcPr>
          <w:p w:rsidR="00CA05B9" w:rsidRPr="00CA05B9" w:rsidRDefault="00CA05B9" w:rsidP="007E3D58">
            <w:pPr>
              <w:jc w:val="right"/>
              <w:rPr>
                <w:rFonts w:ascii="Arial" w:hAnsi="Arial" w:cs="Arial"/>
                <w:sz w:val="20"/>
                <w:szCs w:val="20"/>
              </w:rPr>
            </w:pPr>
            <w:r w:rsidRPr="00CA05B9">
              <w:rPr>
                <w:rFonts w:ascii="Arial" w:hAnsi="Arial" w:cs="Arial"/>
                <w:sz w:val="20"/>
                <w:szCs w:val="20"/>
              </w:rPr>
              <w:t>1.7</w:t>
            </w:r>
          </w:p>
        </w:tc>
        <w:tc>
          <w:tcPr>
            <w:tcW w:w="709" w:type="dxa"/>
            <w:tcBorders>
              <w:bottom w:val="single" w:sz="4" w:space="0" w:color="auto"/>
            </w:tcBorders>
            <w:vAlign w:val="center"/>
          </w:tcPr>
          <w:p w:rsidR="00CA05B9" w:rsidRPr="00CA05B9" w:rsidRDefault="00CA05B9" w:rsidP="007E3D58">
            <w:pPr>
              <w:jc w:val="right"/>
              <w:rPr>
                <w:rFonts w:ascii="Arial" w:hAnsi="Arial" w:cs="Arial"/>
                <w:sz w:val="20"/>
                <w:szCs w:val="20"/>
              </w:rPr>
            </w:pPr>
            <w:r w:rsidRPr="00CA05B9">
              <w:rPr>
                <w:rFonts w:ascii="Arial" w:hAnsi="Arial" w:cs="Arial"/>
                <w:sz w:val="20"/>
                <w:szCs w:val="20"/>
              </w:rPr>
              <w:t>29.8</w:t>
            </w:r>
          </w:p>
        </w:tc>
        <w:tc>
          <w:tcPr>
            <w:tcW w:w="714" w:type="dxa"/>
            <w:tcBorders>
              <w:bottom w:val="single" w:sz="4" w:space="0" w:color="auto"/>
              <w:right w:val="nil"/>
            </w:tcBorders>
            <w:shd w:val="clear" w:color="auto" w:fill="auto"/>
            <w:vAlign w:val="center"/>
          </w:tcPr>
          <w:p w:rsidR="00CA05B9" w:rsidRPr="00CA05B9" w:rsidRDefault="00CA05B9" w:rsidP="007E3D58">
            <w:pPr>
              <w:jc w:val="right"/>
              <w:rPr>
                <w:rFonts w:ascii="Arial" w:hAnsi="Arial" w:cs="Arial"/>
                <w:sz w:val="20"/>
                <w:szCs w:val="20"/>
              </w:rPr>
            </w:pPr>
            <w:r w:rsidRPr="00CA05B9">
              <w:rPr>
                <w:rFonts w:ascii="Arial" w:hAnsi="Arial" w:cs="Arial"/>
                <w:sz w:val="20"/>
                <w:szCs w:val="20"/>
              </w:rPr>
              <w:t>3.0</w:t>
            </w:r>
          </w:p>
        </w:tc>
      </w:tr>
    </w:tbl>
    <w:p w:rsidR="00CA05B9" w:rsidRPr="00421C75" w:rsidRDefault="00CA05B9" w:rsidP="00CA05B9">
      <w:pPr>
        <w:pStyle w:val="Source"/>
        <w:rPr>
          <w:color w:val="000000" w:themeColor="text1"/>
        </w:rPr>
      </w:pPr>
      <w:r w:rsidRPr="00CA05B9">
        <w:rPr>
          <w:i/>
          <w:color w:val="000000" w:themeColor="text1"/>
        </w:rPr>
        <w:t>Source</w:t>
      </w:r>
      <w:r w:rsidRPr="00CA05B9">
        <w:rPr>
          <w:color w:val="000000" w:themeColor="text1"/>
        </w:rPr>
        <w:t xml:space="preserve">: ABS (Australian Bureau of Statistics) 2013, </w:t>
      </w:r>
      <w:r w:rsidRPr="00CA05B9">
        <w:rPr>
          <w:i/>
          <w:color w:val="000000" w:themeColor="text1"/>
        </w:rPr>
        <w:t>Australian Demographic Statistics, March 2013</w:t>
      </w:r>
      <w:r w:rsidRPr="00CA05B9">
        <w:rPr>
          <w:color w:val="000000" w:themeColor="text1"/>
        </w:rPr>
        <w:t xml:space="preserve">, Cat. </w:t>
      </w:r>
      <w:r w:rsidR="006504B2">
        <w:rPr>
          <w:color w:val="000000" w:themeColor="text1"/>
        </w:rPr>
        <w:br/>
      </w:r>
      <w:r w:rsidRPr="00CA05B9">
        <w:rPr>
          <w:color w:val="000000" w:themeColor="text1"/>
        </w:rPr>
        <w:t xml:space="preserve">no. 3101.0, Canberra; </w:t>
      </w:r>
      <w:proofErr w:type="spellStart"/>
      <w:r w:rsidRPr="00CA05B9">
        <w:rPr>
          <w:color w:val="000000" w:themeColor="text1"/>
        </w:rPr>
        <w:t>AIHW</w:t>
      </w:r>
      <w:proofErr w:type="spellEnd"/>
      <w:r w:rsidRPr="00CA05B9">
        <w:rPr>
          <w:color w:val="000000" w:themeColor="text1"/>
        </w:rPr>
        <w:t xml:space="preserve"> (unpublished) </w:t>
      </w:r>
      <w:r w:rsidRPr="00CA05B9">
        <w:rPr>
          <w:i/>
          <w:color w:val="000000" w:themeColor="text1"/>
        </w:rPr>
        <w:t>Specialist Homelessness Services Collection: National Data Collection annual report</w:t>
      </w:r>
      <w:r w:rsidRPr="00CA05B9">
        <w:rPr>
          <w:color w:val="000000" w:themeColor="text1"/>
        </w:rPr>
        <w:t xml:space="preserve">, Australia; table </w:t>
      </w:r>
      <w:proofErr w:type="spellStart"/>
      <w:r w:rsidRPr="00CA05B9">
        <w:rPr>
          <w:color w:val="000000" w:themeColor="text1"/>
        </w:rPr>
        <w:t>18A.7</w:t>
      </w:r>
      <w:proofErr w:type="spellEnd"/>
      <w:r w:rsidRPr="00CA05B9">
        <w:t>; 2014 Report, table 18.1, p. 18.13.</w:t>
      </w:r>
    </w:p>
    <w:p w:rsidR="00CA05B9" w:rsidRPr="009E5CE0" w:rsidRDefault="00CA05B9" w:rsidP="00CA05B9">
      <w:pPr>
        <w:pStyle w:val="Heading4"/>
        <w:rPr>
          <w:color w:val="000000" w:themeColor="text1"/>
        </w:rPr>
      </w:pPr>
      <w:bookmarkStart w:id="31" w:name="_Toc384648012"/>
      <w:r w:rsidRPr="009E5CE0">
        <w:rPr>
          <w:color w:val="000000" w:themeColor="text1"/>
        </w:rPr>
        <w:t>Effectiveness</w:t>
      </w:r>
      <w:r>
        <w:rPr>
          <w:color w:val="000000" w:themeColor="text1"/>
        </w:rPr>
        <w:t xml:space="preserve"> — </w:t>
      </w:r>
      <w:r w:rsidRPr="009E5CE0">
        <w:rPr>
          <w:color w:val="000000" w:themeColor="text1"/>
        </w:rPr>
        <w:t>appropriateness</w:t>
      </w:r>
      <w:bookmarkEnd w:id="31"/>
    </w:p>
    <w:p w:rsidR="00CA05B9" w:rsidRPr="00C9238F" w:rsidRDefault="00CA05B9" w:rsidP="00C9238F">
      <w:pPr>
        <w:pStyle w:val="BodyText"/>
        <w:rPr>
          <w:color w:val="000000" w:themeColor="text1"/>
        </w:rPr>
      </w:pPr>
      <w:r w:rsidRPr="009E5CE0">
        <w:rPr>
          <w:color w:val="000000" w:themeColor="text1"/>
        </w:rPr>
        <w:t>Effectiveness indicators measure how well the outputs of a service reflect the stated objectives of that service. The reporting framework groups effectiveness indicators according to characteristics that are considered important to the service. These characteristics may include access, appropriateness and/or quality.</w:t>
      </w:r>
    </w:p>
    <w:p w:rsidR="00CA05B9" w:rsidRDefault="00CA05B9" w:rsidP="00CA05B9">
      <w:pPr>
        <w:pStyle w:val="Heading5"/>
      </w:pPr>
      <w:r w:rsidRPr="00D35242">
        <w:lastRenderedPageBreak/>
        <w:t>Development of a case management plan</w:t>
      </w:r>
    </w:p>
    <w:p w:rsidR="00CA05B9" w:rsidRPr="00CA05B9" w:rsidRDefault="00CA05B9" w:rsidP="00CA05B9">
      <w:pPr>
        <w:pStyle w:val="BodyText"/>
      </w:pPr>
      <w:r>
        <w:t>‘</w:t>
      </w:r>
      <w:r w:rsidRPr="00CA05B9">
        <w:t>Development of a case management plan’ is an indicator of governments’ objective to provide high quality services that are appropriately targeted to the needs of clients (box 18.3).</w:t>
      </w:r>
    </w:p>
    <w:p w:rsidR="00607851" w:rsidRPr="00CA05B9" w:rsidRDefault="00607851" w:rsidP="0060785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4697E" w:rsidRPr="00CA05B9" w:rsidTr="004F7258">
        <w:tc>
          <w:tcPr>
            <w:tcW w:w="8771" w:type="dxa"/>
            <w:tcBorders>
              <w:top w:val="single" w:sz="6" w:space="0" w:color="auto"/>
              <w:bottom w:val="nil"/>
            </w:tcBorders>
          </w:tcPr>
          <w:p w:rsidR="00F4697E" w:rsidRPr="00CA05B9" w:rsidRDefault="00F4697E" w:rsidP="00CA05B9">
            <w:pPr>
              <w:keepNext/>
              <w:keepLines/>
              <w:spacing w:before="120" w:line="280" w:lineRule="exact"/>
              <w:ind w:left="1304" w:hanging="1304"/>
              <w:rPr>
                <w:rFonts w:ascii="Arial" w:hAnsi="Arial"/>
                <w:b/>
              </w:rPr>
            </w:pPr>
            <w:r w:rsidRPr="00CA05B9">
              <w:rPr>
                <w:rFonts w:ascii="Arial" w:hAnsi="Arial"/>
              </w:rPr>
              <w:t xml:space="preserve">Box </w:t>
            </w:r>
            <w:r w:rsidR="000A3ED2" w:rsidRPr="00CA05B9">
              <w:rPr>
                <w:rFonts w:ascii="Arial" w:hAnsi="Arial"/>
                <w:sz w:val="24"/>
              </w:rPr>
              <w:t>1</w:t>
            </w:r>
            <w:r w:rsidR="00CA05B9" w:rsidRPr="00CA05B9">
              <w:rPr>
                <w:rFonts w:ascii="Arial" w:hAnsi="Arial"/>
                <w:sz w:val="24"/>
              </w:rPr>
              <w:t>8</w:t>
            </w:r>
            <w:r w:rsidR="000A3ED2" w:rsidRPr="00CA05B9">
              <w:rPr>
                <w:rFonts w:ascii="Arial" w:hAnsi="Arial"/>
                <w:sz w:val="24"/>
              </w:rPr>
              <w:t>.3</w:t>
            </w:r>
            <w:r w:rsidRPr="00CA05B9">
              <w:rPr>
                <w:rFonts w:ascii="Arial" w:hAnsi="Arial"/>
                <w:b/>
              </w:rPr>
              <w:tab/>
              <w:t>Development of a</w:t>
            </w:r>
            <w:r w:rsidR="00CA05B9" w:rsidRPr="00CA05B9">
              <w:rPr>
                <w:rFonts w:ascii="Arial" w:hAnsi="Arial"/>
                <w:b/>
              </w:rPr>
              <w:t xml:space="preserve"> case management plan</w:t>
            </w:r>
          </w:p>
        </w:tc>
      </w:tr>
      <w:tr w:rsidR="00F4697E" w:rsidRPr="004F7258" w:rsidTr="004F7258">
        <w:trPr>
          <w:cantSplit/>
          <w:trHeight w:val="456"/>
        </w:trPr>
        <w:tc>
          <w:tcPr>
            <w:tcW w:w="8771" w:type="dxa"/>
            <w:tcBorders>
              <w:top w:val="nil"/>
              <w:left w:val="single" w:sz="6" w:space="0" w:color="auto"/>
              <w:bottom w:val="nil"/>
              <w:right w:val="single" w:sz="6" w:space="0" w:color="auto"/>
            </w:tcBorders>
          </w:tcPr>
          <w:p w:rsidR="00C9238F" w:rsidRPr="009E5CE0" w:rsidRDefault="00C9238F" w:rsidP="00C9238F">
            <w:pPr>
              <w:pStyle w:val="Box"/>
              <w:rPr>
                <w:bCs/>
                <w:color w:val="000000" w:themeColor="text1"/>
              </w:rPr>
            </w:pPr>
            <w:r>
              <w:rPr>
                <w:bCs/>
                <w:color w:val="000000" w:themeColor="text1"/>
              </w:rPr>
              <w:t xml:space="preserve">‘Development of a case management plan’ is </w:t>
            </w:r>
            <w:r w:rsidRPr="009E5CE0">
              <w:rPr>
                <w:bCs/>
                <w:color w:val="000000" w:themeColor="text1"/>
              </w:rPr>
              <w:t xml:space="preserve">defined as the number of </w:t>
            </w:r>
            <w:r>
              <w:rPr>
                <w:bCs/>
                <w:color w:val="000000" w:themeColor="text1"/>
              </w:rPr>
              <w:t xml:space="preserve">clients with closed support periods only </w:t>
            </w:r>
            <w:r w:rsidRPr="009E5CE0">
              <w:rPr>
                <w:bCs/>
                <w:color w:val="000000" w:themeColor="text1"/>
              </w:rPr>
              <w:t xml:space="preserve">with an agreed case management plan divided by the total number of </w:t>
            </w:r>
            <w:r>
              <w:rPr>
                <w:bCs/>
                <w:color w:val="000000" w:themeColor="text1"/>
              </w:rPr>
              <w:t>clients</w:t>
            </w:r>
            <w:r w:rsidRPr="009E5CE0">
              <w:rPr>
                <w:bCs/>
                <w:color w:val="000000" w:themeColor="text1"/>
              </w:rPr>
              <w:t>. Data are reported for all clients, and separately for Indigenous clients.</w:t>
            </w:r>
          </w:p>
          <w:p w:rsidR="00C9238F" w:rsidRDefault="00C9238F" w:rsidP="00C9238F">
            <w:pPr>
              <w:pStyle w:val="Box"/>
              <w:rPr>
                <w:color w:val="000000" w:themeColor="text1"/>
              </w:rPr>
            </w:pPr>
            <w:r w:rsidRPr="009E5CE0">
              <w:rPr>
                <w:bCs/>
                <w:color w:val="000000" w:themeColor="text1"/>
              </w:rPr>
              <w:t xml:space="preserve">A high or increasing proportion of </w:t>
            </w:r>
            <w:r>
              <w:rPr>
                <w:bCs/>
                <w:color w:val="000000" w:themeColor="text1"/>
              </w:rPr>
              <w:t>clients</w:t>
            </w:r>
            <w:r w:rsidRPr="009E5CE0">
              <w:rPr>
                <w:bCs/>
                <w:color w:val="000000" w:themeColor="text1"/>
              </w:rPr>
              <w:t xml:space="preserve"> with agreed case management plans is desirable. However, in some instances, a support plan may be judged to be inappropriate (such as when a support period is short term</w:t>
            </w:r>
            <w:r>
              <w:rPr>
                <w:bCs/>
                <w:color w:val="000000" w:themeColor="text1"/>
              </w:rPr>
              <w:t>, for example 24 hours,</w:t>
            </w:r>
            <w:r w:rsidRPr="0075779E">
              <w:rPr>
                <w:rFonts w:cs="Arial"/>
                <w:color w:val="0000FF"/>
                <w:sz w:val="20"/>
              </w:rPr>
              <w:t xml:space="preserve"> </w:t>
            </w:r>
            <w:r w:rsidRPr="00000AAB">
              <w:rPr>
                <w:bCs/>
                <w:color w:val="000000" w:themeColor="text1"/>
              </w:rPr>
              <w:t>or in the case of jurisdictions with central intake agencies such as Victoria and the ACT, where the client’s needs have been assessed and they are waiting for a service to be available that will further address their needs).</w:t>
            </w:r>
          </w:p>
          <w:p w:rsidR="00C9238F" w:rsidRDefault="00C9238F" w:rsidP="00C9238F">
            <w:pPr>
              <w:pStyle w:val="Box"/>
              <w:rPr>
                <w:color w:val="000000" w:themeColor="text1"/>
              </w:rPr>
            </w:pPr>
            <w:r>
              <w:rPr>
                <w:color w:val="000000" w:themeColor="text1"/>
              </w:rPr>
              <w:t>Data reported for this indicator are:</w:t>
            </w:r>
          </w:p>
          <w:p w:rsidR="00C9238F" w:rsidRDefault="00C9238F" w:rsidP="00C9238F">
            <w:pPr>
              <w:pStyle w:val="BoxListBullet"/>
            </w:pPr>
            <w:r>
              <w:t>comparable (subject to caveats) across jurisdictions and over time</w:t>
            </w:r>
          </w:p>
          <w:p w:rsidR="00C9238F" w:rsidRPr="00DD3907" w:rsidRDefault="00C9238F" w:rsidP="00C9238F">
            <w:pPr>
              <w:pStyle w:val="BoxListBullet"/>
              <w:rPr>
                <w:bCs/>
                <w:color w:val="000000" w:themeColor="text1"/>
              </w:rPr>
            </w:pPr>
            <w:r w:rsidRPr="00DD3907">
              <w:t>complete for the current reporting period. All required (2012</w:t>
            </w:r>
            <w:r>
              <w:t>–</w:t>
            </w:r>
            <w:r w:rsidRPr="00DD3907">
              <w:t>13) data are available for all jurisdictions.</w:t>
            </w:r>
          </w:p>
          <w:p w:rsidR="00F4697E" w:rsidRPr="004F7258" w:rsidRDefault="00C9238F" w:rsidP="00C9238F">
            <w:pPr>
              <w:pStyle w:val="Box"/>
              <w:rPr>
                <w:bCs/>
                <w:color w:val="000000" w:themeColor="text1"/>
                <w:highlight w:val="yellow"/>
              </w:rPr>
            </w:pPr>
            <w:r w:rsidRPr="00C41228">
              <w:rPr>
                <w:rFonts w:cs="Arial"/>
                <w:szCs w:val="26"/>
              </w:rPr>
              <w:t>Data quality information for this indicator is under development</w:t>
            </w:r>
            <w:r>
              <w:rPr>
                <w:rFonts w:cs="Arial"/>
                <w:szCs w:val="26"/>
              </w:rPr>
              <w:t>.</w:t>
            </w:r>
          </w:p>
        </w:tc>
      </w:tr>
      <w:tr w:rsidR="00F4697E" w:rsidRPr="004F7258" w:rsidTr="004F7258">
        <w:trPr>
          <w:cantSplit/>
        </w:trPr>
        <w:tc>
          <w:tcPr>
            <w:tcW w:w="8771" w:type="dxa"/>
            <w:tcBorders>
              <w:top w:val="nil"/>
              <w:left w:val="single" w:sz="6" w:space="0" w:color="auto"/>
              <w:bottom w:val="single" w:sz="6" w:space="0" w:color="auto"/>
              <w:right w:val="single" w:sz="6" w:space="0" w:color="auto"/>
            </w:tcBorders>
          </w:tcPr>
          <w:p w:rsidR="00F4697E" w:rsidRPr="004F7258" w:rsidRDefault="00F4697E" w:rsidP="00F4697E">
            <w:pPr>
              <w:keepNext/>
              <w:spacing w:line="120" w:lineRule="exact"/>
              <w:jc w:val="both"/>
              <w:rPr>
                <w:rFonts w:ascii="Arial" w:hAnsi="Arial"/>
                <w:sz w:val="22"/>
                <w:szCs w:val="20"/>
                <w:highlight w:val="yellow"/>
              </w:rPr>
            </w:pPr>
          </w:p>
        </w:tc>
      </w:tr>
      <w:tr w:rsidR="00F4697E" w:rsidRPr="004F7258" w:rsidTr="004F7258">
        <w:tc>
          <w:tcPr>
            <w:tcW w:w="8771" w:type="dxa"/>
            <w:tcBorders>
              <w:top w:val="nil"/>
              <w:left w:val="nil"/>
              <w:bottom w:val="nil"/>
              <w:right w:val="nil"/>
            </w:tcBorders>
          </w:tcPr>
          <w:p w:rsidR="00F4697E" w:rsidRPr="004F7258" w:rsidRDefault="00F4697E" w:rsidP="00F4697E">
            <w:pPr>
              <w:spacing w:before="60" w:after="60" w:line="80" w:lineRule="exact"/>
              <w:jc w:val="both"/>
              <w:rPr>
                <w:rFonts w:ascii="Arial" w:hAnsi="Arial"/>
                <w:b/>
                <w:color w:val="FF00FF"/>
                <w:sz w:val="14"/>
                <w:szCs w:val="20"/>
                <w:highlight w:val="yellow"/>
              </w:rPr>
            </w:pPr>
          </w:p>
        </w:tc>
      </w:tr>
    </w:tbl>
    <w:p w:rsidR="00C9238F" w:rsidRDefault="00C9238F" w:rsidP="00C9238F">
      <w:pPr>
        <w:pStyle w:val="BodyText"/>
      </w:pPr>
      <w:r w:rsidRPr="004F17C9">
        <w:t xml:space="preserve">Nationally, there was an agreed </w:t>
      </w:r>
      <w:r>
        <w:t xml:space="preserve">case management plan </w:t>
      </w:r>
      <w:r w:rsidRPr="004F17C9">
        <w:t xml:space="preserve">for </w:t>
      </w:r>
      <w:r>
        <w:t xml:space="preserve">55.2 per </w:t>
      </w:r>
      <w:r w:rsidRPr="004F17C9">
        <w:t>cent of clients in 20</w:t>
      </w:r>
      <w:r>
        <w:t xml:space="preserve">12–13 </w:t>
      </w:r>
      <w:r w:rsidRPr="004F17C9">
        <w:t xml:space="preserve">(compared </w:t>
      </w:r>
      <w:r>
        <w:t>with 64</w:t>
      </w:r>
      <w:r w:rsidRPr="00536A6E">
        <w:rPr>
          <w:color w:val="000000" w:themeColor="text1"/>
        </w:rPr>
        <w:t>.0</w:t>
      </w:r>
      <w:r>
        <w:rPr>
          <w:color w:val="000000" w:themeColor="text1"/>
        </w:rPr>
        <w:t xml:space="preserve"> per </w:t>
      </w:r>
      <w:r w:rsidRPr="00536A6E">
        <w:rPr>
          <w:color w:val="000000" w:themeColor="text1"/>
        </w:rPr>
        <w:t xml:space="preserve">cent </w:t>
      </w:r>
      <w:r w:rsidRPr="004F17C9">
        <w:t>for Indigenous clients). These proportions varied across jurisdictions (</w:t>
      </w:r>
      <w:r>
        <w:t xml:space="preserve">2014 Report, </w:t>
      </w:r>
      <w:r w:rsidRPr="004F17C9">
        <w:t xml:space="preserve">figure </w:t>
      </w:r>
      <w:r>
        <w:t xml:space="preserve">18.6 and table </w:t>
      </w:r>
      <w:proofErr w:type="spellStart"/>
      <w:r>
        <w:t>18A.11</w:t>
      </w:r>
      <w:proofErr w:type="spellEnd"/>
      <w:r>
        <w:t xml:space="preserve"> and </w:t>
      </w:r>
      <w:r w:rsidR="006A7102">
        <w:br/>
      </w:r>
      <w:r>
        <w:t xml:space="preserve">2014 Report, table </w:t>
      </w:r>
      <w:proofErr w:type="spellStart"/>
      <w:r>
        <w:t>18A.10</w:t>
      </w:r>
      <w:proofErr w:type="spellEnd"/>
      <w:r>
        <w:t>).</w:t>
      </w:r>
    </w:p>
    <w:p w:rsidR="00F4697E" w:rsidRPr="00C9238F" w:rsidRDefault="00F4697E" w:rsidP="00F4697E">
      <w:pPr>
        <w:keepNext/>
        <w:spacing w:before="480" w:line="320" w:lineRule="exact"/>
        <w:outlineLvl w:val="3"/>
        <w:rPr>
          <w:rFonts w:ascii="Arial" w:hAnsi="Arial"/>
          <w:i/>
          <w:sz w:val="24"/>
          <w:szCs w:val="20"/>
        </w:rPr>
      </w:pPr>
      <w:bookmarkStart w:id="32" w:name="_Toc319588804"/>
      <w:bookmarkStart w:id="33" w:name="_Toc350860199"/>
      <w:bookmarkStart w:id="34" w:name="_Toc384648013"/>
      <w:r w:rsidRPr="00C9238F">
        <w:rPr>
          <w:rFonts w:ascii="Arial" w:hAnsi="Arial"/>
          <w:i/>
          <w:sz w:val="24"/>
          <w:szCs w:val="20"/>
        </w:rPr>
        <w:t>Match of needs of clients</w:t>
      </w:r>
      <w:bookmarkEnd w:id="32"/>
      <w:bookmarkEnd w:id="33"/>
      <w:bookmarkEnd w:id="34"/>
    </w:p>
    <w:p w:rsidR="00726442" w:rsidRPr="00C9238F" w:rsidRDefault="00726442" w:rsidP="00726442">
      <w:pPr>
        <w:pStyle w:val="BodyText"/>
      </w:pPr>
      <w:r w:rsidRPr="00C9238F">
        <w:t>‘Match of needs of clients’ is an indicator of governments’ objective to ensure that services meet clients’ individual needs (box 1</w:t>
      </w:r>
      <w:r w:rsidR="00C9238F" w:rsidRPr="00C9238F">
        <w:t>8</w:t>
      </w:r>
      <w:r w:rsidRPr="00C9238F">
        <w:t>.</w:t>
      </w:r>
      <w:r w:rsidR="0088640F" w:rsidRPr="00C9238F">
        <w:t>4</w:t>
      </w:r>
      <w:r w:rsidRPr="00C9238F">
        <w:t>).</w:t>
      </w:r>
    </w:p>
    <w:p w:rsidR="00726442" w:rsidRPr="004F7258" w:rsidRDefault="00726442" w:rsidP="00726442">
      <w:pPr>
        <w:pStyle w:val="BoxSpace"/>
        <w:rPr>
          <w:highlight w:val="yellow"/>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4697E" w:rsidRPr="004F7258" w:rsidTr="004F7258">
        <w:tc>
          <w:tcPr>
            <w:tcW w:w="8771" w:type="dxa"/>
            <w:tcBorders>
              <w:top w:val="single" w:sz="6" w:space="0" w:color="auto"/>
              <w:bottom w:val="nil"/>
            </w:tcBorders>
          </w:tcPr>
          <w:p w:rsidR="00F4697E" w:rsidRPr="004F7258" w:rsidRDefault="00F4697E" w:rsidP="00C9238F">
            <w:pPr>
              <w:keepNext/>
              <w:keepLines/>
              <w:spacing w:before="120" w:line="280" w:lineRule="exact"/>
              <w:ind w:left="1304" w:hanging="1304"/>
              <w:rPr>
                <w:rFonts w:ascii="Arial" w:hAnsi="Arial"/>
                <w:b/>
                <w:highlight w:val="yellow"/>
              </w:rPr>
            </w:pPr>
            <w:r w:rsidRPr="00C9238F">
              <w:rPr>
                <w:rFonts w:ascii="Arial" w:hAnsi="Arial"/>
              </w:rPr>
              <w:t xml:space="preserve">Box </w:t>
            </w:r>
            <w:r w:rsidR="000A3ED2" w:rsidRPr="00C9238F">
              <w:rPr>
                <w:rFonts w:ascii="Arial" w:hAnsi="Arial"/>
                <w:sz w:val="24"/>
              </w:rPr>
              <w:t>1</w:t>
            </w:r>
            <w:r w:rsidR="00C9238F" w:rsidRPr="00C9238F">
              <w:rPr>
                <w:rFonts w:ascii="Arial" w:hAnsi="Arial"/>
                <w:sz w:val="24"/>
              </w:rPr>
              <w:t>8</w:t>
            </w:r>
            <w:r w:rsidR="000A3ED2" w:rsidRPr="00C9238F">
              <w:rPr>
                <w:rFonts w:ascii="Arial" w:hAnsi="Arial"/>
                <w:sz w:val="24"/>
              </w:rPr>
              <w:t>.4</w:t>
            </w:r>
            <w:r w:rsidRPr="00C9238F">
              <w:rPr>
                <w:rFonts w:ascii="Arial" w:hAnsi="Arial"/>
                <w:b/>
              </w:rPr>
              <w:tab/>
              <w:t>Match of needs of clients</w:t>
            </w:r>
          </w:p>
        </w:tc>
      </w:tr>
      <w:tr w:rsidR="00F4697E" w:rsidRPr="004F7258" w:rsidTr="004F7258">
        <w:trPr>
          <w:cantSplit/>
        </w:trPr>
        <w:tc>
          <w:tcPr>
            <w:tcW w:w="8771" w:type="dxa"/>
            <w:tcBorders>
              <w:top w:val="nil"/>
              <w:left w:val="single" w:sz="6" w:space="0" w:color="auto"/>
              <w:bottom w:val="nil"/>
              <w:right w:val="single" w:sz="6" w:space="0" w:color="auto"/>
            </w:tcBorders>
          </w:tcPr>
          <w:p w:rsidR="00C9238F" w:rsidRDefault="00C9238F" w:rsidP="00C9238F">
            <w:pPr>
              <w:pStyle w:val="Box"/>
              <w:rPr>
                <w:bCs/>
                <w:color w:val="000000" w:themeColor="text1"/>
              </w:rPr>
            </w:pPr>
            <w:r>
              <w:rPr>
                <w:bCs/>
                <w:color w:val="000000" w:themeColor="text1"/>
              </w:rPr>
              <w:t xml:space="preserve">‘Match of needs of clients’ </w:t>
            </w:r>
            <w:r w:rsidRPr="009E5CE0">
              <w:rPr>
                <w:bCs/>
                <w:color w:val="000000" w:themeColor="text1"/>
              </w:rPr>
              <w:t xml:space="preserve">is defined </w:t>
            </w:r>
            <w:r>
              <w:rPr>
                <w:bCs/>
                <w:color w:val="000000" w:themeColor="text1"/>
              </w:rPr>
              <w:t>by five measures:</w:t>
            </w:r>
          </w:p>
          <w:p w:rsidR="00C9238F" w:rsidRPr="006F6505" w:rsidRDefault="00C9238F" w:rsidP="00C9238F">
            <w:pPr>
              <w:pStyle w:val="BoxListBullet"/>
              <w:rPr>
                <w:color w:val="000000" w:themeColor="text1"/>
              </w:rPr>
            </w:pPr>
            <w:r w:rsidRPr="006F6505">
              <w:rPr>
                <w:color w:val="000000" w:themeColor="text1"/>
              </w:rPr>
              <w:t xml:space="preserve">number of clients with closed support periods who needed homelessness services and who were provided with at least one service in at least one support period during the reference year by the agency visited, and not referred, divided by the </w:t>
            </w:r>
            <w:r w:rsidRPr="006F6505">
              <w:rPr>
                <w:rFonts w:cs="Arial"/>
                <w:color w:val="000000" w:themeColor="text1"/>
              </w:rPr>
              <w:t>total number of clients with closed support periods who needed homelessness services</w:t>
            </w:r>
          </w:p>
          <w:p w:rsidR="00C9238F" w:rsidRPr="006F6505" w:rsidRDefault="00C9238F" w:rsidP="00C9238F">
            <w:pPr>
              <w:pStyle w:val="BoxListBullet"/>
              <w:rPr>
                <w:color w:val="000000" w:themeColor="text1"/>
              </w:rPr>
            </w:pPr>
            <w:r w:rsidRPr="006F6505">
              <w:rPr>
                <w:color w:val="000000" w:themeColor="text1"/>
              </w:rPr>
              <w:t>proportion of clients with closed support periods who needed homelessness services and who were referred to another agency, divided by the total number of clients with closed support periods who needed homelessness services</w:t>
            </w:r>
          </w:p>
          <w:p w:rsidR="00C9238F" w:rsidRPr="006F6505" w:rsidRDefault="00C9238F" w:rsidP="00C9238F">
            <w:pPr>
              <w:pStyle w:val="BoxListBullet"/>
              <w:rPr>
                <w:color w:val="000000" w:themeColor="text1"/>
              </w:rPr>
            </w:pPr>
            <w:r w:rsidRPr="006F6505">
              <w:rPr>
                <w:color w:val="000000" w:themeColor="text1"/>
              </w:rPr>
              <w:t>proportion of clients with closed support periods who needed homelessness services and who were provided with those services by that agency and referred to another agency, divided by the total number of clients with closed support periods who needed homelessness services</w:t>
            </w:r>
          </w:p>
          <w:p w:rsidR="00C9238F" w:rsidRPr="006F6505" w:rsidRDefault="00C9238F" w:rsidP="00C9238F">
            <w:pPr>
              <w:pStyle w:val="BoxListBullet"/>
              <w:rPr>
                <w:color w:val="000000" w:themeColor="text1"/>
              </w:rPr>
            </w:pPr>
            <w:r w:rsidRPr="006F6505">
              <w:rPr>
                <w:color w:val="000000" w:themeColor="text1"/>
              </w:rPr>
              <w:t>proportion of clients with closed support periods who needed homelessness services and who were not provided with those services or referred to another agency, divided by the total number of clients with closed support periods who needed homelessness services</w:t>
            </w:r>
          </w:p>
          <w:p w:rsidR="00C9238F" w:rsidRPr="006F6505" w:rsidRDefault="00C9238F" w:rsidP="00C9238F">
            <w:pPr>
              <w:pStyle w:val="BoxListBullet"/>
              <w:rPr>
                <w:color w:val="000000" w:themeColor="text1"/>
              </w:rPr>
            </w:pPr>
            <w:r w:rsidRPr="006F6505">
              <w:rPr>
                <w:color w:val="000000" w:themeColor="text1"/>
              </w:rPr>
              <w:t>proportion of clients (12</w:t>
            </w:r>
            <w:r>
              <w:rPr>
                <w:color w:val="000000" w:themeColor="text1"/>
              </w:rPr>
              <w:t>–</w:t>
            </w:r>
            <w:r w:rsidRPr="006F6505">
              <w:rPr>
                <w:color w:val="000000" w:themeColor="text1"/>
              </w:rPr>
              <w:t xml:space="preserve">18 years) with closed support periods who needed education and/or training assistance who were undertaking formal study or training at the end of support, </w:t>
            </w:r>
            <w:r>
              <w:rPr>
                <w:color w:val="000000" w:themeColor="text1"/>
              </w:rPr>
              <w:t xml:space="preserve">divided by the </w:t>
            </w:r>
            <w:r w:rsidRPr="006F6505">
              <w:rPr>
                <w:bCs/>
                <w:color w:val="000000" w:themeColor="text1"/>
              </w:rPr>
              <w:t>total number of closed support periods for c</w:t>
            </w:r>
            <w:r>
              <w:rPr>
                <w:bCs/>
                <w:color w:val="000000" w:themeColor="text1"/>
              </w:rPr>
              <w:t>lients (aged 12–</w:t>
            </w:r>
            <w:r w:rsidRPr="006F6505">
              <w:rPr>
                <w:bCs/>
                <w:color w:val="000000" w:themeColor="text1"/>
              </w:rPr>
              <w:t>18 years) who needed education and/or training assistance</w:t>
            </w:r>
            <w:r w:rsidRPr="006F6505">
              <w:rPr>
                <w:rFonts w:cs="Arial"/>
                <w:color w:val="000000" w:themeColor="text1"/>
              </w:rPr>
              <w:t>.</w:t>
            </w:r>
          </w:p>
          <w:p w:rsidR="00C9238F" w:rsidRDefault="00C9238F" w:rsidP="00C9238F">
            <w:pPr>
              <w:pStyle w:val="Box"/>
              <w:rPr>
                <w:bCs/>
                <w:color w:val="000000" w:themeColor="text1"/>
              </w:rPr>
            </w:pPr>
            <w:r w:rsidRPr="004A77BC">
              <w:rPr>
                <w:bCs/>
                <w:color w:val="000000" w:themeColor="text1"/>
              </w:rPr>
              <w:t>The range of services needed by clients is broad (ranging from meals to laundry facilities to long term accommodation), so the effect of not providing these services varies.</w:t>
            </w:r>
          </w:p>
          <w:p w:rsidR="00C9238F" w:rsidRDefault="00C9238F" w:rsidP="00C9238F">
            <w:pPr>
              <w:pStyle w:val="Box"/>
              <w:rPr>
                <w:bCs/>
                <w:color w:val="000000" w:themeColor="text1"/>
              </w:rPr>
            </w:pPr>
            <w:r w:rsidRPr="00E12ABB">
              <w:rPr>
                <w:bCs/>
                <w:color w:val="000000" w:themeColor="text1"/>
              </w:rPr>
              <w:t xml:space="preserve">Holding other factors constant, </w:t>
            </w:r>
            <w:r>
              <w:rPr>
                <w:bCs/>
                <w:color w:val="000000" w:themeColor="text1"/>
              </w:rPr>
              <w:t>a</w:t>
            </w:r>
            <w:r w:rsidRPr="009E5CE0">
              <w:rPr>
                <w:bCs/>
                <w:color w:val="000000" w:themeColor="text1"/>
              </w:rPr>
              <w:t xml:space="preserve"> high or increasing proportion of clients who received services they needed, or who were referred to another agency, is desirable.</w:t>
            </w:r>
          </w:p>
          <w:p w:rsidR="00C9238F" w:rsidRDefault="00C9238F" w:rsidP="00C9238F">
            <w:pPr>
              <w:pStyle w:val="Box"/>
              <w:rPr>
                <w:bCs/>
                <w:color w:val="000000" w:themeColor="text1"/>
              </w:rPr>
            </w:pPr>
            <w:r w:rsidRPr="00000AAB">
              <w:rPr>
                <w:bCs/>
                <w:color w:val="000000" w:themeColor="text1"/>
              </w:rPr>
              <w:t>Jurisdictions with central intake agencies such as Victoria and the ACT may record a relatively high number of clients with unmet need for services because all eligible clients receive an assessment but the provision or referral of service is determined by their level of need relative to other clients. A client is generally only referred to a provider when a suitable service is secured for them by the central intake service</w:t>
            </w:r>
            <w:r w:rsidRPr="00B27841">
              <w:rPr>
                <w:bCs/>
                <w:color w:val="000000" w:themeColor="text1"/>
              </w:rPr>
              <w:t>.</w:t>
            </w:r>
          </w:p>
          <w:p w:rsidR="00C9238F" w:rsidRDefault="00C9238F" w:rsidP="00C9238F">
            <w:pPr>
              <w:pStyle w:val="Box"/>
              <w:rPr>
                <w:color w:val="000000" w:themeColor="text1"/>
              </w:rPr>
            </w:pPr>
            <w:r>
              <w:rPr>
                <w:color w:val="000000" w:themeColor="text1"/>
              </w:rPr>
              <w:t>Data reported for these measures are:</w:t>
            </w:r>
          </w:p>
          <w:p w:rsidR="00C9238F" w:rsidRPr="003B78ED" w:rsidRDefault="00C9238F" w:rsidP="00C9238F">
            <w:pPr>
              <w:pStyle w:val="BoxListBullet"/>
            </w:pPr>
            <w:r w:rsidRPr="003B78ED">
              <w:t>comparable (subject to caveats) within jurisdictions over time but are not comparable across jurisdictions</w:t>
            </w:r>
          </w:p>
          <w:p w:rsidR="00C9238F" w:rsidRDefault="00C9238F" w:rsidP="00C9238F">
            <w:pPr>
              <w:pStyle w:val="BoxListBullet"/>
              <w:rPr>
                <w:rFonts w:cs="Arial"/>
                <w:color w:val="000000" w:themeColor="text1"/>
                <w:szCs w:val="22"/>
              </w:rPr>
            </w:pPr>
            <w:r>
              <w:t>complete for the current reporting period. All required (2012–13) data are available for all jurisdictions</w:t>
            </w:r>
            <w:r w:rsidR="006A7102">
              <w:t>.</w:t>
            </w:r>
          </w:p>
          <w:p w:rsidR="00C9238F" w:rsidRDefault="00C9238F" w:rsidP="00C9238F">
            <w:pPr>
              <w:pStyle w:val="Box"/>
              <w:rPr>
                <w:bCs/>
                <w:color w:val="000000" w:themeColor="text1"/>
              </w:rPr>
            </w:pPr>
            <w:r>
              <w:rPr>
                <w:bCs/>
                <w:color w:val="000000" w:themeColor="text1"/>
              </w:rPr>
              <w:t>The basis on which this indicator is enumerated has changed from the 2013 Report. Data for 2011-12 have been revised to reflect this change.</w:t>
            </w:r>
          </w:p>
          <w:p w:rsidR="00F4697E" w:rsidRPr="004F7258" w:rsidRDefault="00C9238F" w:rsidP="00C9238F">
            <w:pPr>
              <w:pStyle w:val="Box"/>
              <w:rPr>
                <w:rFonts w:cs="Arial"/>
                <w:color w:val="000000" w:themeColor="text1"/>
                <w:szCs w:val="22"/>
                <w:highlight w:val="yellow"/>
              </w:rPr>
            </w:pPr>
            <w:r w:rsidRPr="00C9238F">
              <w:rPr>
                <w:bCs/>
                <w:color w:val="000000" w:themeColor="text1"/>
              </w:rPr>
              <w:t>Data quality information for this indicator is under development.</w:t>
            </w:r>
          </w:p>
        </w:tc>
      </w:tr>
      <w:tr w:rsidR="00F4697E" w:rsidRPr="004F7258" w:rsidTr="004F7258">
        <w:trPr>
          <w:cantSplit/>
        </w:trPr>
        <w:tc>
          <w:tcPr>
            <w:tcW w:w="8771" w:type="dxa"/>
            <w:tcBorders>
              <w:top w:val="nil"/>
              <w:left w:val="single" w:sz="6" w:space="0" w:color="auto"/>
              <w:bottom w:val="single" w:sz="6" w:space="0" w:color="auto"/>
              <w:right w:val="single" w:sz="6" w:space="0" w:color="auto"/>
            </w:tcBorders>
          </w:tcPr>
          <w:p w:rsidR="00F4697E" w:rsidRPr="004F7258" w:rsidRDefault="00F4697E" w:rsidP="00F4697E">
            <w:pPr>
              <w:keepNext/>
              <w:spacing w:line="120" w:lineRule="exact"/>
              <w:jc w:val="both"/>
              <w:rPr>
                <w:rFonts w:ascii="Arial" w:hAnsi="Arial"/>
                <w:sz w:val="22"/>
                <w:szCs w:val="20"/>
                <w:highlight w:val="yellow"/>
              </w:rPr>
            </w:pPr>
          </w:p>
        </w:tc>
      </w:tr>
      <w:tr w:rsidR="00F4697E" w:rsidRPr="004F7258" w:rsidTr="004F7258">
        <w:tc>
          <w:tcPr>
            <w:tcW w:w="8771" w:type="dxa"/>
            <w:tcBorders>
              <w:top w:val="nil"/>
              <w:left w:val="nil"/>
              <w:bottom w:val="nil"/>
              <w:right w:val="nil"/>
            </w:tcBorders>
          </w:tcPr>
          <w:p w:rsidR="00F4697E" w:rsidRPr="004F7258" w:rsidRDefault="00F4697E" w:rsidP="00F4697E">
            <w:pPr>
              <w:spacing w:before="60" w:after="60" w:line="80" w:lineRule="exact"/>
              <w:jc w:val="both"/>
              <w:rPr>
                <w:rFonts w:ascii="Arial" w:hAnsi="Arial"/>
                <w:b/>
                <w:color w:val="FF00FF"/>
                <w:sz w:val="14"/>
                <w:szCs w:val="20"/>
                <w:highlight w:val="yellow"/>
              </w:rPr>
            </w:pPr>
          </w:p>
        </w:tc>
      </w:tr>
    </w:tbl>
    <w:p w:rsidR="007550B1" w:rsidRPr="00BD10CD" w:rsidRDefault="007550B1" w:rsidP="007550B1">
      <w:pPr>
        <w:pStyle w:val="BodyText"/>
        <w:rPr>
          <w:color w:val="000000" w:themeColor="text1"/>
        </w:rPr>
      </w:pPr>
      <w:r w:rsidRPr="00BD10CD">
        <w:rPr>
          <w:color w:val="000000" w:themeColor="text1"/>
        </w:rPr>
        <w:lastRenderedPageBreak/>
        <w:t>Nationally in 2012</w:t>
      </w:r>
      <w:r>
        <w:rPr>
          <w:color w:val="000000" w:themeColor="text1"/>
        </w:rPr>
        <w:t>–</w:t>
      </w:r>
      <w:r w:rsidRPr="00BD10CD">
        <w:rPr>
          <w:color w:val="000000" w:themeColor="text1"/>
        </w:rPr>
        <w:t xml:space="preserve">13, 57.0 per cent of all Indigenous clients who needed homelessness services were identified as needing accommodation or accommodation-related assistance. </w:t>
      </w:r>
      <w:r w:rsidRPr="00000AAB">
        <w:rPr>
          <w:color w:val="000000" w:themeColor="text1"/>
        </w:rPr>
        <w:t xml:space="preserve">Agencies were able to directly provide or directly provide and refer these services to most of the clients seeking this type of service (69.3 per cent). A further 14.4 per cent of these clients were referred to other organisations for this assistance </w:t>
      </w:r>
      <w:r>
        <w:rPr>
          <w:color w:val="000000" w:themeColor="text1"/>
        </w:rPr>
        <w:t>(figure 18.</w:t>
      </w:r>
      <w:r w:rsidR="00A27226">
        <w:rPr>
          <w:color w:val="000000" w:themeColor="text1"/>
        </w:rPr>
        <w:t>3</w:t>
      </w:r>
      <w:r>
        <w:rPr>
          <w:color w:val="000000" w:themeColor="text1"/>
        </w:rPr>
        <w:t xml:space="preserve"> and table </w:t>
      </w:r>
      <w:proofErr w:type="spellStart"/>
      <w:r w:rsidRPr="00000AAB">
        <w:rPr>
          <w:color w:val="000000" w:themeColor="text1"/>
        </w:rPr>
        <w:t>18A.13</w:t>
      </w:r>
      <w:proofErr w:type="spellEnd"/>
      <w:r w:rsidRPr="00000AAB">
        <w:rPr>
          <w:color w:val="000000" w:themeColor="text1"/>
        </w:rPr>
        <w:t xml:space="preserve">). Specialist homelessness agencies were able to directly provide or directly provide and refer assistance to sustain tenure to most clients seeking this type of service </w:t>
      </w:r>
      <w:r>
        <w:rPr>
          <w:color w:val="000000" w:themeColor="text1"/>
        </w:rPr>
        <w:br/>
      </w:r>
      <w:r w:rsidRPr="00000AAB">
        <w:rPr>
          <w:color w:val="000000" w:themeColor="text1"/>
        </w:rPr>
        <w:t>(8</w:t>
      </w:r>
      <w:r>
        <w:rPr>
          <w:color w:val="000000" w:themeColor="text1"/>
        </w:rPr>
        <w:t xml:space="preserve">2.1 </w:t>
      </w:r>
      <w:r w:rsidRPr="00000AAB">
        <w:rPr>
          <w:color w:val="000000" w:themeColor="text1"/>
        </w:rPr>
        <w:t>per</w:t>
      </w:r>
      <w:r>
        <w:rPr>
          <w:color w:val="000000" w:themeColor="text1"/>
        </w:rPr>
        <w:t xml:space="preserve"> </w:t>
      </w:r>
      <w:r w:rsidRPr="00000AAB">
        <w:rPr>
          <w:color w:val="000000" w:themeColor="text1"/>
        </w:rPr>
        <w:t>cent) and directly provide or directly provide and refer domestic and</w:t>
      </w:r>
      <w:r w:rsidRPr="00311505">
        <w:rPr>
          <w:color w:val="000000" w:themeColor="text1"/>
          <w:shd w:val="clear" w:color="auto" w:fill="FFC000"/>
        </w:rPr>
        <w:t xml:space="preserve"> </w:t>
      </w:r>
      <w:r w:rsidRPr="00000AAB">
        <w:rPr>
          <w:color w:val="000000" w:themeColor="text1"/>
        </w:rPr>
        <w:t xml:space="preserve">family violence-related assistance to 91.2 per cent of clients seeking this type of service </w:t>
      </w:r>
      <w:r w:rsidRPr="00BD10CD">
        <w:rPr>
          <w:color w:val="000000" w:themeColor="text1"/>
        </w:rPr>
        <w:t>(figure 18.</w:t>
      </w:r>
      <w:r w:rsidR="00A27226">
        <w:rPr>
          <w:color w:val="000000" w:themeColor="text1"/>
        </w:rPr>
        <w:t>3</w:t>
      </w:r>
      <w:r w:rsidRPr="00BD10CD">
        <w:rPr>
          <w:color w:val="000000" w:themeColor="text1"/>
        </w:rPr>
        <w:t>).</w:t>
      </w:r>
    </w:p>
    <w:p w:rsidR="007550B1" w:rsidRPr="007443C1" w:rsidRDefault="007550B1" w:rsidP="007550B1">
      <w:pPr>
        <w:pStyle w:val="FigureTitle"/>
        <w:rPr>
          <w:rStyle w:val="NoteLabel"/>
          <w:color w:val="000000" w:themeColor="text1"/>
        </w:rPr>
      </w:pPr>
      <w:r w:rsidRPr="00BD10CD">
        <w:rPr>
          <w:b w:val="0"/>
          <w:color w:val="000000" w:themeColor="text1"/>
        </w:rPr>
        <w:t>Figure 18.</w:t>
      </w:r>
      <w:r w:rsidR="00A27226">
        <w:rPr>
          <w:b w:val="0"/>
          <w:color w:val="000000" w:themeColor="text1"/>
        </w:rPr>
        <w:t>3</w:t>
      </w:r>
      <w:r w:rsidRPr="00BD10CD">
        <w:rPr>
          <w:color w:val="000000" w:themeColor="text1"/>
        </w:rPr>
        <w:tab/>
      </w:r>
      <w:r w:rsidRPr="007443C1">
        <w:rPr>
          <w:color w:val="000000" w:themeColor="text1"/>
        </w:rPr>
        <w:t>Closed support periods — support needs of Indigenous clients</w:t>
      </w:r>
      <w:r>
        <w:rPr>
          <w:color w:val="000000" w:themeColor="text1"/>
        </w:rPr>
        <w:t>, 2012–</w:t>
      </w:r>
      <w:r w:rsidRPr="007443C1">
        <w:rPr>
          <w:color w:val="000000" w:themeColor="text1"/>
        </w:rPr>
        <w:t>13</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550B1" w:rsidRPr="007443C1" w:rsidTr="007E3D58">
        <w:tc>
          <w:tcPr>
            <w:tcW w:w="8777" w:type="dxa"/>
          </w:tcPr>
          <w:p w:rsidR="007550B1" w:rsidRPr="007443C1" w:rsidRDefault="007550B1" w:rsidP="007E3D58">
            <w:pPr>
              <w:pStyle w:val="Figure"/>
              <w:rPr>
                <w:color w:val="000000" w:themeColor="text1"/>
              </w:rPr>
            </w:pPr>
            <w:r>
              <w:rPr>
                <w:noProof/>
                <w:color w:val="000000" w:themeColor="text1"/>
              </w:rPr>
              <w:drawing>
                <wp:inline distT="0" distB="0" distL="0" distR="0" wp14:anchorId="782F7DFD" wp14:editId="5101428D">
                  <wp:extent cx="5400675" cy="2867025"/>
                  <wp:effectExtent l="0" t="0" r="9525" b="9525"/>
                  <wp:docPr id="8" name="Picture 8" descr="Figure 18.3 Closed support periods — support needs of Indigenous client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675" cy="2867025"/>
                          </a:xfrm>
                          <a:prstGeom prst="rect">
                            <a:avLst/>
                          </a:prstGeom>
                          <a:noFill/>
                          <a:ln>
                            <a:noFill/>
                          </a:ln>
                        </pic:spPr>
                      </pic:pic>
                    </a:graphicData>
                  </a:graphic>
                </wp:inline>
              </w:drawing>
            </w:r>
          </w:p>
        </w:tc>
      </w:tr>
    </w:tbl>
    <w:p w:rsidR="007550B1" w:rsidRPr="007E3D58" w:rsidRDefault="007550B1" w:rsidP="007550B1">
      <w:pPr>
        <w:pStyle w:val="Note"/>
        <w:rPr>
          <w:color w:val="000000" w:themeColor="text1"/>
        </w:rPr>
      </w:pPr>
      <w:r w:rsidRPr="007550B1">
        <w:rPr>
          <w:i/>
          <w:color w:val="000000" w:themeColor="text1"/>
        </w:rPr>
        <w:t>Source</w:t>
      </w:r>
      <w:r w:rsidRPr="007550B1">
        <w:rPr>
          <w:color w:val="000000" w:themeColor="text1"/>
        </w:rPr>
        <w:t xml:space="preserve">: </w:t>
      </w:r>
      <w:proofErr w:type="spellStart"/>
      <w:r w:rsidRPr="007550B1">
        <w:rPr>
          <w:color w:val="000000" w:themeColor="text1"/>
        </w:rPr>
        <w:t>AIHW</w:t>
      </w:r>
      <w:proofErr w:type="spellEnd"/>
      <w:r w:rsidRPr="007550B1">
        <w:rPr>
          <w:color w:val="000000" w:themeColor="text1"/>
        </w:rPr>
        <w:t xml:space="preserve"> (unpublished) </w:t>
      </w:r>
      <w:r w:rsidRPr="007550B1">
        <w:rPr>
          <w:i/>
          <w:color w:val="000000" w:themeColor="text1"/>
        </w:rPr>
        <w:t xml:space="preserve">Specialist Homelessness Services Collection: National Data Collection annual </w:t>
      </w:r>
      <w:r w:rsidRPr="007E3D58">
        <w:rPr>
          <w:i/>
          <w:color w:val="000000" w:themeColor="text1"/>
        </w:rPr>
        <w:t>report</w:t>
      </w:r>
      <w:r w:rsidRPr="007E3D58">
        <w:rPr>
          <w:color w:val="000000" w:themeColor="text1"/>
        </w:rPr>
        <w:t xml:space="preserve">, Australia; table </w:t>
      </w:r>
      <w:proofErr w:type="spellStart"/>
      <w:r w:rsidRPr="007E3D58">
        <w:rPr>
          <w:color w:val="000000" w:themeColor="text1"/>
        </w:rPr>
        <w:t>18A.13</w:t>
      </w:r>
      <w:proofErr w:type="spellEnd"/>
      <w:r w:rsidRPr="007E3D58">
        <w:t>; 2014 Report, figure 18.8, p. 18.22.</w:t>
      </w:r>
    </w:p>
    <w:p w:rsidR="00F4697E" w:rsidRPr="007E3D58" w:rsidRDefault="00F4697E" w:rsidP="00F4697E">
      <w:pPr>
        <w:keepNext/>
        <w:spacing w:before="480" w:line="320" w:lineRule="exact"/>
        <w:outlineLvl w:val="3"/>
        <w:rPr>
          <w:rFonts w:ascii="Arial" w:hAnsi="Arial"/>
          <w:i/>
          <w:sz w:val="24"/>
          <w:szCs w:val="20"/>
        </w:rPr>
      </w:pPr>
      <w:bookmarkStart w:id="35" w:name="_Toc319588805"/>
      <w:bookmarkStart w:id="36" w:name="_Toc350860200"/>
      <w:bookmarkStart w:id="37" w:name="_Toc384648014"/>
      <w:r w:rsidRPr="007E3D58">
        <w:rPr>
          <w:rFonts w:ascii="Arial" w:hAnsi="Arial"/>
          <w:i/>
          <w:sz w:val="24"/>
          <w:szCs w:val="20"/>
        </w:rPr>
        <w:t>Achievement of employment on exit</w:t>
      </w:r>
      <w:bookmarkEnd w:id="35"/>
      <w:bookmarkEnd w:id="36"/>
      <w:bookmarkEnd w:id="37"/>
    </w:p>
    <w:p w:rsidR="007550B1" w:rsidRPr="007E3D58" w:rsidRDefault="007550B1" w:rsidP="006F592C">
      <w:pPr>
        <w:pStyle w:val="BodyText"/>
      </w:pPr>
      <w:r w:rsidRPr="007E3D58">
        <w:rPr>
          <w:bCs/>
        </w:rPr>
        <w:t>‘Achievement of employment on exit’ is an indicator of governments’ objective to enable clients to participate as productive and self-reliant members of the community at the end of their support period (box 18.5).</w:t>
      </w:r>
    </w:p>
    <w:p w:rsidR="00E42136" w:rsidRPr="007E3D58" w:rsidRDefault="00E42136" w:rsidP="00E4213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4697E" w:rsidRPr="007E3D58" w:rsidTr="004F7258">
        <w:tc>
          <w:tcPr>
            <w:tcW w:w="8771" w:type="dxa"/>
            <w:tcBorders>
              <w:top w:val="single" w:sz="6" w:space="0" w:color="auto"/>
              <w:bottom w:val="nil"/>
            </w:tcBorders>
          </w:tcPr>
          <w:p w:rsidR="00F4697E" w:rsidRPr="007E3D58" w:rsidRDefault="00F4697E" w:rsidP="007E3D58">
            <w:pPr>
              <w:keepNext/>
              <w:keepLines/>
              <w:spacing w:before="120" w:line="280" w:lineRule="exact"/>
              <w:ind w:left="1304" w:hanging="1304"/>
              <w:rPr>
                <w:rFonts w:ascii="Arial" w:hAnsi="Arial"/>
                <w:b/>
                <w:color w:val="000000"/>
              </w:rPr>
            </w:pPr>
            <w:r w:rsidRPr="007E3D58">
              <w:rPr>
                <w:rFonts w:ascii="Arial" w:hAnsi="Arial"/>
                <w:color w:val="000000"/>
              </w:rPr>
              <w:t xml:space="preserve">Box </w:t>
            </w:r>
            <w:r w:rsidR="000A3ED2" w:rsidRPr="007E3D58">
              <w:rPr>
                <w:rFonts w:ascii="Arial" w:hAnsi="Arial"/>
                <w:sz w:val="24"/>
              </w:rPr>
              <w:t>1</w:t>
            </w:r>
            <w:r w:rsidR="0068017C" w:rsidRPr="007E3D58">
              <w:rPr>
                <w:rFonts w:ascii="Arial" w:hAnsi="Arial"/>
                <w:sz w:val="24"/>
              </w:rPr>
              <w:t>8</w:t>
            </w:r>
            <w:r w:rsidR="000A3ED2" w:rsidRPr="007E3D58">
              <w:rPr>
                <w:rFonts w:ascii="Arial" w:hAnsi="Arial"/>
                <w:sz w:val="24"/>
              </w:rPr>
              <w:t>.5</w:t>
            </w:r>
            <w:r w:rsidRPr="007E3D58">
              <w:rPr>
                <w:rFonts w:ascii="Arial" w:hAnsi="Arial"/>
                <w:b/>
                <w:color w:val="000000"/>
              </w:rPr>
              <w:tab/>
            </w:r>
            <w:r w:rsidR="006F592C" w:rsidRPr="007E3D58">
              <w:rPr>
                <w:rFonts w:ascii="Arial" w:hAnsi="Arial"/>
                <w:b/>
                <w:color w:val="000000"/>
              </w:rPr>
              <w:t xml:space="preserve">Achievement of </w:t>
            </w:r>
            <w:r w:rsidR="007E3D58" w:rsidRPr="007E3D58">
              <w:rPr>
                <w:rFonts w:ascii="Arial" w:hAnsi="Arial"/>
                <w:b/>
                <w:color w:val="000000"/>
              </w:rPr>
              <w:t>employment</w:t>
            </w:r>
            <w:r w:rsidR="006F592C" w:rsidRPr="007E3D58">
              <w:rPr>
                <w:rFonts w:ascii="Arial" w:hAnsi="Arial"/>
                <w:b/>
                <w:color w:val="000000"/>
              </w:rPr>
              <w:t xml:space="preserve"> on exit</w:t>
            </w:r>
          </w:p>
        </w:tc>
      </w:tr>
      <w:tr w:rsidR="00F4697E" w:rsidRPr="007E3D58" w:rsidTr="004F7258">
        <w:trPr>
          <w:cantSplit/>
        </w:trPr>
        <w:tc>
          <w:tcPr>
            <w:tcW w:w="8771" w:type="dxa"/>
            <w:tcBorders>
              <w:top w:val="nil"/>
              <w:left w:val="single" w:sz="6" w:space="0" w:color="auto"/>
              <w:bottom w:val="nil"/>
              <w:right w:val="single" w:sz="6" w:space="0" w:color="auto"/>
            </w:tcBorders>
          </w:tcPr>
          <w:p w:rsidR="0068017C" w:rsidRPr="007E3D58" w:rsidRDefault="0068017C" w:rsidP="0068017C">
            <w:pPr>
              <w:pStyle w:val="Box"/>
              <w:rPr>
                <w:rFonts w:cs="Arial"/>
                <w:bCs/>
                <w:color w:val="000000" w:themeColor="text1"/>
              </w:rPr>
            </w:pPr>
            <w:r w:rsidRPr="007E3D58">
              <w:rPr>
                <w:bCs/>
                <w:color w:val="000000" w:themeColor="text1"/>
              </w:rPr>
              <w:t>‘</w:t>
            </w:r>
            <w:r w:rsidRPr="007E3D58">
              <w:rPr>
                <w:rFonts w:cs="Arial"/>
                <w:bCs/>
                <w:color w:val="000000" w:themeColor="text1"/>
              </w:rPr>
              <w:t>Achievement of employment on exit’ is defined by three measures:</w:t>
            </w:r>
          </w:p>
          <w:p w:rsidR="0068017C" w:rsidRPr="007E3D58" w:rsidRDefault="0068017C" w:rsidP="0068017C">
            <w:pPr>
              <w:pStyle w:val="BoxListBullet"/>
              <w:rPr>
                <w:color w:val="000000" w:themeColor="text1"/>
                <w:szCs w:val="22"/>
              </w:rPr>
            </w:pPr>
            <w:r w:rsidRPr="007E3D58">
              <w:rPr>
                <w:color w:val="000000" w:themeColor="text1"/>
                <w:szCs w:val="22"/>
              </w:rPr>
              <w:t xml:space="preserve">number of clients, with closed support periods only, with an identified need for employment and/or training assistance and whose labour force status was ‘employed full-time’ or ‘employed part-time’ at the end of support, divided by the </w:t>
            </w:r>
            <w:r w:rsidRPr="007E3D58">
              <w:rPr>
                <w:rFonts w:cs="Arial"/>
                <w:bCs/>
                <w:color w:val="000000" w:themeColor="text1"/>
                <w:szCs w:val="22"/>
              </w:rPr>
              <w:t>number of clients, with closed support periods only, with an identified need for employment and/or training assistance</w:t>
            </w:r>
          </w:p>
          <w:p w:rsidR="0068017C" w:rsidRPr="007E3D58" w:rsidRDefault="0068017C" w:rsidP="0068017C">
            <w:pPr>
              <w:pStyle w:val="BoxListBullet"/>
              <w:rPr>
                <w:color w:val="000000" w:themeColor="text1"/>
                <w:szCs w:val="22"/>
              </w:rPr>
            </w:pPr>
            <w:r w:rsidRPr="007E3D58">
              <w:rPr>
                <w:color w:val="000000" w:themeColor="text1"/>
                <w:szCs w:val="22"/>
              </w:rPr>
              <w:t xml:space="preserve">number of clients, with closed support periods only, with an identified need for employment and/or training assistance whose labour force status was unemployed at presentation; and whose labour force status was ‘employed full-time’ or ‘employed part-time’ at the end of support, divided by the </w:t>
            </w:r>
            <w:r w:rsidRPr="007E3D58">
              <w:rPr>
                <w:rFonts w:cs="Arial"/>
                <w:bCs/>
                <w:color w:val="000000" w:themeColor="text1"/>
                <w:szCs w:val="22"/>
              </w:rPr>
              <w:t>number of clients, with closed support periods only, with an identified need for employment and/or training assistance who were unemployed at presentation</w:t>
            </w:r>
          </w:p>
          <w:p w:rsidR="0068017C" w:rsidRPr="007E3D58" w:rsidRDefault="0068017C" w:rsidP="0068017C">
            <w:pPr>
              <w:pStyle w:val="BoxListBullet"/>
              <w:rPr>
                <w:color w:val="000000" w:themeColor="text1"/>
                <w:szCs w:val="22"/>
              </w:rPr>
            </w:pPr>
            <w:r w:rsidRPr="007E3D58">
              <w:rPr>
                <w:color w:val="000000" w:themeColor="text1"/>
                <w:szCs w:val="22"/>
              </w:rPr>
              <w:t xml:space="preserve">number of clients, with closed support periods only, with an identified need for employment and/or training assistance whose labour force status was ‘not in the labour force’ at presentation; and whose labour force status was ‘employed full-time’ or ‘employed part-time’ at the end of support, divided by the number of </w:t>
            </w:r>
            <w:r w:rsidRPr="007E3D58">
              <w:rPr>
                <w:rFonts w:cs="Arial"/>
                <w:bCs/>
                <w:color w:val="000000" w:themeColor="text1"/>
                <w:szCs w:val="22"/>
              </w:rPr>
              <w:t>clients, with closed support periods only, with an identified need for employment and/or training assistance who were not in the labour force at presentation.</w:t>
            </w:r>
          </w:p>
          <w:p w:rsidR="0068017C" w:rsidRPr="007E3D58" w:rsidRDefault="0068017C" w:rsidP="0068017C">
            <w:pPr>
              <w:pStyle w:val="Box"/>
              <w:rPr>
                <w:rFonts w:cs="Arial"/>
                <w:bCs/>
                <w:color w:val="000000" w:themeColor="text1"/>
              </w:rPr>
            </w:pPr>
            <w:r w:rsidRPr="007E3D58">
              <w:rPr>
                <w:rFonts w:cs="Arial"/>
                <w:bCs/>
                <w:color w:val="000000" w:themeColor="text1"/>
              </w:rPr>
              <w:t>Holding other factors constant, a high or increasing proportion of clients achieving employment after support is desirable.</w:t>
            </w:r>
          </w:p>
          <w:p w:rsidR="0068017C" w:rsidRPr="007E3D58" w:rsidRDefault="0068017C" w:rsidP="0068017C">
            <w:pPr>
              <w:pStyle w:val="Box"/>
              <w:rPr>
                <w:rFonts w:cs="Arial"/>
                <w:bCs/>
                <w:color w:val="000000" w:themeColor="text1"/>
              </w:rPr>
            </w:pPr>
            <w:r w:rsidRPr="007E3D58">
              <w:rPr>
                <w:bCs/>
                <w:color w:val="000000" w:themeColor="text1"/>
              </w:rPr>
              <w:t>Data are reported for all clients, and separately for Indigenous clients.</w:t>
            </w:r>
          </w:p>
          <w:p w:rsidR="0068017C" w:rsidRPr="007E3D58" w:rsidRDefault="0068017C" w:rsidP="0068017C">
            <w:pPr>
              <w:pStyle w:val="Box"/>
              <w:rPr>
                <w:rFonts w:cs="Arial"/>
                <w:bCs/>
                <w:color w:val="000000" w:themeColor="text1"/>
              </w:rPr>
            </w:pPr>
            <w:r w:rsidRPr="007E3D58">
              <w:rPr>
                <w:rFonts w:cs="Arial"/>
                <w:bCs/>
                <w:color w:val="000000" w:themeColor="text1"/>
              </w:rPr>
              <w:t>This indicator compares clients’ employment status before and after support and relates to relatively short term outcomes — that is, outcomes for clients immediately after their support period. Longer term outcomes are important, but more difficult to measure.</w:t>
            </w:r>
          </w:p>
          <w:p w:rsidR="0068017C" w:rsidRPr="007E3D58" w:rsidRDefault="0068017C" w:rsidP="0068017C">
            <w:pPr>
              <w:pStyle w:val="Box"/>
              <w:rPr>
                <w:color w:val="000000" w:themeColor="text1"/>
              </w:rPr>
            </w:pPr>
            <w:r w:rsidRPr="007E3D58">
              <w:rPr>
                <w:color w:val="000000" w:themeColor="text1"/>
              </w:rPr>
              <w:t>Data reported for these measures are:</w:t>
            </w:r>
          </w:p>
          <w:p w:rsidR="0068017C" w:rsidRPr="007E3D58" w:rsidRDefault="0068017C" w:rsidP="0068017C">
            <w:pPr>
              <w:pStyle w:val="BoxListBullet"/>
            </w:pPr>
            <w:r w:rsidRPr="007E3D58">
              <w:t>comparable (subject to caveats) across jurisdictions and over time</w:t>
            </w:r>
          </w:p>
          <w:p w:rsidR="0068017C" w:rsidRPr="007E3D58" w:rsidRDefault="0068017C" w:rsidP="0068017C">
            <w:pPr>
              <w:pStyle w:val="BoxListBullet"/>
              <w:rPr>
                <w:rFonts w:cs="Arial"/>
                <w:color w:val="000000" w:themeColor="text1"/>
                <w:szCs w:val="22"/>
              </w:rPr>
            </w:pPr>
            <w:r w:rsidRPr="007E3D58">
              <w:rPr>
                <w:color w:val="000000" w:themeColor="text1"/>
              </w:rPr>
              <w:t>complete for the current reporting period. All required (2012–13) data are available for all jurisdictions</w:t>
            </w:r>
            <w:r w:rsidR="006A7102">
              <w:rPr>
                <w:color w:val="000000" w:themeColor="text1"/>
              </w:rPr>
              <w:t>.</w:t>
            </w:r>
          </w:p>
          <w:p w:rsidR="00F4697E" w:rsidRPr="007E3D58" w:rsidRDefault="0068017C" w:rsidP="00C01FC2">
            <w:pPr>
              <w:pStyle w:val="Box"/>
              <w:rPr>
                <w:color w:val="000000" w:themeColor="text1"/>
              </w:rPr>
            </w:pPr>
            <w:r w:rsidRPr="007E3D58">
              <w:rPr>
                <w:bCs/>
                <w:color w:val="000000" w:themeColor="text1"/>
              </w:rPr>
              <w:t>Data quality information for this indicator is under development.</w:t>
            </w:r>
          </w:p>
        </w:tc>
      </w:tr>
      <w:tr w:rsidR="00F4697E" w:rsidRPr="007E3D58" w:rsidTr="004F7258">
        <w:trPr>
          <w:cantSplit/>
        </w:trPr>
        <w:tc>
          <w:tcPr>
            <w:tcW w:w="8771" w:type="dxa"/>
            <w:tcBorders>
              <w:top w:val="nil"/>
              <w:left w:val="single" w:sz="6" w:space="0" w:color="auto"/>
              <w:bottom w:val="single" w:sz="6" w:space="0" w:color="auto"/>
              <w:right w:val="single" w:sz="6" w:space="0" w:color="auto"/>
            </w:tcBorders>
          </w:tcPr>
          <w:p w:rsidR="00F4697E" w:rsidRPr="007E3D58" w:rsidRDefault="00F4697E" w:rsidP="00F4697E">
            <w:pPr>
              <w:keepNext/>
              <w:spacing w:line="120" w:lineRule="exact"/>
              <w:jc w:val="both"/>
              <w:rPr>
                <w:rFonts w:ascii="Arial" w:hAnsi="Arial"/>
                <w:sz w:val="22"/>
                <w:szCs w:val="20"/>
              </w:rPr>
            </w:pPr>
          </w:p>
        </w:tc>
      </w:tr>
      <w:tr w:rsidR="00F4697E" w:rsidRPr="007E3D58" w:rsidTr="004F7258">
        <w:trPr>
          <w:trHeight w:val="105"/>
        </w:trPr>
        <w:tc>
          <w:tcPr>
            <w:tcW w:w="8771" w:type="dxa"/>
            <w:tcBorders>
              <w:top w:val="nil"/>
              <w:left w:val="nil"/>
              <w:bottom w:val="nil"/>
              <w:right w:val="nil"/>
            </w:tcBorders>
          </w:tcPr>
          <w:p w:rsidR="00F4697E" w:rsidRPr="007E3D58" w:rsidRDefault="00F4697E" w:rsidP="00F4697E">
            <w:pPr>
              <w:spacing w:before="60" w:after="60" w:line="80" w:lineRule="exact"/>
              <w:jc w:val="both"/>
              <w:rPr>
                <w:rFonts w:ascii="Arial" w:hAnsi="Arial"/>
                <w:b/>
                <w:color w:val="FF00FF"/>
                <w:sz w:val="14"/>
                <w:szCs w:val="20"/>
              </w:rPr>
            </w:pPr>
          </w:p>
        </w:tc>
      </w:tr>
    </w:tbl>
    <w:p w:rsidR="00C01FC2" w:rsidRPr="001960A7" w:rsidRDefault="00C01FC2" w:rsidP="00C01FC2">
      <w:pPr>
        <w:pStyle w:val="BodyText"/>
      </w:pPr>
      <w:r w:rsidRPr="001960A7">
        <w:t>Nationally, of those Indigenous clients who needed assistance to obtain or maintain employment and training when entering homelessness services in 2012–13, 15.2</w:t>
      </w:r>
      <w:r w:rsidRPr="001960A7">
        <w:rPr>
          <w:color w:val="000000" w:themeColor="text1"/>
        </w:rPr>
        <w:t xml:space="preserve"> </w:t>
      </w:r>
      <w:r w:rsidRPr="001960A7">
        <w:t xml:space="preserve">per cent were employed either part-time or full-time after support, compared with </w:t>
      </w:r>
      <w:r w:rsidRPr="001960A7">
        <w:br/>
        <w:t xml:space="preserve">11.3 per cent before support. Amongst the 15.2 per cent employed after support, </w:t>
      </w:r>
      <w:r w:rsidRPr="001960A7">
        <w:br/>
      </w:r>
      <w:r w:rsidRPr="001960A7">
        <w:rPr>
          <w:color w:val="000000" w:themeColor="text1"/>
        </w:rPr>
        <w:t xml:space="preserve">4.4 per cent were employed full time and 10.7 per cent were employed part time after support. These proportions varied across jurisdictions </w:t>
      </w:r>
      <w:r w:rsidRPr="001960A7">
        <w:t xml:space="preserve">(table </w:t>
      </w:r>
      <w:proofErr w:type="spellStart"/>
      <w:r w:rsidRPr="001960A7">
        <w:t>18A.20</w:t>
      </w:r>
      <w:proofErr w:type="spellEnd"/>
      <w:r w:rsidRPr="001960A7">
        <w:t>).</w:t>
      </w:r>
    </w:p>
    <w:p w:rsidR="00C01FC2" w:rsidRPr="001960A7" w:rsidRDefault="00C01FC2" w:rsidP="00C01FC2">
      <w:pPr>
        <w:keepNext/>
        <w:spacing w:before="480" w:line="320" w:lineRule="exact"/>
        <w:outlineLvl w:val="3"/>
        <w:rPr>
          <w:rFonts w:ascii="Arial" w:hAnsi="Arial"/>
          <w:i/>
          <w:sz w:val="24"/>
          <w:szCs w:val="20"/>
        </w:rPr>
      </w:pPr>
      <w:bookmarkStart w:id="38" w:name="_Toc350860203"/>
      <w:bookmarkStart w:id="39" w:name="_Toc384648015"/>
      <w:bookmarkStart w:id="40" w:name="_Toc350860201"/>
      <w:bookmarkStart w:id="41" w:name="_Toc319588806"/>
      <w:r w:rsidRPr="001960A7">
        <w:rPr>
          <w:rFonts w:ascii="Arial" w:hAnsi="Arial"/>
          <w:i/>
          <w:sz w:val="24"/>
          <w:szCs w:val="20"/>
        </w:rPr>
        <w:lastRenderedPageBreak/>
        <w:t>Achievement of income on exit</w:t>
      </w:r>
      <w:bookmarkEnd w:id="38"/>
      <w:bookmarkEnd w:id="39"/>
    </w:p>
    <w:p w:rsidR="00C01FC2" w:rsidRPr="001960A7" w:rsidRDefault="00C01FC2" w:rsidP="00C01FC2">
      <w:pPr>
        <w:pStyle w:val="BodyText"/>
      </w:pPr>
      <w:r w:rsidRPr="001960A7">
        <w:rPr>
          <w:bCs/>
          <w:color w:val="000000" w:themeColor="text1"/>
        </w:rPr>
        <w:t>Achievement of income on exit’ is an indicator of governments’ objective to enable clients to participate independently in the community at the end of their support period (box 18.6).</w:t>
      </w:r>
    </w:p>
    <w:p w:rsidR="00C01FC2" w:rsidRPr="001960A7" w:rsidRDefault="00C01FC2" w:rsidP="00C01FC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01FC2" w:rsidRPr="001960A7" w:rsidTr="007E3D58">
        <w:tc>
          <w:tcPr>
            <w:tcW w:w="8771" w:type="dxa"/>
            <w:tcBorders>
              <w:top w:val="single" w:sz="6" w:space="0" w:color="auto"/>
              <w:bottom w:val="nil"/>
            </w:tcBorders>
          </w:tcPr>
          <w:p w:rsidR="00C01FC2" w:rsidRPr="001960A7" w:rsidRDefault="00C01FC2" w:rsidP="00C01FC2">
            <w:pPr>
              <w:keepNext/>
              <w:keepLines/>
              <w:spacing w:before="120" w:line="280" w:lineRule="exact"/>
              <w:ind w:left="1304" w:hanging="1304"/>
              <w:rPr>
                <w:rFonts w:ascii="Arial" w:hAnsi="Arial"/>
                <w:b/>
              </w:rPr>
            </w:pPr>
            <w:r w:rsidRPr="001960A7">
              <w:rPr>
                <w:rFonts w:ascii="Arial" w:hAnsi="Arial"/>
              </w:rPr>
              <w:t xml:space="preserve">Box </w:t>
            </w:r>
            <w:r w:rsidRPr="001960A7">
              <w:rPr>
                <w:rFonts w:ascii="Arial" w:hAnsi="Arial"/>
                <w:sz w:val="24"/>
              </w:rPr>
              <w:t>18.6</w:t>
            </w:r>
            <w:r w:rsidRPr="001960A7">
              <w:rPr>
                <w:rFonts w:ascii="Arial" w:hAnsi="Arial"/>
                <w:b/>
              </w:rPr>
              <w:tab/>
              <w:t>Achievement of income on exit</w:t>
            </w:r>
          </w:p>
        </w:tc>
      </w:tr>
      <w:tr w:rsidR="00C01FC2" w:rsidRPr="001960A7" w:rsidTr="007E3D58">
        <w:trPr>
          <w:cantSplit/>
        </w:trPr>
        <w:tc>
          <w:tcPr>
            <w:tcW w:w="8771" w:type="dxa"/>
            <w:tcBorders>
              <w:top w:val="nil"/>
              <w:left w:val="single" w:sz="6" w:space="0" w:color="auto"/>
              <w:bottom w:val="nil"/>
              <w:right w:val="single" w:sz="6" w:space="0" w:color="auto"/>
            </w:tcBorders>
          </w:tcPr>
          <w:p w:rsidR="00C01FC2" w:rsidRPr="001960A7" w:rsidRDefault="00C01FC2" w:rsidP="00C01FC2">
            <w:pPr>
              <w:pStyle w:val="Box"/>
              <w:rPr>
                <w:bCs/>
                <w:color w:val="000000" w:themeColor="text1"/>
              </w:rPr>
            </w:pPr>
            <w:r w:rsidRPr="001960A7">
              <w:rPr>
                <w:color w:val="000000" w:themeColor="text1"/>
              </w:rPr>
              <w:t>‘</w:t>
            </w:r>
            <w:r w:rsidRPr="001960A7">
              <w:rPr>
                <w:bCs/>
                <w:color w:val="000000" w:themeColor="text1"/>
              </w:rPr>
              <w:t>Achievement of income on exit’ is defined as the number of clients with closed support periods only, who needed income assistance and exited homelessness services with an income source, divided by the total number of clients with closed support periods only, who needed income assistance.</w:t>
            </w:r>
          </w:p>
          <w:p w:rsidR="00C01FC2" w:rsidRPr="001960A7" w:rsidRDefault="00C01FC2" w:rsidP="00C01FC2">
            <w:pPr>
              <w:pStyle w:val="Box"/>
              <w:rPr>
                <w:bCs/>
                <w:color w:val="000000" w:themeColor="text1"/>
              </w:rPr>
            </w:pPr>
            <w:r w:rsidRPr="001960A7">
              <w:rPr>
                <w:rFonts w:cs="Arial"/>
                <w:bCs/>
                <w:color w:val="000000" w:themeColor="text1"/>
              </w:rPr>
              <w:t>Holding other factors constant, a</w:t>
            </w:r>
            <w:r w:rsidRPr="001960A7">
              <w:rPr>
                <w:bCs/>
                <w:color w:val="000000" w:themeColor="text1"/>
              </w:rPr>
              <w:t xml:space="preserve"> high or increasing proportion of clients who needed income assistance and exited homelessness services with an income source is desirable.</w:t>
            </w:r>
          </w:p>
          <w:p w:rsidR="00C01FC2" w:rsidRPr="001960A7" w:rsidRDefault="00C01FC2" w:rsidP="00C01FC2">
            <w:pPr>
              <w:pStyle w:val="Box"/>
              <w:rPr>
                <w:bCs/>
                <w:color w:val="000000" w:themeColor="text1"/>
              </w:rPr>
            </w:pPr>
            <w:r w:rsidRPr="001960A7">
              <w:rPr>
                <w:bCs/>
                <w:color w:val="000000" w:themeColor="text1"/>
              </w:rPr>
              <w:t>This indicator compares these clients’ income status before and after they received support. It is assumed that a client’s independence and self-reliance is enhanced when the client experiences a positive change in income source (for example, from having no income support to obtaining some income, including wages and/or benefits) on exit from services.</w:t>
            </w:r>
          </w:p>
          <w:p w:rsidR="00C01FC2" w:rsidRPr="001960A7" w:rsidRDefault="00C01FC2" w:rsidP="00C01FC2">
            <w:pPr>
              <w:pStyle w:val="Box"/>
              <w:rPr>
                <w:bCs/>
                <w:color w:val="000000" w:themeColor="text1"/>
              </w:rPr>
            </w:pPr>
            <w:r w:rsidRPr="001960A7">
              <w:rPr>
                <w:bCs/>
                <w:color w:val="000000" w:themeColor="text1"/>
              </w:rPr>
              <w:t>Data are reported for all clients, and separately for Indigenous clients.</w:t>
            </w:r>
          </w:p>
          <w:p w:rsidR="00C01FC2" w:rsidRPr="001960A7" w:rsidRDefault="00C01FC2" w:rsidP="00C01FC2">
            <w:pPr>
              <w:pStyle w:val="Box"/>
              <w:rPr>
                <w:color w:val="000000" w:themeColor="text1"/>
              </w:rPr>
            </w:pPr>
            <w:r w:rsidRPr="001960A7">
              <w:rPr>
                <w:color w:val="000000" w:themeColor="text1"/>
              </w:rPr>
              <w:t>Data reported for these measures are:</w:t>
            </w:r>
          </w:p>
          <w:p w:rsidR="00C01FC2" w:rsidRPr="001960A7" w:rsidRDefault="00C01FC2" w:rsidP="00C01FC2">
            <w:pPr>
              <w:pStyle w:val="BoxListBullet"/>
              <w:rPr>
                <w:color w:val="000000" w:themeColor="text1"/>
              </w:rPr>
            </w:pPr>
            <w:r w:rsidRPr="001960A7">
              <w:rPr>
                <w:color w:val="000000" w:themeColor="text1"/>
              </w:rPr>
              <w:t>comparable (subject to caveats) across jurisdictions and over time</w:t>
            </w:r>
          </w:p>
          <w:p w:rsidR="00C01FC2" w:rsidRPr="001960A7" w:rsidRDefault="00C01FC2" w:rsidP="00C01FC2">
            <w:pPr>
              <w:pStyle w:val="BoxListBullet"/>
              <w:rPr>
                <w:rFonts w:cs="Arial"/>
                <w:color w:val="000000" w:themeColor="text1"/>
                <w:szCs w:val="22"/>
              </w:rPr>
            </w:pPr>
            <w:r w:rsidRPr="001960A7">
              <w:rPr>
                <w:color w:val="000000" w:themeColor="text1"/>
              </w:rPr>
              <w:t>complete for the current reporting period. All required (2012–13) data are available for all jurisdictions</w:t>
            </w:r>
            <w:r w:rsidR="006A7102">
              <w:rPr>
                <w:color w:val="000000" w:themeColor="text1"/>
              </w:rPr>
              <w:t>.</w:t>
            </w:r>
          </w:p>
          <w:p w:rsidR="00C01FC2" w:rsidRPr="001960A7" w:rsidRDefault="00C01FC2" w:rsidP="00C01FC2">
            <w:pPr>
              <w:pStyle w:val="Box"/>
              <w:rPr>
                <w:bCs/>
                <w:color w:val="000000" w:themeColor="text1"/>
              </w:rPr>
            </w:pPr>
            <w:r w:rsidRPr="001960A7">
              <w:rPr>
                <w:rFonts w:cs="Arial"/>
                <w:color w:val="000000" w:themeColor="text1"/>
                <w:szCs w:val="26"/>
              </w:rPr>
              <w:t xml:space="preserve">Data quality information </w:t>
            </w:r>
            <w:r w:rsidRPr="001960A7">
              <w:rPr>
                <w:rFonts w:cs="Arial"/>
                <w:szCs w:val="26"/>
              </w:rPr>
              <w:t>for this indicator is under development.</w:t>
            </w:r>
          </w:p>
        </w:tc>
      </w:tr>
      <w:tr w:rsidR="00C01FC2" w:rsidRPr="001960A7" w:rsidTr="007E3D58">
        <w:trPr>
          <w:cantSplit/>
        </w:trPr>
        <w:tc>
          <w:tcPr>
            <w:tcW w:w="8771" w:type="dxa"/>
            <w:tcBorders>
              <w:top w:val="nil"/>
              <w:left w:val="single" w:sz="6" w:space="0" w:color="auto"/>
              <w:bottom w:val="single" w:sz="6" w:space="0" w:color="auto"/>
              <w:right w:val="single" w:sz="6" w:space="0" w:color="auto"/>
            </w:tcBorders>
          </w:tcPr>
          <w:p w:rsidR="00C01FC2" w:rsidRPr="001960A7" w:rsidRDefault="00C01FC2" w:rsidP="007E3D58">
            <w:pPr>
              <w:keepNext/>
              <w:spacing w:line="120" w:lineRule="exact"/>
              <w:jc w:val="both"/>
              <w:rPr>
                <w:rFonts w:ascii="Arial" w:hAnsi="Arial"/>
                <w:sz w:val="22"/>
                <w:szCs w:val="20"/>
              </w:rPr>
            </w:pPr>
          </w:p>
        </w:tc>
      </w:tr>
      <w:tr w:rsidR="00C01FC2" w:rsidRPr="001960A7" w:rsidTr="007E3D58">
        <w:tc>
          <w:tcPr>
            <w:tcW w:w="8771" w:type="dxa"/>
            <w:tcBorders>
              <w:top w:val="nil"/>
              <w:left w:val="nil"/>
              <w:bottom w:val="nil"/>
              <w:right w:val="nil"/>
            </w:tcBorders>
          </w:tcPr>
          <w:p w:rsidR="00C01FC2" w:rsidRPr="001960A7" w:rsidRDefault="00C01FC2" w:rsidP="007E3D58">
            <w:pPr>
              <w:spacing w:before="60" w:after="60" w:line="80" w:lineRule="exact"/>
              <w:jc w:val="both"/>
              <w:rPr>
                <w:rFonts w:ascii="Arial" w:hAnsi="Arial"/>
                <w:b/>
                <w:color w:val="FF00FF"/>
                <w:sz w:val="14"/>
                <w:szCs w:val="20"/>
              </w:rPr>
            </w:pPr>
          </w:p>
        </w:tc>
      </w:tr>
    </w:tbl>
    <w:p w:rsidR="00C01FC2" w:rsidRPr="001960A7" w:rsidRDefault="00C01FC2" w:rsidP="00C01FC2">
      <w:pPr>
        <w:pStyle w:val="BodyText"/>
        <w:rPr>
          <w:color w:val="000000" w:themeColor="text1"/>
        </w:rPr>
      </w:pPr>
      <w:r w:rsidRPr="001960A7">
        <w:rPr>
          <w:color w:val="000000" w:themeColor="text1"/>
        </w:rPr>
        <w:t xml:space="preserve">Nationally, of Indigenous clients who needed income assistance when entering homelessness services in 2012–13, 95.2 per cent had an income source after support, compared with 96.2 per cent in 2011–12 (table </w:t>
      </w:r>
      <w:proofErr w:type="spellStart"/>
      <w:r w:rsidRPr="001960A7">
        <w:rPr>
          <w:color w:val="000000" w:themeColor="text1"/>
        </w:rPr>
        <w:t>18A.23</w:t>
      </w:r>
      <w:proofErr w:type="spellEnd"/>
      <w:r w:rsidRPr="001960A7">
        <w:rPr>
          <w:color w:val="000000" w:themeColor="text1"/>
        </w:rPr>
        <w:t xml:space="preserve">). Amongst the </w:t>
      </w:r>
      <w:r w:rsidRPr="001960A7">
        <w:rPr>
          <w:color w:val="000000" w:themeColor="text1"/>
        </w:rPr>
        <w:br/>
        <w:t>95.2 per cent, the proportion whose source of income was a government pension/allowance increased from 84.7 per cent before support to 88.9 per cent after support. The proportion of clients whose source of income was employee/bus</w:t>
      </w:r>
      <w:r w:rsidR="001960A7">
        <w:rPr>
          <w:color w:val="000000" w:themeColor="text1"/>
        </w:rPr>
        <w:t xml:space="preserve">iness income increased from 3.1 </w:t>
      </w:r>
      <w:r w:rsidRPr="001960A7">
        <w:rPr>
          <w:color w:val="000000" w:themeColor="text1"/>
        </w:rPr>
        <w:t>per cent before support to 4.0 per cent after support. Proportions varied across jurisdictions (figure 18.</w:t>
      </w:r>
      <w:r w:rsidR="00A27226">
        <w:rPr>
          <w:color w:val="000000" w:themeColor="text1"/>
        </w:rPr>
        <w:t>4</w:t>
      </w:r>
      <w:r w:rsidRPr="001960A7">
        <w:rPr>
          <w:color w:val="000000" w:themeColor="text1"/>
        </w:rPr>
        <w:t>).</w:t>
      </w:r>
    </w:p>
    <w:p w:rsidR="001960A7" w:rsidRPr="00416F9A" w:rsidRDefault="001960A7" w:rsidP="001960A7">
      <w:pPr>
        <w:pStyle w:val="FigureTitle"/>
        <w:rPr>
          <w:rStyle w:val="NoteLabel"/>
        </w:rPr>
      </w:pPr>
      <w:r>
        <w:rPr>
          <w:b w:val="0"/>
        </w:rPr>
        <w:lastRenderedPageBreak/>
        <w:t>Figure 18.</w:t>
      </w:r>
      <w:r w:rsidR="00A27226">
        <w:rPr>
          <w:b w:val="0"/>
        </w:rPr>
        <w:t>4</w:t>
      </w:r>
      <w:r>
        <w:tab/>
        <w:t>Closed support periods — p</w:t>
      </w:r>
      <w:r w:rsidRPr="007A2C81">
        <w:t xml:space="preserve">roportion of </w:t>
      </w:r>
      <w:r>
        <w:t xml:space="preserve">Indigenous </w:t>
      </w:r>
      <w:r w:rsidRPr="007A2C81">
        <w:t>clients who needed income assistance and who had an income source</w:t>
      </w:r>
      <w:r>
        <w:t xml:space="preserve"> after support, by income source, 2012–13</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960A7" w:rsidTr="00CC6528">
        <w:tc>
          <w:tcPr>
            <w:tcW w:w="8777" w:type="dxa"/>
          </w:tcPr>
          <w:p w:rsidR="001960A7" w:rsidRPr="005C76F8" w:rsidRDefault="001960A7" w:rsidP="001960A7">
            <w:pPr>
              <w:pStyle w:val="Figure"/>
              <w:numPr>
                <w:ilvl w:val="0"/>
                <w:numId w:val="20"/>
              </w:numPr>
              <w:rPr>
                <w:rFonts w:ascii="Arial" w:hAnsi="Arial" w:cs="Arial"/>
                <w:b/>
                <w:sz w:val="20"/>
              </w:rPr>
            </w:pPr>
            <w:r w:rsidRPr="005C76F8">
              <w:rPr>
                <w:rFonts w:ascii="Arial" w:hAnsi="Arial" w:cs="Arial"/>
                <w:b/>
                <w:sz w:val="20"/>
              </w:rPr>
              <w:t>Income source before support</w:t>
            </w:r>
            <w:r>
              <w:rPr>
                <w:rStyle w:val="NoteLabel"/>
              </w:rPr>
              <w:t>a, b, c</w:t>
            </w:r>
          </w:p>
          <w:p w:rsidR="001960A7" w:rsidRDefault="001960A7" w:rsidP="00CC6528">
            <w:pPr>
              <w:pStyle w:val="Figure"/>
            </w:pPr>
            <w:r>
              <w:rPr>
                <w:noProof/>
              </w:rPr>
              <w:drawing>
                <wp:inline distT="0" distB="0" distL="0" distR="0" wp14:anchorId="4324BA4C" wp14:editId="730BE074">
                  <wp:extent cx="5362575" cy="2705100"/>
                  <wp:effectExtent l="0" t="0" r="9525" b="0"/>
                  <wp:docPr id="1" name="Picture 1" descr="Figure 18.4 Closed support periods — proportion of Indigenous clients who needed income assistance and who had an income source after support, by income source, 2012–13&#10;&#10;(a) Income source before sup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62575" cy="2705100"/>
                          </a:xfrm>
                          <a:prstGeom prst="rect">
                            <a:avLst/>
                          </a:prstGeom>
                          <a:noFill/>
                          <a:ln>
                            <a:noFill/>
                          </a:ln>
                        </pic:spPr>
                      </pic:pic>
                    </a:graphicData>
                  </a:graphic>
                </wp:inline>
              </w:drawing>
            </w:r>
          </w:p>
          <w:p w:rsidR="001960A7" w:rsidRDefault="001960A7" w:rsidP="00CC6528">
            <w:pPr>
              <w:pStyle w:val="Figure"/>
            </w:pPr>
            <w:r>
              <w:rPr>
                <w:rFonts w:ascii="Arial" w:hAnsi="Arial" w:cs="Arial"/>
                <w:b/>
                <w:sz w:val="20"/>
              </w:rPr>
              <w:t xml:space="preserve">(b) </w:t>
            </w:r>
            <w:r w:rsidRPr="00ED45BE">
              <w:rPr>
                <w:rFonts w:ascii="Arial" w:hAnsi="Arial" w:cs="Arial"/>
                <w:b/>
                <w:sz w:val="20"/>
              </w:rPr>
              <w:t>Income source after support</w:t>
            </w:r>
            <w:r>
              <w:rPr>
                <w:rStyle w:val="NoteLabel"/>
              </w:rPr>
              <w:t>c, d, e</w:t>
            </w:r>
            <w:r>
              <w:rPr>
                <w:rFonts w:ascii="Arial" w:hAnsi="Arial"/>
                <w:b/>
                <w:noProof/>
                <w:position w:val="6"/>
                <w:sz w:val="18"/>
              </w:rPr>
              <w:drawing>
                <wp:inline distT="0" distB="0" distL="0" distR="0" wp14:anchorId="29AEC318" wp14:editId="307F3A6C">
                  <wp:extent cx="5362575" cy="2705100"/>
                  <wp:effectExtent l="0" t="0" r="9525" b="0"/>
                  <wp:docPr id="3" name="Picture 3" descr="Figure 18.4 Closed support periods — proportion of Indigenous clients who needed income assistance and who had an income source after support, by income source, 2012–13\&#10;&#10;(b) Income source after sup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62575" cy="2705100"/>
                          </a:xfrm>
                          <a:prstGeom prst="rect">
                            <a:avLst/>
                          </a:prstGeom>
                          <a:noFill/>
                          <a:ln>
                            <a:noFill/>
                          </a:ln>
                        </pic:spPr>
                      </pic:pic>
                    </a:graphicData>
                  </a:graphic>
                </wp:inline>
              </w:drawing>
            </w:r>
          </w:p>
        </w:tc>
      </w:tr>
    </w:tbl>
    <w:p w:rsidR="001960A7" w:rsidRPr="006D390E" w:rsidRDefault="001960A7" w:rsidP="001960A7">
      <w:pPr>
        <w:pStyle w:val="Note"/>
      </w:pPr>
      <w:r>
        <w:rPr>
          <w:rStyle w:val="NoteLabel"/>
        </w:rPr>
        <w:t>a</w:t>
      </w:r>
      <w:r w:rsidRPr="001960A7">
        <w:rPr>
          <w:b/>
        </w:rPr>
        <w:t> </w:t>
      </w:r>
      <w:r>
        <w:t xml:space="preserve">Data for ‘Awaiting benefit’ for SA are not published. </w:t>
      </w:r>
      <w:r>
        <w:rPr>
          <w:rStyle w:val="NoteLabel"/>
        </w:rPr>
        <w:t>b</w:t>
      </w:r>
      <w:r w:rsidRPr="001960A7">
        <w:rPr>
          <w:b/>
        </w:rPr>
        <w:t> </w:t>
      </w:r>
      <w:r w:rsidRPr="001960A7">
        <w:t>Data for ‘Employee/business income’ for SA, Tasmania and the ACT are not published. c ‘Awaiting benefit’ is nil or rounded to zero for SA and Tasmania.</w:t>
      </w:r>
      <w:r>
        <w:rPr>
          <w:rStyle w:val="NoteLabel"/>
        </w:rPr>
        <w:t xml:space="preserve"> d</w:t>
      </w:r>
      <w:r w:rsidRPr="001960A7">
        <w:rPr>
          <w:b/>
        </w:rPr>
        <w:t> </w:t>
      </w:r>
      <w:r w:rsidRPr="001944AC">
        <w:t>Da</w:t>
      </w:r>
      <w:r>
        <w:t xml:space="preserve">ta for ‘Employee/business income’ for Tasmania are not published. </w:t>
      </w:r>
      <w:r>
        <w:rPr>
          <w:rStyle w:val="NoteLabel"/>
        </w:rPr>
        <w:t>e</w:t>
      </w:r>
      <w:r>
        <w:t> ‘No income’ is nil or rounded to zero for the ACT.</w:t>
      </w:r>
    </w:p>
    <w:p w:rsidR="001960A7" w:rsidRPr="00B3017E" w:rsidRDefault="001960A7" w:rsidP="001960A7">
      <w:pPr>
        <w:pStyle w:val="Source"/>
      </w:pPr>
      <w:r>
        <w:rPr>
          <w:i/>
        </w:rPr>
        <w:t>Source</w:t>
      </w:r>
      <w:r w:rsidRPr="00167F06">
        <w:t xml:space="preserve">: </w:t>
      </w:r>
      <w:proofErr w:type="spellStart"/>
      <w:r w:rsidRPr="00621AAD">
        <w:t>AIHW</w:t>
      </w:r>
      <w:proofErr w:type="spellEnd"/>
      <w:r w:rsidRPr="00621AAD">
        <w:t xml:space="preserve"> (unpublished) </w:t>
      </w:r>
      <w:r w:rsidRPr="00E26198">
        <w:rPr>
          <w:i/>
        </w:rPr>
        <w:t>Specialist Homelessness Services Collection: National Data Collection annual report</w:t>
      </w:r>
      <w:r w:rsidRPr="00621AAD">
        <w:t>, Australia</w:t>
      </w:r>
      <w:r>
        <w:t xml:space="preserve">; table </w:t>
      </w:r>
      <w:proofErr w:type="spellStart"/>
      <w:r>
        <w:t>18A.23</w:t>
      </w:r>
      <w:proofErr w:type="spellEnd"/>
      <w:r w:rsidRPr="001960A7">
        <w:t>; 2014 Report, figure 18.1</w:t>
      </w:r>
      <w:r>
        <w:t>6</w:t>
      </w:r>
      <w:r w:rsidRPr="001960A7">
        <w:t>, p. 18.3</w:t>
      </w:r>
      <w:r>
        <w:t>5</w:t>
      </w:r>
      <w:r w:rsidRPr="001960A7">
        <w:t>.</w:t>
      </w:r>
    </w:p>
    <w:p w:rsidR="001960A7" w:rsidRPr="001960A7" w:rsidRDefault="001960A7" w:rsidP="001960A7">
      <w:pPr>
        <w:keepNext/>
        <w:spacing w:before="480" w:line="320" w:lineRule="exact"/>
        <w:outlineLvl w:val="3"/>
        <w:rPr>
          <w:rFonts w:ascii="Arial" w:hAnsi="Arial"/>
          <w:i/>
          <w:sz w:val="24"/>
          <w:szCs w:val="20"/>
        </w:rPr>
      </w:pPr>
      <w:bookmarkStart w:id="42" w:name="_Toc384648016"/>
      <w:r w:rsidRPr="001960A7">
        <w:rPr>
          <w:rFonts w:ascii="Arial" w:hAnsi="Arial"/>
          <w:i/>
          <w:sz w:val="24"/>
          <w:szCs w:val="20"/>
        </w:rPr>
        <w:lastRenderedPageBreak/>
        <w:t>Achievement of independent housing on exit</w:t>
      </w:r>
      <w:bookmarkEnd w:id="42"/>
    </w:p>
    <w:p w:rsidR="001960A7" w:rsidRPr="006A7102" w:rsidRDefault="001960A7" w:rsidP="001960A7">
      <w:pPr>
        <w:pStyle w:val="BodyText"/>
        <w:rPr>
          <w:color w:val="000000" w:themeColor="text1"/>
        </w:rPr>
      </w:pPr>
      <w:r w:rsidRPr="006A7102">
        <w:rPr>
          <w:color w:val="000000" w:themeColor="text1"/>
        </w:rPr>
        <w:t>‘Achievement of independent housing’ is an indicator of governments’ objective to enable clients to participate as productive and self-reliant members of society at the end of their support period (box 18.7).</w:t>
      </w:r>
    </w:p>
    <w:p w:rsidR="001960A7" w:rsidRPr="001960A7" w:rsidRDefault="001960A7" w:rsidP="001960A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960A7" w:rsidRPr="004F7258" w:rsidTr="00CC6528">
        <w:tc>
          <w:tcPr>
            <w:tcW w:w="8771" w:type="dxa"/>
            <w:tcBorders>
              <w:top w:val="single" w:sz="6" w:space="0" w:color="auto"/>
              <w:bottom w:val="nil"/>
            </w:tcBorders>
          </w:tcPr>
          <w:p w:rsidR="001960A7" w:rsidRPr="001960A7" w:rsidRDefault="001960A7" w:rsidP="001960A7">
            <w:pPr>
              <w:keepNext/>
              <w:keepLines/>
              <w:spacing w:before="120" w:line="280" w:lineRule="exact"/>
              <w:ind w:left="1304" w:hanging="1304"/>
              <w:rPr>
                <w:rFonts w:ascii="Arial" w:hAnsi="Arial"/>
                <w:b/>
              </w:rPr>
            </w:pPr>
            <w:r w:rsidRPr="001960A7">
              <w:rPr>
                <w:rFonts w:ascii="Arial" w:hAnsi="Arial"/>
              </w:rPr>
              <w:t xml:space="preserve">Box </w:t>
            </w:r>
            <w:r w:rsidRPr="001960A7">
              <w:rPr>
                <w:rFonts w:ascii="Arial" w:hAnsi="Arial"/>
                <w:sz w:val="24"/>
              </w:rPr>
              <w:t>18.7</w:t>
            </w:r>
            <w:r w:rsidRPr="001960A7">
              <w:rPr>
                <w:rFonts w:ascii="Arial" w:hAnsi="Arial"/>
                <w:b/>
              </w:rPr>
              <w:tab/>
              <w:t>Achievement of independent housing on exit</w:t>
            </w:r>
          </w:p>
        </w:tc>
      </w:tr>
      <w:tr w:rsidR="001960A7" w:rsidRPr="004F7258" w:rsidTr="00CC6528">
        <w:trPr>
          <w:cantSplit/>
        </w:trPr>
        <w:tc>
          <w:tcPr>
            <w:tcW w:w="8771" w:type="dxa"/>
            <w:tcBorders>
              <w:top w:val="nil"/>
              <w:left w:val="single" w:sz="6" w:space="0" w:color="auto"/>
              <w:bottom w:val="nil"/>
              <w:right w:val="single" w:sz="6" w:space="0" w:color="auto"/>
            </w:tcBorders>
          </w:tcPr>
          <w:p w:rsidR="001960A7" w:rsidRPr="00B3017E" w:rsidRDefault="001960A7" w:rsidP="001960A7">
            <w:pPr>
              <w:pStyle w:val="Box"/>
              <w:rPr>
                <w:bCs/>
                <w:color w:val="000000" w:themeColor="text1"/>
              </w:rPr>
            </w:pPr>
            <w:r w:rsidRPr="00B3017E">
              <w:rPr>
                <w:color w:val="000000" w:themeColor="text1"/>
              </w:rPr>
              <w:t>‘</w:t>
            </w:r>
            <w:r w:rsidRPr="00B3017E">
              <w:rPr>
                <w:bCs/>
                <w:color w:val="000000" w:themeColor="text1"/>
              </w:rPr>
              <w:t>Achievement of independent housing’ is defined by three measures:</w:t>
            </w:r>
          </w:p>
          <w:p w:rsidR="001960A7" w:rsidRPr="00F739E6" w:rsidRDefault="001960A7" w:rsidP="001960A7">
            <w:pPr>
              <w:pStyle w:val="BoxListBullet"/>
              <w:rPr>
                <w:color w:val="000000" w:themeColor="text1"/>
              </w:rPr>
            </w:pPr>
            <w:r w:rsidRPr="00F739E6">
              <w:rPr>
                <w:color w:val="000000" w:themeColor="text1"/>
              </w:rPr>
              <w:t>number of clients with closed support periods only</w:t>
            </w:r>
            <w:r>
              <w:rPr>
                <w:color w:val="000000" w:themeColor="text1"/>
              </w:rPr>
              <w:t xml:space="preserve">, </w:t>
            </w:r>
            <w:r w:rsidRPr="00F739E6">
              <w:rPr>
                <w:color w:val="000000" w:themeColor="text1"/>
              </w:rPr>
              <w:t>who identified a need for assistance to obtain ‘long term housing’; or ‘sustain tenancy or prevent tenancy failure or eviction’; or ‘prevent foreclosures or for mortgage arrears’, and had achieved independent housing at the end of support, divided by the number of clients with closed support periods only</w:t>
            </w:r>
            <w:r>
              <w:rPr>
                <w:color w:val="000000" w:themeColor="text1"/>
              </w:rPr>
              <w:t xml:space="preserve">, </w:t>
            </w:r>
            <w:r w:rsidRPr="00F739E6">
              <w:rPr>
                <w:color w:val="000000" w:themeColor="text1"/>
              </w:rPr>
              <w:t>who identified a need for assistance to obtain ‘long term housing’ or ‘sustain tenancy or prevent tenancy failure or eviction’, or ‘prevent foreclosures or for mortgage arrears’</w:t>
            </w:r>
          </w:p>
          <w:p w:rsidR="001960A7" w:rsidRPr="00F739E6" w:rsidRDefault="001960A7" w:rsidP="001960A7">
            <w:pPr>
              <w:pStyle w:val="BoxListBullet"/>
              <w:rPr>
                <w:color w:val="000000" w:themeColor="text1"/>
              </w:rPr>
            </w:pPr>
            <w:r w:rsidRPr="00F739E6">
              <w:rPr>
                <w:color w:val="000000" w:themeColor="text1"/>
              </w:rPr>
              <w:t>number of clients with closed support periods only</w:t>
            </w:r>
            <w:r>
              <w:rPr>
                <w:color w:val="000000" w:themeColor="text1"/>
              </w:rPr>
              <w:t xml:space="preserve">, </w:t>
            </w:r>
            <w:r w:rsidRPr="00F739E6">
              <w:rPr>
                <w:color w:val="000000" w:themeColor="text1"/>
              </w:rPr>
              <w:t>who on presentation, were living in non-independent housing and achieved independent housing at the end of support, divided by the number of clients with closed support periods</w:t>
            </w:r>
            <w:r>
              <w:rPr>
                <w:color w:val="000000" w:themeColor="text1"/>
              </w:rPr>
              <w:t xml:space="preserve"> </w:t>
            </w:r>
            <w:r w:rsidRPr="00F739E6">
              <w:rPr>
                <w:color w:val="000000" w:themeColor="text1"/>
              </w:rPr>
              <w:t>only</w:t>
            </w:r>
            <w:r>
              <w:rPr>
                <w:color w:val="000000" w:themeColor="text1"/>
              </w:rPr>
              <w:t xml:space="preserve">, </w:t>
            </w:r>
            <w:r w:rsidRPr="00F739E6">
              <w:rPr>
                <w:color w:val="000000" w:themeColor="text1"/>
              </w:rPr>
              <w:t>who at presentation were living in non-independent/supported housing</w:t>
            </w:r>
          </w:p>
          <w:p w:rsidR="001960A7" w:rsidRPr="00F739E6" w:rsidRDefault="001960A7" w:rsidP="001960A7">
            <w:pPr>
              <w:pStyle w:val="BoxListBullet"/>
              <w:rPr>
                <w:color w:val="000000" w:themeColor="text1"/>
              </w:rPr>
            </w:pPr>
            <w:r w:rsidRPr="00F739E6">
              <w:rPr>
                <w:color w:val="000000" w:themeColor="text1"/>
              </w:rPr>
              <w:t>number of clients with closed support periods only</w:t>
            </w:r>
            <w:r>
              <w:rPr>
                <w:color w:val="000000" w:themeColor="text1"/>
              </w:rPr>
              <w:t xml:space="preserve">, </w:t>
            </w:r>
            <w:r w:rsidRPr="00F739E6">
              <w:rPr>
                <w:color w:val="000000" w:themeColor="text1"/>
              </w:rPr>
              <w:t xml:space="preserve">who achieved independent housing at the end of support, and who did not present </w:t>
            </w:r>
            <w:r>
              <w:rPr>
                <w:color w:val="000000" w:themeColor="text1"/>
              </w:rPr>
              <w:t xml:space="preserve">again </w:t>
            </w:r>
            <w:r w:rsidRPr="00F739E6">
              <w:rPr>
                <w:color w:val="000000" w:themeColor="text1"/>
              </w:rPr>
              <w:t>with a need for short-term, medium-term, long term housing, assistance to sustain tenancy or prevent tenancy failure or eviction or assistance to prevent foreclosures or for mortgage arrears again during the reference year, divided by the number of clients with closed support periods only</w:t>
            </w:r>
            <w:r>
              <w:rPr>
                <w:color w:val="000000" w:themeColor="text1"/>
              </w:rPr>
              <w:t xml:space="preserve">, </w:t>
            </w:r>
            <w:r w:rsidRPr="00F739E6">
              <w:rPr>
                <w:color w:val="000000" w:themeColor="text1"/>
              </w:rPr>
              <w:t>who had requested assistance with obtaining or maintaining independent/non-supported housing</w:t>
            </w:r>
            <w:r>
              <w:rPr>
                <w:color w:val="000000" w:themeColor="text1"/>
              </w:rPr>
              <w:t xml:space="preserve">, </w:t>
            </w:r>
            <w:r w:rsidRPr="00F739E6">
              <w:rPr>
                <w:color w:val="000000" w:themeColor="text1"/>
              </w:rPr>
              <w:t>and who had independent/non-supported housing at the end of support.</w:t>
            </w:r>
          </w:p>
          <w:p w:rsidR="001960A7" w:rsidRPr="00F739E6" w:rsidRDefault="001960A7" w:rsidP="001960A7">
            <w:pPr>
              <w:pStyle w:val="Box"/>
              <w:rPr>
                <w:color w:val="000000" w:themeColor="text1"/>
              </w:rPr>
            </w:pPr>
            <w:r w:rsidRPr="00F739E6">
              <w:rPr>
                <w:bCs/>
                <w:color w:val="000000" w:themeColor="text1"/>
              </w:rPr>
              <w:t>Data are reported for all clients, and separately for Indigenous clients.</w:t>
            </w:r>
          </w:p>
          <w:p w:rsidR="001960A7" w:rsidRPr="00F739E6" w:rsidRDefault="001960A7" w:rsidP="001960A7">
            <w:pPr>
              <w:pStyle w:val="Box"/>
              <w:rPr>
                <w:bCs/>
                <w:color w:val="000000" w:themeColor="text1"/>
              </w:rPr>
            </w:pPr>
            <w:r w:rsidRPr="00F739E6">
              <w:rPr>
                <w:rFonts w:cs="Arial"/>
                <w:bCs/>
                <w:color w:val="000000" w:themeColor="text1"/>
              </w:rPr>
              <w:t xml:space="preserve">Holding other factors constant, a </w:t>
            </w:r>
            <w:r w:rsidRPr="00F739E6">
              <w:rPr>
                <w:bCs/>
                <w:color w:val="000000" w:themeColor="text1"/>
              </w:rPr>
              <w:t xml:space="preserve">high or increasing proportion of closed support periods in which clients achieve independent housing is desirable. </w:t>
            </w:r>
          </w:p>
          <w:p w:rsidR="001960A7" w:rsidRPr="00B3017E" w:rsidRDefault="001960A7" w:rsidP="001960A7">
            <w:pPr>
              <w:pStyle w:val="Box"/>
              <w:rPr>
                <w:color w:val="000000" w:themeColor="text1"/>
              </w:rPr>
            </w:pPr>
            <w:r w:rsidRPr="00F739E6">
              <w:rPr>
                <w:bCs/>
                <w:color w:val="000000" w:themeColor="text1"/>
              </w:rPr>
              <w:t>This indicator compares the proportion of clients who were in independent housing before and after they received support from homelessness services. It relates to relatively short term outcomes — that is, outcomes for clients immediately after their support period. Longer term outcomes are</w:t>
            </w:r>
            <w:r>
              <w:rPr>
                <w:bCs/>
                <w:color w:val="000000" w:themeColor="text1"/>
              </w:rPr>
              <w:t xml:space="preserve"> also </w:t>
            </w:r>
            <w:r w:rsidRPr="00F739E6">
              <w:rPr>
                <w:bCs/>
                <w:color w:val="000000" w:themeColor="text1"/>
              </w:rPr>
              <w:t>important</w:t>
            </w:r>
            <w:r w:rsidRPr="00B3017E">
              <w:rPr>
                <w:bCs/>
                <w:color w:val="000000" w:themeColor="text1"/>
              </w:rPr>
              <w:t>, but more difficult to measure</w:t>
            </w:r>
            <w:r w:rsidRPr="00B3017E">
              <w:rPr>
                <w:color w:val="000000" w:themeColor="text1"/>
              </w:rPr>
              <w:t>.</w:t>
            </w:r>
          </w:p>
          <w:p w:rsidR="001960A7" w:rsidRPr="00523519" w:rsidRDefault="001960A7" w:rsidP="001960A7">
            <w:pPr>
              <w:pStyle w:val="Box"/>
              <w:rPr>
                <w:color w:val="000000" w:themeColor="text1"/>
              </w:rPr>
            </w:pPr>
            <w:r w:rsidRPr="00523519">
              <w:rPr>
                <w:color w:val="000000" w:themeColor="text1"/>
              </w:rPr>
              <w:t>Data reported for these measures are:</w:t>
            </w:r>
          </w:p>
          <w:p w:rsidR="001960A7" w:rsidRPr="00523519" w:rsidRDefault="001960A7" w:rsidP="001960A7">
            <w:pPr>
              <w:pStyle w:val="BoxListBullet"/>
              <w:rPr>
                <w:color w:val="000000" w:themeColor="text1"/>
              </w:rPr>
            </w:pPr>
            <w:r w:rsidRPr="00523519">
              <w:rPr>
                <w:color w:val="000000" w:themeColor="text1"/>
              </w:rPr>
              <w:t>comparable (subject to caveats) across jurisdictions and over time</w:t>
            </w:r>
          </w:p>
          <w:p w:rsidR="001960A7" w:rsidRPr="00B06076" w:rsidRDefault="001960A7" w:rsidP="001960A7">
            <w:pPr>
              <w:pStyle w:val="BoxListBullet"/>
              <w:rPr>
                <w:rFonts w:cs="Arial"/>
                <w:color w:val="000000" w:themeColor="text1"/>
                <w:szCs w:val="22"/>
              </w:rPr>
            </w:pPr>
            <w:r w:rsidRPr="00523519">
              <w:rPr>
                <w:color w:val="000000" w:themeColor="text1"/>
              </w:rPr>
              <w:t>complete for the current repor</w:t>
            </w:r>
            <w:r>
              <w:rPr>
                <w:color w:val="000000" w:themeColor="text1"/>
              </w:rPr>
              <w:t>ting period. All required (2012–</w:t>
            </w:r>
            <w:r w:rsidRPr="00523519">
              <w:rPr>
                <w:color w:val="000000" w:themeColor="text1"/>
              </w:rPr>
              <w:t xml:space="preserve">13) data are available for all </w:t>
            </w:r>
            <w:r>
              <w:t>jurisdictions</w:t>
            </w:r>
            <w:r w:rsidR="006A7102">
              <w:t>.</w:t>
            </w:r>
          </w:p>
          <w:p w:rsidR="001960A7" w:rsidRPr="004F7258" w:rsidRDefault="001960A7" w:rsidP="001960A7">
            <w:pPr>
              <w:pStyle w:val="Box"/>
              <w:rPr>
                <w:rFonts w:cs="Arial"/>
                <w:bCs/>
                <w:color w:val="000000" w:themeColor="text1"/>
                <w:highlight w:val="yellow"/>
              </w:rPr>
            </w:pPr>
            <w:r w:rsidRPr="001960A7">
              <w:rPr>
                <w:rFonts w:cs="Arial"/>
                <w:bCs/>
                <w:color w:val="000000" w:themeColor="text1"/>
              </w:rPr>
              <w:t>Data quality information for this indicator is under development.</w:t>
            </w:r>
          </w:p>
        </w:tc>
      </w:tr>
      <w:tr w:rsidR="001960A7" w:rsidRPr="004F7258" w:rsidTr="00CC6528">
        <w:trPr>
          <w:cantSplit/>
        </w:trPr>
        <w:tc>
          <w:tcPr>
            <w:tcW w:w="8771" w:type="dxa"/>
            <w:tcBorders>
              <w:top w:val="nil"/>
              <w:left w:val="single" w:sz="6" w:space="0" w:color="auto"/>
              <w:bottom w:val="single" w:sz="6" w:space="0" w:color="auto"/>
              <w:right w:val="single" w:sz="6" w:space="0" w:color="auto"/>
            </w:tcBorders>
          </w:tcPr>
          <w:p w:rsidR="001960A7" w:rsidRPr="004F7258" w:rsidRDefault="001960A7" w:rsidP="00CC6528">
            <w:pPr>
              <w:keepNext/>
              <w:spacing w:line="120" w:lineRule="exact"/>
              <w:jc w:val="both"/>
              <w:rPr>
                <w:rFonts w:ascii="Arial" w:hAnsi="Arial"/>
                <w:sz w:val="22"/>
                <w:szCs w:val="20"/>
                <w:highlight w:val="yellow"/>
              </w:rPr>
            </w:pPr>
          </w:p>
        </w:tc>
      </w:tr>
      <w:tr w:rsidR="001960A7" w:rsidRPr="004F7258" w:rsidTr="00CC6528">
        <w:tc>
          <w:tcPr>
            <w:tcW w:w="8771" w:type="dxa"/>
            <w:tcBorders>
              <w:top w:val="nil"/>
              <w:left w:val="nil"/>
              <w:bottom w:val="nil"/>
              <w:right w:val="nil"/>
            </w:tcBorders>
          </w:tcPr>
          <w:p w:rsidR="001960A7" w:rsidRPr="004F7258" w:rsidRDefault="001960A7" w:rsidP="00CC6528">
            <w:pPr>
              <w:spacing w:before="60" w:after="60" w:line="80" w:lineRule="exact"/>
              <w:jc w:val="both"/>
              <w:rPr>
                <w:rFonts w:ascii="Arial" w:hAnsi="Arial"/>
                <w:b/>
                <w:color w:val="FF00FF"/>
                <w:sz w:val="14"/>
                <w:szCs w:val="20"/>
                <w:highlight w:val="yellow"/>
              </w:rPr>
            </w:pPr>
          </w:p>
        </w:tc>
      </w:tr>
    </w:tbl>
    <w:p w:rsidR="001960A7" w:rsidRPr="004F17C9" w:rsidRDefault="001960A7" w:rsidP="001960A7">
      <w:pPr>
        <w:pStyle w:val="BodyText"/>
      </w:pPr>
      <w:r w:rsidRPr="008264BE">
        <w:rPr>
          <w:color w:val="000000" w:themeColor="text1"/>
        </w:rPr>
        <w:lastRenderedPageBreak/>
        <w:t>Nationally, of Indigenous clients who needed assistance with obtaining or maintaining independent housing</w:t>
      </w:r>
      <w:r>
        <w:rPr>
          <w:color w:val="000000" w:themeColor="text1"/>
        </w:rPr>
        <w:t xml:space="preserve"> 58.0 </w:t>
      </w:r>
      <w:r w:rsidRPr="008264BE">
        <w:rPr>
          <w:color w:val="000000" w:themeColor="text1"/>
        </w:rPr>
        <w:t>per cent achieved independent housing in 2012</w:t>
      </w:r>
      <w:r>
        <w:rPr>
          <w:color w:val="000000" w:themeColor="text1"/>
        </w:rPr>
        <w:t>–</w:t>
      </w:r>
      <w:r w:rsidRPr="008264BE">
        <w:rPr>
          <w:color w:val="000000" w:themeColor="text1"/>
        </w:rPr>
        <w:t>13</w:t>
      </w:r>
      <w:r>
        <w:rPr>
          <w:color w:val="000000" w:themeColor="text1"/>
        </w:rPr>
        <w:t xml:space="preserve">, compared with 52.7 per cent in 2011–12 </w:t>
      </w:r>
      <w:r w:rsidRPr="008264BE">
        <w:rPr>
          <w:color w:val="000000" w:themeColor="text1"/>
        </w:rPr>
        <w:t>(figure 18.</w:t>
      </w:r>
      <w:r w:rsidR="00A27226">
        <w:rPr>
          <w:color w:val="000000" w:themeColor="text1"/>
        </w:rPr>
        <w:t>5</w:t>
      </w:r>
      <w:r w:rsidRPr="008264BE">
        <w:rPr>
          <w:color w:val="000000" w:themeColor="text1"/>
        </w:rPr>
        <w:t xml:space="preserve">). This included clients who moved or returned to private </w:t>
      </w:r>
      <w:r w:rsidRPr="004F17C9">
        <w:t>rental housing (</w:t>
      </w:r>
      <w:r>
        <w:t xml:space="preserve">25.1 </w:t>
      </w:r>
      <w:r w:rsidRPr="004F17C9">
        <w:t>per</w:t>
      </w:r>
      <w:r>
        <w:t xml:space="preserve"> </w:t>
      </w:r>
      <w:r w:rsidRPr="004F17C9">
        <w:t xml:space="preserve">cent), </w:t>
      </w:r>
      <w:r>
        <w:t xml:space="preserve">and </w:t>
      </w:r>
      <w:r w:rsidRPr="004F17C9">
        <w:t>to public or community rental housing (</w:t>
      </w:r>
      <w:r>
        <w:t xml:space="preserve">30.2 </w:t>
      </w:r>
      <w:r w:rsidRPr="004F17C9">
        <w:t>per</w:t>
      </w:r>
      <w:r>
        <w:t xml:space="preserve"> </w:t>
      </w:r>
      <w:r w:rsidRPr="004F17C9">
        <w:t>cent)</w:t>
      </w:r>
      <w:r>
        <w:t xml:space="preserve"> (table </w:t>
      </w:r>
      <w:proofErr w:type="spellStart"/>
      <w:r>
        <w:t>18A.25</w:t>
      </w:r>
      <w:proofErr w:type="spellEnd"/>
      <w:r>
        <w:t>).</w:t>
      </w:r>
    </w:p>
    <w:p w:rsidR="001960A7" w:rsidRPr="001322BC" w:rsidRDefault="00A27226" w:rsidP="001960A7">
      <w:pPr>
        <w:pStyle w:val="FigureTitle"/>
        <w:rPr>
          <w:rStyle w:val="NoteLabel"/>
          <w:b/>
        </w:rPr>
      </w:pPr>
      <w:r>
        <w:rPr>
          <w:b w:val="0"/>
        </w:rPr>
        <w:t>Figure 18.5</w:t>
      </w:r>
      <w:r w:rsidR="001960A7">
        <w:tab/>
        <w:t>Closed support periods — p</w:t>
      </w:r>
      <w:r w:rsidR="001960A7" w:rsidRPr="002D13EC">
        <w:t xml:space="preserve">roportion of </w:t>
      </w:r>
      <w:r w:rsidR="001960A7">
        <w:t>Indigenous cl</w:t>
      </w:r>
      <w:r w:rsidR="001960A7" w:rsidRPr="002D13EC">
        <w:t>ients who needed assistance to obtain or maintain independent housing who obtained or maintained independent housing after support</w:t>
      </w:r>
      <w:r w:rsidR="001960A7" w:rsidRPr="001960A7">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960A7" w:rsidTr="00CC6528">
        <w:tc>
          <w:tcPr>
            <w:tcW w:w="8777" w:type="dxa"/>
          </w:tcPr>
          <w:p w:rsidR="001960A7" w:rsidRDefault="001960A7" w:rsidP="00CC6528">
            <w:pPr>
              <w:pStyle w:val="Figure"/>
              <w:ind w:left="360"/>
            </w:pPr>
            <w:r>
              <w:rPr>
                <w:noProof/>
              </w:rPr>
              <w:drawing>
                <wp:inline distT="0" distB="0" distL="0" distR="0" wp14:anchorId="1BF11EBF" wp14:editId="0C35533E">
                  <wp:extent cx="5381625" cy="2686050"/>
                  <wp:effectExtent l="0" t="0" r="9525" b="0"/>
                  <wp:docPr id="22" name="Picture 22" descr="Figure 18.5 Closed support periods — proportion of Indigenous clients who needed assistance to obtain or maintain independent housing who obtained or maintained independent housing after sup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1625" cy="2686050"/>
                          </a:xfrm>
                          <a:prstGeom prst="rect">
                            <a:avLst/>
                          </a:prstGeom>
                          <a:noFill/>
                          <a:ln>
                            <a:noFill/>
                          </a:ln>
                        </pic:spPr>
                      </pic:pic>
                    </a:graphicData>
                  </a:graphic>
                </wp:inline>
              </w:drawing>
            </w:r>
          </w:p>
        </w:tc>
      </w:tr>
    </w:tbl>
    <w:p w:rsidR="001960A7" w:rsidRPr="00421C75" w:rsidRDefault="001960A7" w:rsidP="001960A7">
      <w:pPr>
        <w:pStyle w:val="Note"/>
        <w:rPr>
          <w:color w:val="000000" w:themeColor="text1"/>
        </w:rPr>
      </w:pPr>
      <w:r w:rsidRPr="00421C75">
        <w:rPr>
          <w:rStyle w:val="NoteLabel"/>
          <w:color w:val="000000" w:themeColor="text1"/>
        </w:rPr>
        <w:t>a</w:t>
      </w:r>
      <w:r w:rsidRPr="00421C75">
        <w:rPr>
          <w:color w:val="000000" w:themeColor="text1"/>
        </w:rPr>
        <w:t xml:space="preserve"> SA collection methodology for 2011-12 does not allow for this type of analysis. </w:t>
      </w:r>
      <w:r w:rsidRPr="00421C75">
        <w:rPr>
          <w:rStyle w:val="NoteLabel"/>
          <w:color w:val="000000" w:themeColor="text1"/>
        </w:rPr>
        <w:t xml:space="preserve">b </w:t>
      </w:r>
      <w:r w:rsidRPr="004B7C3F">
        <w:t xml:space="preserve">See notes </w:t>
      </w:r>
      <w:r w:rsidRPr="004B7C3F">
        <w:rPr>
          <w:color w:val="000000" w:themeColor="text1"/>
        </w:rPr>
        <w:t xml:space="preserve">to table </w:t>
      </w:r>
      <w:proofErr w:type="spellStart"/>
      <w:r w:rsidRPr="004B7C3F">
        <w:rPr>
          <w:color w:val="000000" w:themeColor="text1"/>
        </w:rPr>
        <w:t>18A</w:t>
      </w:r>
      <w:r w:rsidRPr="00421C75">
        <w:rPr>
          <w:color w:val="000000" w:themeColor="text1"/>
        </w:rPr>
        <w:t>.2</w:t>
      </w:r>
      <w:r>
        <w:rPr>
          <w:color w:val="000000" w:themeColor="text1"/>
        </w:rPr>
        <w:t>5</w:t>
      </w:r>
      <w:proofErr w:type="spellEnd"/>
      <w:r w:rsidRPr="00421C75">
        <w:rPr>
          <w:color w:val="000000" w:themeColor="text1"/>
        </w:rPr>
        <w:t xml:space="preserve"> for more information.</w:t>
      </w:r>
    </w:p>
    <w:p w:rsidR="001960A7" w:rsidRPr="00421C75" w:rsidRDefault="001960A7" w:rsidP="001960A7">
      <w:pPr>
        <w:pStyle w:val="Source"/>
        <w:rPr>
          <w:color w:val="000000" w:themeColor="text1"/>
        </w:rPr>
      </w:pPr>
      <w:r w:rsidRPr="00421C75">
        <w:rPr>
          <w:i/>
          <w:color w:val="000000" w:themeColor="text1"/>
        </w:rPr>
        <w:t>Source</w:t>
      </w:r>
      <w:r w:rsidRPr="00421C75">
        <w:rPr>
          <w:color w:val="000000" w:themeColor="text1"/>
        </w:rPr>
        <w:t xml:space="preserve">: </w:t>
      </w:r>
      <w:proofErr w:type="spellStart"/>
      <w:r w:rsidRPr="00421C75">
        <w:rPr>
          <w:color w:val="000000" w:themeColor="text1"/>
        </w:rPr>
        <w:t>AIHW</w:t>
      </w:r>
      <w:proofErr w:type="spellEnd"/>
      <w:r w:rsidRPr="00421C75">
        <w:rPr>
          <w:color w:val="000000" w:themeColor="text1"/>
        </w:rPr>
        <w:t xml:space="preserve"> (unpublished) </w:t>
      </w:r>
      <w:r w:rsidRPr="00421C75">
        <w:rPr>
          <w:i/>
          <w:color w:val="000000" w:themeColor="text1"/>
        </w:rPr>
        <w:t>Specialist Homelessness Services Collection: National Data Collection annual report</w:t>
      </w:r>
      <w:r w:rsidRPr="00421C75">
        <w:rPr>
          <w:color w:val="000000" w:themeColor="text1"/>
        </w:rPr>
        <w:t xml:space="preserve">, Australia; table </w:t>
      </w:r>
      <w:proofErr w:type="spellStart"/>
      <w:r w:rsidRPr="00421C75">
        <w:rPr>
          <w:color w:val="000000" w:themeColor="text1"/>
        </w:rPr>
        <w:t>18A.2</w:t>
      </w:r>
      <w:r>
        <w:rPr>
          <w:color w:val="000000" w:themeColor="text1"/>
        </w:rPr>
        <w:t>5</w:t>
      </w:r>
      <w:proofErr w:type="spellEnd"/>
      <w:r w:rsidRPr="001960A7">
        <w:t>; 2014 Report, figure 18.1</w:t>
      </w:r>
      <w:r>
        <w:t>8</w:t>
      </w:r>
      <w:r w:rsidRPr="001960A7">
        <w:t>, p. 18.3</w:t>
      </w:r>
      <w:r>
        <w:t>8</w:t>
      </w:r>
      <w:r w:rsidRPr="001960A7">
        <w:t>.</w:t>
      </w:r>
    </w:p>
    <w:p w:rsidR="0014213B" w:rsidRDefault="0014213B" w:rsidP="0014213B">
      <w:pPr>
        <w:pStyle w:val="BodyText"/>
        <w:rPr>
          <w:color w:val="000000" w:themeColor="text1"/>
        </w:rPr>
      </w:pPr>
      <w:r>
        <w:rPr>
          <w:color w:val="000000" w:themeColor="text1"/>
        </w:rPr>
        <w:t>Data for 2011–12 are included in table</w:t>
      </w:r>
      <w:r w:rsidR="001205BE">
        <w:rPr>
          <w:color w:val="000000" w:themeColor="text1"/>
        </w:rPr>
        <w:t xml:space="preserve"> </w:t>
      </w:r>
      <w:proofErr w:type="spellStart"/>
      <w:r w:rsidR="001205BE">
        <w:rPr>
          <w:color w:val="000000" w:themeColor="text1"/>
        </w:rPr>
        <w:t>18A</w:t>
      </w:r>
      <w:r>
        <w:rPr>
          <w:color w:val="000000" w:themeColor="text1"/>
        </w:rPr>
        <w:t>.25</w:t>
      </w:r>
      <w:proofErr w:type="spellEnd"/>
      <w:r>
        <w:rPr>
          <w:color w:val="000000" w:themeColor="text1"/>
        </w:rPr>
        <w:t>.</w:t>
      </w:r>
    </w:p>
    <w:p w:rsidR="001205BE" w:rsidRPr="00875265" w:rsidRDefault="001205BE" w:rsidP="001205BE">
      <w:pPr>
        <w:pStyle w:val="BodyText"/>
      </w:pPr>
      <w:r>
        <w:t xml:space="preserve">Data for Indigenous clients are included in table </w:t>
      </w:r>
      <w:proofErr w:type="spellStart"/>
      <w:r>
        <w:t>18A.28</w:t>
      </w:r>
      <w:proofErr w:type="spellEnd"/>
      <w:r>
        <w:t>.</w:t>
      </w:r>
    </w:p>
    <w:p w:rsidR="00A63C52" w:rsidRPr="001205BE" w:rsidRDefault="001205BE" w:rsidP="00A63C52">
      <w:pPr>
        <w:keepNext/>
        <w:spacing w:before="480" w:line="320" w:lineRule="exact"/>
        <w:outlineLvl w:val="3"/>
        <w:rPr>
          <w:rFonts w:ascii="Arial" w:hAnsi="Arial"/>
          <w:i/>
          <w:sz w:val="24"/>
          <w:szCs w:val="20"/>
        </w:rPr>
      </w:pPr>
      <w:bookmarkStart w:id="43" w:name="_Toc384648017"/>
      <w:bookmarkEnd w:id="40"/>
      <w:r w:rsidRPr="001205BE">
        <w:rPr>
          <w:rFonts w:ascii="Arial" w:hAnsi="Arial"/>
          <w:i/>
          <w:sz w:val="24"/>
          <w:szCs w:val="20"/>
        </w:rPr>
        <w:t>Proportion of people experiencing repeat periods of homelessness</w:t>
      </w:r>
      <w:bookmarkEnd w:id="43"/>
    </w:p>
    <w:p w:rsidR="001205BE" w:rsidRDefault="001205BE" w:rsidP="004B7C3F">
      <w:pPr>
        <w:pStyle w:val="BodyText"/>
        <w:rPr>
          <w:bCs/>
          <w:highlight w:val="yellow"/>
        </w:rPr>
      </w:pPr>
      <w:r w:rsidRPr="00131139">
        <w:rPr>
          <w:bCs/>
        </w:rPr>
        <w:t>‘Proportion of people experiencing repeat periods of homelessness’ is an indicator of governments’ objective to enable clients to participate independently in society at the end of their support period</w:t>
      </w:r>
      <w:r>
        <w:rPr>
          <w:bCs/>
        </w:rPr>
        <w:t xml:space="preserve"> (box 18.8).</w:t>
      </w:r>
    </w:p>
    <w:p w:rsidR="00B022C5" w:rsidRPr="004F7258" w:rsidRDefault="00B022C5" w:rsidP="00B022C5">
      <w:pPr>
        <w:pStyle w:val="BoxSpace"/>
        <w:rPr>
          <w:highlight w:val="yellow"/>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63C52" w:rsidRPr="004F7258" w:rsidTr="004F7258">
        <w:tc>
          <w:tcPr>
            <w:tcW w:w="8771" w:type="dxa"/>
            <w:tcBorders>
              <w:top w:val="single" w:sz="6" w:space="0" w:color="auto"/>
              <w:bottom w:val="nil"/>
            </w:tcBorders>
          </w:tcPr>
          <w:p w:rsidR="00A63C52" w:rsidRPr="004F7258" w:rsidRDefault="00A63C52" w:rsidP="001205BE">
            <w:pPr>
              <w:keepNext/>
              <w:keepLines/>
              <w:spacing w:before="120" w:line="280" w:lineRule="exact"/>
              <w:ind w:left="1304" w:hanging="1304"/>
              <w:rPr>
                <w:rFonts w:ascii="Arial" w:hAnsi="Arial"/>
                <w:b/>
                <w:highlight w:val="yellow"/>
              </w:rPr>
            </w:pPr>
            <w:r w:rsidRPr="001205BE">
              <w:rPr>
                <w:rFonts w:ascii="Arial" w:hAnsi="Arial"/>
              </w:rPr>
              <w:t xml:space="preserve">Box </w:t>
            </w:r>
            <w:r w:rsidR="000A3ED2" w:rsidRPr="001205BE">
              <w:rPr>
                <w:rFonts w:ascii="Arial" w:hAnsi="Arial"/>
                <w:sz w:val="24"/>
              </w:rPr>
              <w:t>1</w:t>
            </w:r>
            <w:r w:rsidR="001205BE" w:rsidRPr="001205BE">
              <w:rPr>
                <w:rFonts w:ascii="Arial" w:hAnsi="Arial"/>
                <w:sz w:val="24"/>
              </w:rPr>
              <w:t>8</w:t>
            </w:r>
            <w:r w:rsidR="000A3ED2" w:rsidRPr="001205BE">
              <w:rPr>
                <w:rFonts w:ascii="Arial" w:hAnsi="Arial"/>
                <w:sz w:val="24"/>
              </w:rPr>
              <w:t>.</w:t>
            </w:r>
            <w:r w:rsidR="001205BE" w:rsidRPr="001205BE">
              <w:rPr>
                <w:rFonts w:ascii="Arial" w:hAnsi="Arial"/>
                <w:sz w:val="24"/>
              </w:rPr>
              <w:t>8</w:t>
            </w:r>
            <w:r w:rsidRPr="001205BE">
              <w:rPr>
                <w:rFonts w:ascii="Arial" w:hAnsi="Arial"/>
                <w:b/>
              </w:rPr>
              <w:tab/>
            </w:r>
            <w:r w:rsidR="001205BE" w:rsidRPr="001205BE">
              <w:rPr>
                <w:rFonts w:ascii="Arial" w:hAnsi="Arial"/>
                <w:b/>
              </w:rPr>
              <w:t>Proportion of people experiencing repeat periods of homelessness</w:t>
            </w:r>
          </w:p>
        </w:tc>
      </w:tr>
      <w:tr w:rsidR="001205BE" w:rsidRPr="004F7258" w:rsidTr="004F7258">
        <w:trPr>
          <w:cantSplit/>
        </w:trPr>
        <w:tc>
          <w:tcPr>
            <w:tcW w:w="8771" w:type="dxa"/>
            <w:tcBorders>
              <w:top w:val="nil"/>
              <w:left w:val="single" w:sz="6" w:space="0" w:color="auto"/>
              <w:bottom w:val="nil"/>
              <w:right w:val="single" w:sz="6" w:space="0" w:color="auto"/>
            </w:tcBorders>
          </w:tcPr>
          <w:p w:rsidR="001205BE" w:rsidRDefault="001205BE" w:rsidP="001205BE">
            <w:pPr>
              <w:pStyle w:val="Box"/>
              <w:rPr>
                <w:bCs/>
                <w:color w:val="000000" w:themeColor="text1"/>
              </w:rPr>
            </w:pPr>
            <w:r>
              <w:rPr>
                <w:bCs/>
                <w:color w:val="000000" w:themeColor="text1"/>
              </w:rPr>
              <w:t xml:space="preserve">‘Proportion of people experiencing repeat periods of homelessness’ is defined as the number of </w:t>
            </w:r>
            <w:proofErr w:type="spellStart"/>
            <w:r w:rsidRPr="007E6911">
              <w:rPr>
                <w:bCs/>
                <w:color w:val="000000" w:themeColor="text1"/>
              </w:rPr>
              <w:t>SHS</w:t>
            </w:r>
            <w:proofErr w:type="spellEnd"/>
            <w:r w:rsidRPr="007E6911">
              <w:rPr>
                <w:bCs/>
                <w:color w:val="000000" w:themeColor="text1"/>
              </w:rPr>
              <w:t xml:space="preserve"> clients who change status from ‘homeless’ to ‘not h</w:t>
            </w:r>
            <w:r>
              <w:rPr>
                <w:bCs/>
                <w:color w:val="000000" w:themeColor="text1"/>
              </w:rPr>
              <w:t xml:space="preserve">omeless’ and back to ‘homeless’, divided by the </w:t>
            </w:r>
            <w:r w:rsidRPr="007E6911">
              <w:rPr>
                <w:bCs/>
                <w:color w:val="000000" w:themeColor="text1"/>
              </w:rPr>
              <w:t xml:space="preserve">number of </w:t>
            </w:r>
            <w:proofErr w:type="spellStart"/>
            <w:r w:rsidRPr="007E6911">
              <w:rPr>
                <w:bCs/>
                <w:color w:val="000000" w:themeColor="text1"/>
              </w:rPr>
              <w:t>SHS</w:t>
            </w:r>
            <w:proofErr w:type="spellEnd"/>
            <w:r w:rsidRPr="007E6911">
              <w:rPr>
                <w:bCs/>
                <w:color w:val="000000" w:themeColor="text1"/>
              </w:rPr>
              <w:t xml:space="preserve"> clients who experienced homelessness at any t</w:t>
            </w:r>
            <w:r>
              <w:rPr>
                <w:bCs/>
                <w:color w:val="000000" w:themeColor="text1"/>
              </w:rPr>
              <w:t>ime during the reporting period.</w:t>
            </w:r>
          </w:p>
          <w:p w:rsidR="001205BE" w:rsidRPr="0017421E" w:rsidRDefault="001205BE" w:rsidP="001205BE">
            <w:pPr>
              <w:pStyle w:val="Box"/>
              <w:rPr>
                <w:bCs/>
                <w:color w:val="000000" w:themeColor="text1"/>
              </w:rPr>
            </w:pPr>
            <w:r w:rsidRPr="007E6911">
              <w:rPr>
                <w:bCs/>
                <w:color w:val="000000" w:themeColor="text1"/>
              </w:rPr>
              <w:t xml:space="preserve">The measure under this indicator is a </w:t>
            </w:r>
            <w:r w:rsidRPr="007E6911">
              <w:rPr>
                <w:bCs/>
                <w:i/>
                <w:color w:val="000000" w:themeColor="text1"/>
              </w:rPr>
              <w:t>proxy</w:t>
            </w:r>
            <w:r w:rsidRPr="007E6911">
              <w:rPr>
                <w:bCs/>
                <w:color w:val="000000" w:themeColor="text1"/>
              </w:rPr>
              <w:t xml:space="preserve"> as it only captures homeless people who access </w:t>
            </w:r>
            <w:proofErr w:type="spellStart"/>
            <w:r w:rsidRPr="007E6911">
              <w:rPr>
                <w:bCs/>
                <w:color w:val="000000" w:themeColor="text1"/>
              </w:rPr>
              <w:t>SHS</w:t>
            </w:r>
            <w:proofErr w:type="spellEnd"/>
            <w:r w:rsidRPr="007E6911">
              <w:rPr>
                <w:bCs/>
                <w:color w:val="000000" w:themeColor="text1"/>
              </w:rPr>
              <w:t xml:space="preserve"> (</w:t>
            </w:r>
            <w:proofErr w:type="spellStart"/>
            <w:r w:rsidRPr="007E6911">
              <w:rPr>
                <w:bCs/>
                <w:color w:val="000000" w:themeColor="text1"/>
              </w:rPr>
              <w:t>ie</w:t>
            </w:r>
            <w:proofErr w:type="spellEnd"/>
            <w:r w:rsidRPr="007E6911">
              <w:rPr>
                <w:bCs/>
                <w:color w:val="000000" w:themeColor="text1"/>
              </w:rPr>
              <w:t>, homeless people who do not access homelessness services are not identified)</w:t>
            </w:r>
            <w:r>
              <w:rPr>
                <w:bCs/>
                <w:color w:val="000000" w:themeColor="text1"/>
              </w:rPr>
              <w:t>.</w:t>
            </w:r>
          </w:p>
          <w:p w:rsidR="001205BE" w:rsidRPr="00523519" w:rsidRDefault="001205BE" w:rsidP="001205BE">
            <w:pPr>
              <w:pStyle w:val="Box"/>
              <w:rPr>
                <w:bCs/>
                <w:color w:val="000000" w:themeColor="text1"/>
              </w:rPr>
            </w:pPr>
            <w:r w:rsidRPr="001205BE">
              <w:rPr>
                <w:bCs/>
                <w:color w:val="000000" w:themeColor="text1"/>
              </w:rPr>
              <w:t xml:space="preserve">Holding other factors constant, a </w:t>
            </w:r>
            <w:r w:rsidRPr="00523519">
              <w:rPr>
                <w:bCs/>
                <w:color w:val="000000" w:themeColor="text1"/>
              </w:rPr>
              <w:t>low or decreasing proportion of clients who more than once required housing or accommodation support specifically is desirable.</w:t>
            </w:r>
          </w:p>
          <w:p w:rsidR="001205BE" w:rsidRPr="001205BE" w:rsidRDefault="001205BE" w:rsidP="001205BE">
            <w:pPr>
              <w:pStyle w:val="Box"/>
              <w:rPr>
                <w:color w:val="000000" w:themeColor="text1"/>
              </w:rPr>
            </w:pPr>
            <w:r w:rsidRPr="001205BE">
              <w:rPr>
                <w:color w:val="000000" w:themeColor="text1"/>
              </w:rPr>
              <w:t>Data reported for this indicator are:</w:t>
            </w:r>
          </w:p>
          <w:p w:rsidR="001205BE" w:rsidRPr="001205BE" w:rsidRDefault="001205BE" w:rsidP="001205BE">
            <w:pPr>
              <w:pStyle w:val="BoxListBullet"/>
              <w:rPr>
                <w:color w:val="000000" w:themeColor="text1"/>
              </w:rPr>
            </w:pPr>
            <w:r w:rsidRPr="001205BE">
              <w:rPr>
                <w:color w:val="000000" w:themeColor="text1"/>
              </w:rPr>
              <w:t>comparable (subject to caveats) across jurisdictions and over time</w:t>
            </w:r>
          </w:p>
          <w:p w:rsidR="001205BE" w:rsidRPr="001205BE" w:rsidRDefault="001205BE" w:rsidP="001205BE">
            <w:pPr>
              <w:pStyle w:val="BoxListBullet"/>
              <w:rPr>
                <w:color w:val="000000" w:themeColor="text1"/>
              </w:rPr>
            </w:pPr>
            <w:r w:rsidRPr="001205BE">
              <w:rPr>
                <w:color w:val="000000" w:themeColor="text1"/>
              </w:rPr>
              <w:t>complete for the current reporting period. All required (2012–13) data are available for all jurisdictions.</w:t>
            </w:r>
          </w:p>
          <w:p w:rsidR="001205BE" w:rsidRPr="00A07441" w:rsidRDefault="001205BE" w:rsidP="001205BE">
            <w:pPr>
              <w:pStyle w:val="Box"/>
              <w:rPr>
                <w:bCs/>
                <w:color w:val="000000" w:themeColor="text1"/>
              </w:rPr>
            </w:pPr>
            <w:r w:rsidRPr="00523519">
              <w:rPr>
                <w:rFonts w:cs="Arial"/>
                <w:color w:val="000000" w:themeColor="text1"/>
                <w:szCs w:val="26"/>
              </w:rPr>
              <w:t xml:space="preserve">Data quality information for </w:t>
            </w:r>
            <w:r w:rsidRPr="0017421E">
              <w:rPr>
                <w:rFonts w:cs="Arial"/>
                <w:color w:val="000000" w:themeColor="text1"/>
                <w:szCs w:val="26"/>
              </w:rPr>
              <w:t>this indicator is under development.</w:t>
            </w:r>
          </w:p>
        </w:tc>
      </w:tr>
      <w:tr w:rsidR="00A63C52" w:rsidRPr="004F7258" w:rsidTr="004F7258">
        <w:trPr>
          <w:cantSplit/>
        </w:trPr>
        <w:tc>
          <w:tcPr>
            <w:tcW w:w="8771" w:type="dxa"/>
            <w:tcBorders>
              <w:top w:val="nil"/>
              <w:left w:val="single" w:sz="6" w:space="0" w:color="auto"/>
              <w:bottom w:val="single" w:sz="6" w:space="0" w:color="auto"/>
              <w:right w:val="single" w:sz="6" w:space="0" w:color="auto"/>
            </w:tcBorders>
          </w:tcPr>
          <w:p w:rsidR="00A63C52" w:rsidRPr="004F7258" w:rsidRDefault="00A63C52" w:rsidP="004F7258">
            <w:pPr>
              <w:keepNext/>
              <w:spacing w:line="120" w:lineRule="exact"/>
              <w:jc w:val="both"/>
              <w:rPr>
                <w:rFonts w:ascii="Arial" w:hAnsi="Arial"/>
                <w:sz w:val="22"/>
                <w:szCs w:val="20"/>
                <w:highlight w:val="yellow"/>
              </w:rPr>
            </w:pPr>
          </w:p>
        </w:tc>
      </w:tr>
      <w:tr w:rsidR="00A63C52" w:rsidRPr="004F7258" w:rsidTr="004F7258">
        <w:tc>
          <w:tcPr>
            <w:tcW w:w="8771" w:type="dxa"/>
            <w:tcBorders>
              <w:top w:val="nil"/>
              <w:left w:val="nil"/>
              <w:bottom w:val="nil"/>
              <w:right w:val="nil"/>
            </w:tcBorders>
          </w:tcPr>
          <w:p w:rsidR="00A63C52" w:rsidRPr="004F7258" w:rsidRDefault="00A63C52" w:rsidP="004F7258">
            <w:pPr>
              <w:spacing w:before="60" w:after="60" w:line="80" w:lineRule="exact"/>
              <w:jc w:val="both"/>
              <w:rPr>
                <w:rFonts w:ascii="Arial" w:hAnsi="Arial"/>
                <w:b/>
                <w:color w:val="FF00FF"/>
                <w:sz w:val="14"/>
                <w:szCs w:val="20"/>
                <w:highlight w:val="yellow"/>
              </w:rPr>
            </w:pPr>
          </w:p>
        </w:tc>
      </w:tr>
    </w:tbl>
    <w:p w:rsidR="001205BE" w:rsidRDefault="001205BE" w:rsidP="001205BE">
      <w:pPr>
        <w:pStyle w:val="BodyText"/>
      </w:pPr>
      <w:r>
        <w:t>Nationally, 4.0 per cent of all clients who experienced homelessness at some time in 2012–13, had more than one period of homelessness compared with 4.7 per cent in 2011–12 (figure 18.</w:t>
      </w:r>
      <w:r w:rsidR="00913762">
        <w:t>6</w:t>
      </w:r>
      <w:r>
        <w:t xml:space="preserve"> and 2014 Report, table </w:t>
      </w:r>
      <w:proofErr w:type="spellStart"/>
      <w:r>
        <w:t>18A.29</w:t>
      </w:r>
      <w:proofErr w:type="spellEnd"/>
      <w:r>
        <w:t xml:space="preserve">). The proportion of Indigenous clients who experienced homelessness at some time in 2012–13 and who had more than one period of homelessness decreased from 5.2 per cent in 2011–12 to 4.9 per cent in 2012–13. </w:t>
      </w:r>
      <w:r w:rsidRPr="004C0513">
        <w:rPr>
          <w:color w:val="000000"/>
        </w:rPr>
        <w:t>T</w:t>
      </w:r>
      <w:r>
        <w:rPr>
          <w:color w:val="000000"/>
        </w:rPr>
        <w:t xml:space="preserve">hese </w:t>
      </w:r>
      <w:r w:rsidRPr="004C0513">
        <w:rPr>
          <w:color w:val="000000"/>
        </w:rPr>
        <w:t>proportion</w:t>
      </w:r>
      <w:r>
        <w:rPr>
          <w:color w:val="000000"/>
        </w:rPr>
        <w:t>s</w:t>
      </w:r>
      <w:r w:rsidRPr="004F17C9">
        <w:t xml:space="preserve"> varied across jurisdictions (</w:t>
      </w:r>
      <w:r>
        <w:t>figure 18.</w:t>
      </w:r>
      <w:r w:rsidR="00913762">
        <w:t>6</w:t>
      </w:r>
      <w:r>
        <w:t xml:space="preserve"> and </w:t>
      </w:r>
      <w:r>
        <w:br/>
        <w:t xml:space="preserve">table </w:t>
      </w:r>
      <w:proofErr w:type="spellStart"/>
      <w:r>
        <w:t>18A.30</w:t>
      </w:r>
      <w:proofErr w:type="spellEnd"/>
      <w:r>
        <w:t>).</w:t>
      </w:r>
    </w:p>
    <w:p w:rsidR="001205BE" w:rsidRDefault="001205BE" w:rsidP="001205BE">
      <w:pPr>
        <w:pStyle w:val="FigureTitle"/>
      </w:pPr>
      <w:r>
        <w:rPr>
          <w:b w:val="0"/>
        </w:rPr>
        <w:lastRenderedPageBreak/>
        <w:t>Figure 18.</w:t>
      </w:r>
      <w:r w:rsidR="00913762">
        <w:rPr>
          <w:b w:val="0"/>
        </w:rPr>
        <w:t>6</w:t>
      </w:r>
      <w:r>
        <w:tab/>
        <w:t>Clients who had more than one period of homelessness, all clients and Indigenous clients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205BE" w:rsidTr="00CC6528">
        <w:tc>
          <w:tcPr>
            <w:tcW w:w="8777" w:type="dxa"/>
          </w:tcPr>
          <w:p w:rsidR="001205BE" w:rsidRDefault="001205BE" w:rsidP="00CC6528">
            <w:pPr>
              <w:pStyle w:val="Figure"/>
            </w:pPr>
            <w:r>
              <w:rPr>
                <w:noProof/>
              </w:rPr>
              <w:drawing>
                <wp:inline distT="0" distB="0" distL="0" distR="0" wp14:anchorId="74C71A6E" wp14:editId="154DF4E9">
                  <wp:extent cx="5362575" cy="2686050"/>
                  <wp:effectExtent l="0" t="0" r="9525" b="0"/>
                  <wp:docPr id="26" name="Picture 26" descr="Figure 18.6 Clients who had more than one period of homelessness, all clients and Indigenous clien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62575" cy="2686050"/>
                          </a:xfrm>
                          <a:prstGeom prst="rect">
                            <a:avLst/>
                          </a:prstGeom>
                          <a:noFill/>
                          <a:ln>
                            <a:noFill/>
                          </a:ln>
                        </pic:spPr>
                      </pic:pic>
                    </a:graphicData>
                  </a:graphic>
                </wp:inline>
              </w:drawing>
            </w:r>
          </w:p>
        </w:tc>
      </w:tr>
    </w:tbl>
    <w:p w:rsidR="001205BE" w:rsidRPr="00421C75" w:rsidRDefault="001205BE" w:rsidP="001205BE">
      <w:pPr>
        <w:pStyle w:val="Source"/>
        <w:rPr>
          <w:color w:val="000000" w:themeColor="text1"/>
        </w:rPr>
      </w:pPr>
      <w:r w:rsidRPr="00421C75">
        <w:rPr>
          <w:i/>
          <w:color w:val="000000" w:themeColor="text1"/>
        </w:rPr>
        <w:t>Source</w:t>
      </w:r>
      <w:r w:rsidRPr="00421C75">
        <w:rPr>
          <w:color w:val="000000" w:themeColor="text1"/>
        </w:rPr>
        <w:t xml:space="preserve">: </w:t>
      </w:r>
      <w:proofErr w:type="spellStart"/>
      <w:r w:rsidRPr="00421C75">
        <w:rPr>
          <w:color w:val="000000" w:themeColor="text1"/>
        </w:rPr>
        <w:t>AIHW</w:t>
      </w:r>
      <w:proofErr w:type="spellEnd"/>
      <w:r w:rsidRPr="00421C75">
        <w:rPr>
          <w:color w:val="000000" w:themeColor="text1"/>
        </w:rPr>
        <w:t xml:space="preserve"> (unpublished) </w:t>
      </w:r>
      <w:r w:rsidRPr="00421C75">
        <w:rPr>
          <w:i/>
          <w:color w:val="000000" w:themeColor="text1"/>
        </w:rPr>
        <w:t>Specialist Homelessness Services Collection: National Data Collection annual report</w:t>
      </w:r>
      <w:r w:rsidRPr="00421C75">
        <w:rPr>
          <w:color w:val="000000" w:themeColor="text1"/>
        </w:rPr>
        <w:t xml:space="preserve">, Australia; </w:t>
      </w:r>
      <w:r>
        <w:rPr>
          <w:color w:val="000000" w:themeColor="text1"/>
        </w:rPr>
        <w:t xml:space="preserve">table </w:t>
      </w:r>
      <w:proofErr w:type="spellStart"/>
      <w:r>
        <w:rPr>
          <w:color w:val="000000" w:themeColor="text1"/>
        </w:rPr>
        <w:t>18A.30</w:t>
      </w:r>
      <w:proofErr w:type="spellEnd"/>
      <w:r>
        <w:rPr>
          <w:color w:val="000000" w:themeColor="text1"/>
        </w:rPr>
        <w:t xml:space="preserve"> and 2014 Report, table</w:t>
      </w:r>
      <w:r w:rsidRPr="00421C75">
        <w:rPr>
          <w:color w:val="000000" w:themeColor="text1"/>
        </w:rPr>
        <w:t xml:space="preserve"> </w:t>
      </w:r>
      <w:proofErr w:type="spellStart"/>
      <w:r w:rsidRPr="00421C75">
        <w:rPr>
          <w:color w:val="000000" w:themeColor="text1"/>
        </w:rPr>
        <w:t>18A.2</w:t>
      </w:r>
      <w:r>
        <w:rPr>
          <w:color w:val="000000" w:themeColor="text1"/>
        </w:rPr>
        <w:t>9</w:t>
      </w:r>
      <w:proofErr w:type="spellEnd"/>
      <w:r w:rsidRPr="001960A7">
        <w:t>; 2014 Report, figure 18.</w:t>
      </w:r>
      <w:r>
        <w:t>21</w:t>
      </w:r>
      <w:r w:rsidRPr="001960A7">
        <w:t>, p. 18.</w:t>
      </w:r>
      <w:r>
        <w:t>42</w:t>
      </w:r>
      <w:r w:rsidRPr="001960A7">
        <w:t>.</w:t>
      </w:r>
    </w:p>
    <w:p w:rsidR="00CC6528" w:rsidRDefault="00CC6528">
      <w:pPr>
        <w:rPr>
          <w:rFonts w:ascii="Arial" w:hAnsi="Arial"/>
          <w:b/>
          <w:szCs w:val="20"/>
        </w:rPr>
      </w:pPr>
      <w:bookmarkStart w:id="44" w:name="_Toc277599143"/>
      <w:bookmarkStart w:id="45" w:name="_Toc290296868"/>
      <w:bookmarkStart w:id="46" w:name="_Toc290296903"/>
      <w:bookmarkStart w:id="47" w:name="_Toc319588809"/>
      <w:bookmarkStart w:id="48" w:name="_Toc349206454"/>
      <w:bookmarkStart w:id="49" w:name="_Toc350860204"/>
      <w:bookmarkStart w:id="50" w:name="_Toc309313620"/>
      <w:bookmarkEnd w:id="41"/>
      <w:r>
        <w:rPr>
          <w:rFonts w:ascii="Arial" w:hAnsi="Arial"/>
          <w:b/>
          <w:szCs w:val="20"/>
        </w:rPr>
        <w:br w:type="page"/>
      </w:r>
    </w:p>
    <w:p w:rsidR="00F4697E" w:rsidRPr="001205BE" w:rsidRDefault="00F4697E" w:rsidP="00F4697E">
      <w:pPr>
        <w:spacing w:before="560" w:line="320" w:lineRule="exact"/>
        <w:outlineLvl w:val="2"/>
        <w:rPr>
          <w:rFonts w:ascii="Arial" w:hAnsi="Arial"/>
          <w:b/>
          <w:szCs w:val="20"/>
        </w:rPr>
      </w:pPr>
      <w:bookmarkStart w:id="51" w:name="_Toc384648018"/>
      <w:r w:rsidRPr="001205BE">
        <w:rPr>
          <w:rFonts w:ascii="Arial" w:hAnsi="Arial"/>
          <w:b/>
          <w:szCs w:val="20"/>
        </w:rPr>
        <w:lastRenderedPageBreak/>
        <w:t>Definitions of key terms</w:t>
      </w:r>
      <w:bookmarkEnd w:id="44"/>
      <w:bookmarkEnd w:id="45"/>
      <w:bookmarkEnd w:id="46"/>
      <w:bookmarkEnd w:id="47"/>
      <w:bookmarkEnd w:id="48"/>
      <w:bookmarkEnd w:id="49"/>
      <w:bookmarkEnd w:id="51"/>
    </w:p>
    <w:tbl>
      <w:tblPr>
        <w:tblW w:w="0" w:type="auto"/>
        <w:tblLayout w:type="fixed"/>
        <w:tblLook w:val="0000" w:firstRow="0" w:lastRow="0" w:firstColumn="0" w:lastColumn="0" w:noHBand="0" w:noVBand="0"/>
      </w:tblPr>
      <w:tblGrid>
        <w:gridCol w:w="1809"/>
        <w:gridCol w:w="6980"/>
      </w:tblGrid>
      <w:tr w:rsidR="005E2FCF" w:rsidRPr="004F7258" w:rsidTr="004F7258">
        <w:tc>
          <w:tcPr>
            <w:tcW w:w="8789" w:type="dxa"/>
            <w:gridSpan w:val="2"/>
            <w:shd w:val="clear" w:color="auto" w:fill="auto"/>
          </w:tcPr>
          <w:p w:rsidR="005E2FCF" w:rsidRPr="001205BE" w:rsidRDefault="005E2FCF" w:rsidP="004F7258">
            <w:pPr>
              <w:keepNext/>
              <w:keepLines/>
              <w:spacing w:before="80" w:after="80" w:line="220" w:lineRule="atLeast"/>
              <w:ind w:left="6" w:right="113"/>
              <w:rPr>
                <w:rFonts w:ascii="Arial" w:hAnsi="Arial"/>
                <w:b/>
                <w:i/>
                <w:color w:val="000000" w:themeColor="text1"/>
                <w:sz w:val="22"/>
                <w:szCs w:val="22"/>
                <w:u w:val="dotted"/>
              </w:rPr>
            </w:pPr>
            <w:r w:rsidRPr="001205BE">
              <w:rPr>
                <w:rFonts w:ascii="Arial" w:hAnsi="Arial"/>
                <w:b/>
                <w:i/>
                <w:color w:val="000000" w:themeColor="text1"/>
                <w:sz w:val="20"/>
                <w:szCs w:val="20"/>
              </w:rPr>
              <w:t xml:space="preserve">Based on the </w:t>
            </w:r>
            <w:proofErr w:type="spellStart"/>
            <w:r w:rsidRPr="001205BE">
              <w:rPr>
                <w:rFonts w:ascii="Arial" w:hAnsi="Arial"/>
                <w:b/>
                <w:i/>
                <w:color w:val="000000" w:themeColor="text1"/>
                <w:sz w:val="20"/>
                <w:szCs w:val="20"/>
              </w:rPr>
              <w:t>SHS</w:t>
            </w:r>
            <w:proofErr w:type="spellEnd"/>
            <w:r w:rsidRPr="001205BE">
              <w:rPr>
                <w:rFonts w:ascii="Arial" w:hAnsi="Arial"/>
                <w:b/>
                <w:i/>
                <w:color w:val="000000" w:themeColor="text1"/>
                <w:sz w:val="20"/>
                <w:szCs w:val="20"/>
              </w:rPr>
              <w:t xml:space="preserve"> client collection</w:t>
            </w:r>
          </w:p>
        </w:tc>
      </w:tr>
      <w:tr w:rsidR="001205BE" w:rsidRPr="004F7258" w:rsidTr="00CC6528">
        <w:tc>
          <w:tcPr>
            <w:tcW w:w="1809" w:type="dxa"/>
            <w:shd w:val="clear" w:color="auto" w:fill="auto"/>
          </w:tcPr>
          <w:p w:rsidR="001205BE" w:rsidRPr="00CB4E91" w:rsidRDefault="001205BE" w:rsidP="00CC6528">
            <w:pPr>
              <w:keepNext/>
              <w:keepLines/>
              <w:spacing w:before="60" w:after="60" w:line="220" w:lineRule="atLeast"/>
              <w:ind w:right="113"/>
              <w:rPr>
                <w:rFonts w:ascii="Arial" w:hAnsi="Arial"/>
                <w:b/>
                <w:sz w:val="20"/>
                <w:szCs w:val="20"/>
              </w:rPr>
            </w:pPr>
            <w:r w:rsidRPr="00CB4E91">
              <w:rPr>
                <w:rFonts w:ascii="Arial" w:hAnsi="Arial"/>
                <w:b/>
                <w:bCs/>
                <w:sz w:val="20"/>
                <w:szCs w:val="20"/>
              </w:rPr>
              <w:t>Age</w:t>
            </w:r>
          </w:p>
        </w:tc>
        <w:tc>
          <w:tcPr>
            <w:tcW w:w="6980" w:type="dxa"/>
            <w:shd w:val="clear" w:color="auto" w:fill="auto"/>
          </w:tcPr>
          <w:p w:rsidR="001205BE" w:rsidRPr="00CB4E91" w:rsidRDefault="001205BE" w:rsidP="00CC6528">
            <w:pPr>
              <w:keepNext/>
              <w:keepLines/>
              <w:spacing w:after="40" w:line="220" w:lineRule="atLeast"/>
              <w:ind w:left="6" w:right="113"/>
              <w:rPr>
                <w:rFonts w:ascii="Arial" w:hAnsi="Arial"/>
                <w:sz w:val="20"/>
                <w:szCs w:val="20"/>
              </w:rPr>
            </w:pPr>
            <w:r w:rsidRPr="00CB4E91">
              <w:rPr>
                <w:rFonts w:ascii="Arial" w:hAnsi="Arial"/>
                <w:sz w:val="20"/>
                <w:szCs w:val="20"/>
              </w:rPr>
              <w:t>Age is calculated as age of the client on the start date of their first support period of the reporting period or the first date of the reporting period, whichever of the two is the later date.</w:t>
            </w:r>
          </w:p>
        </w:tc>
      </w:tr>
      <w:tr w:rsidR="001205BE" w:rsidRPr="004F7258" w:rsidTr="00CC6528">
        <w:tc>
          <w:tcPr>
            <w:tcW w:w="1809" w:type="dxa"/>
            <w:shd w:val="clear" w:color="auto" w:fill="auto"/>
          </w:tcPr>
          <w:p w:rsidR="001205BE" w:rsidRPr="00CB4E91" w:rsidRDefault="001205BE" w:rsidP="00CC6528">
            <w:pPr>
              <w:keepNext/>
              <w:keepLines/>
              <w:spacing w:before="60" w:after="60" w:line="220" w:lineRule="atLeast"/>
              <w:ind w:right="113"/>
              <w:rPr>
                <w:rFonts w:ascii="Arial" w:hAnsi="Arial"/>
                <w:sz w:val="20"/>
                <w:szCs w:val="20"/>
              </w:rPr>
            </w:pPr>
            <w:r w:rsidRPr="00CB4E91">
              <w:rPr>
                <w:rFonts w:ascii="Arial" w:hAnsi="Arial"/>
                <w:b/>
                <w:bCs/>
                <w:sz w:val="20"/>
                <w:szCs w:val="20"/>
              </w:rPr>
              <w:t>Client</w:t>
            </w:r>
          </w:p>
        </w:tc>
        <w:tc>
          <w:tcPr>
            <w:tcW w:w="6980" w:type="dxa"/>
            <w:shd w:val="clear" w:color="auto" w:fill="auto"/>
          </w:tcPr>
          <w:p w:rsidR="001205BE" w:rsidRPr="00CB4E91" w:rsidRDefault="001205BE" w:rsidP="00CC6528">
            <w:pPr>
              <w:keepNext/>
              <w:keepLines/>
              <w:spacing w:after="40" w:line="220" w:lineRule="atLeast"/>
              <w:ind w:left="6" w:right="113"/>
              <w:rPr>
                <w:rFonts w:ascii="Arial" w:hAnsi="Arial"/>
                <w:sz w:val="20"/>
                <w:szCs w:val="20"/>
              </w:rPr>
            </w:pPr>
            <w:r w:rsidRPr="00CB4E91">
              <w:rPr>
                <w:rFonts w:ascii="Arial" w:hAnsi="Arial"/>
                <w:sz w:val="20"/>
                <w:szCs w:val="20"/>
              </w:rPr>
              <w:t>A person who receives a specialist homelessness service. A client can be of any age―children are also clients if they receive a service from a specialist homelessness agency.</w:t>
            </w:r>
          </w:p>
          <w:p w:rsidR="001205BE" w:rsidRPr="00CB4E91" w:rsidRDefault="001205BE" w:rsidP="00CC6528">
            <w:pPr>
              <w:keepNext/>
              <w:keepLines/>
              <w:spacing w:after="40" w:line="220" w:lineRule="atLeast"/>
              <w:ind w:left="6" w:right="113"/>
              <w:rPr>
                <w:rFonts w:ascii="Arial" w:hAnsi="Arial"/>
                <w:sz w:val="20"/>
                <w:szCs w:val="20"/>
              </w:rPr>
            </w:pPr>
            <w:r w:rsidRPr="00CB4E91">
              <w:rPr>
                <w:rFonts w:ascii="Arial" w:hAnsi="Arial"/>
                <w:sz w:val="20"/>
                <w:szCs w:val="20"/>
              </w:rPr>
              <w:t>To be a client, the person must directly receive a service and not just be a beneficiary of a service. Children who present with a parent or guardian and receive a service are considered</w:t>
            </w:r>
          </w:p>
          <w:p w:rsidR="001205BE" w:rsidRPr="00CB4E91" w:rsidRDefault="001205BE" w:rsidP="00CC6528">
            <w:pPr>
              <w:keepNext/>
              <w:keepLines/>
              <w:spacing w:after="40" w:line="220" w:lineRule="atLeast"/>
              <w:ind w:left="6" w:right="113"/>
              <w:rPr>
                <w:rFonts w:ascii="Arial" w:hAnsi="Arial"/>
                <w:sz w:val="20"/>
                <w:szCs w:val="20"/>
              </w:rPr>
            </w:pPr>
            <w:r w:rsidRPr="00CB4E91">
              <w:rPr>
                <w:rFonts w:ascii="Arial" w:hAnsi="Arial"/>
                <w:sz w:val="20"/>
                <w:szCs w:val="20"/>
              </w:rPr>
              <w:t>to be a client. This includes a service that they share with their parent or guardian such as meals or accommodation.</w:t>
            </w:r>
          </w:p>
          <w:p w:rsidR="001205BE" w:rsidRPr="00CB4E91" w:rsidRDefault="001205BE" w:rsidP="00CC6528">
            <w:pPr>
              <w:keepNext/>
              <w:keepLines/>
              <w:spacing w:after="40" w:line="220" w:lineRule="atLeast"/>
              <w:ind w:left="6" w:right="113"/>
              <w:rPr>
                <w:rFonts w:ascii="Arial" w:hAnsi="Arial"/>
                <w:sz w:val="20"/>
                <w:szCs w:val="20"/>
              </w:rPr>
            </w:pPr>
            <w:r w:rsidRPr="00CB4E91">
              <w:rPr>
                <w:rFonts w:ascii="Arial" w:hAnsi="Arial"/>
                <w:sz w:val="20"/>
                <w:szCs w:val="20"/>
              </w:rPr>
              <w:t>Children who present with a parent or guardian but do not directly receive a service are not considered to be clients. This includes situations where the parent or guardian receives assistance to prevent tenancy failure or eviction. Clients can be counted differently according to the data item that is being reported:</w:t>
            </w:r>
          </w:p>
          <w:p w:rsidR="001205BE" w:rsidRPr="00CB4E91" w:rsidRDefault="001205BE" w:rsidP="001205BE">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Clients (demographic)—For clients with multiple support periods, reported data is determined based on the information at the start date of the client’s first support period in the reporting period or the first date of the reporting period, whichever is later</w:t>
            </w:r>
          </w:p>
          <w:p w:rsidR="001205BE" w:rsidRPr="00CB4E91" w:rsidRDefault="001205BE" w:rsidP="001205BE">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Clients (counted by support periods)—For each data item, clients are counted based on support periods with distinct client information. The same client can be counted more than once if they have multiple support periods with a different response for the data item. The result is that percentages do not add up to 100</w:t>
            </w:r>
          </w:p>
          <w:p w:rsidR="001205BE" w:rsidRPr="00CB4E91" w:rsidRDefault="001205BE" w:rsidP="001205BE">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Clients (outcomes) - Clients are counted based on closed support periods where a valid response is recorded both when presenting to an agency and at the end of support.</w:t>
            </w:r>
          </w:p>
        </w:tc>
      </w:tr>
      <w:tr w:rsidR="001205BE" w:rsidRPr="004F7258" w:rsidTr="00CC6528">
        <w:tc>
          <w:tcPr>
            <w:tcW w:w="1809" w:type="dxa"/>
            <w:shd w:val="clear" w:color="auto" w:fill="auto"/>
          </w:tcPr>
          <w:p w:rsidR="001205BE" w:rsidRPr="00CB4E91" w:rsidRDefault="001205BE" w:rsidP="00CC6528">
            <w:pPr>
              <w:keepNext/>
              <w:keepLines/>
              <w:spacing w:after="40" w:line="220" w:lineRule="atLeast"/>
              <w:ind w:left="6" w:right="113"/>
              <w:rPr>
                <w:rFonts w:ascii="Arial" w:hAnsi="Arial"/>
                <w:b/>
                <w:sz w:val="20"/>
                <w:szCs w:val="20"/>
              </w:rPr>
            </w:pPr>
            <w:r w:rsidRPr="00CB4E91">
              <w:rPr>
                <w:rFonts w:ascii="Arial" w:hAnsi="Arial"/>
                <w:b/>
                <w:bCs/>
                <w:sz w:val="20"/>
                <w:szCs w:val="20"/>
              </w:rPr>
              <w:t>Closed support period</w:t>
            </w:r>
          </w:p>
        </w:tc>
        <w:tc>
          <w:tcPr>
            <w:tcW w:w="6980" w:type="dxa"/>
            <w:shd w:val="clear" w:color="auto" w:fill="auto"/>
          </w:tcPr>
          <w:p w:rsidR="001205BE" w:rsidRPr="00CB4E91" w:rsidRDefault="001205BE" w:rsidP="00CC6528">
            <w:pPr>
              <w:keepNext/>
              <w:keepLines/>
              <w:spacing w:before="60" w:after="60" w:line="220" w:lineRule="atLeast"/>
              <w:ind w:left="6" w:right="113"/>
              <w:rPr>
                <w:rFonts w:ascii="Arial" w:hAnsi="Arial"/>
                <w:sz w:val="20"/>
                <w:szCs w:val="20"/>
              </w:rPr>
            </w:pPr>
            <w:r w:rsidRPr="00CB4E91">
              <w:rPr>
                <w:rFonts w:ascii="Arial" w:hAnsi="Arial"/>
                <w:sz w:val="20"/>
                <w:szCs w:val="20"/>
              </w:rPr>
              <w:t>A support period that had finished on or before the end of the reporting period — 30 June 201</w:t>
            </w:r>
            <w:r>
              <w:rPr>
                <w:rFonts w:ascii="Arial" w:hAnsi="Arial"/>
                <w:sz w:val="20"/>
                <w:szCs w:val="20"/>
              </w:rPr>
              <w:t>3.</w:t>
            </w:r>
          </w:p>
        </w:tc>
      </w:tr>
      <w:tr w:rsidR="001205BE" w:rsidRPr="004F7258" w:rsidTr="00CC6528">
        <w:tc>
          <w:tcPr>
            <w:tcW w:w="1809" w:type="dxa"/>
            <w:shd w:val="clear" w:color="auto" w:fill="auto"/>
          </w:tcPr>
          <w:p w:rsidR="001205BE" w:rsidRPr="00CB4E91" w:rsidRDefault="001205BE" w:rsidP="00CC6528">
            <w:pPr>
              <w:keepNext/>
              <w:keepLines/>
              <w:spacing w:after="40" w:line="220" w:lineRule="atLeast"/>
              <w:ind w:left="6" w:right="113"/>
              <w:rPr>
                <w:rFonts w:ascii="Arial" w:hAnsi="Arial"/>
                <w:b/>
                <w:sz w:val="20"/>
                <w:szCs w:val="20"/>
              </w:rPr>
            </w:pPr>
            <w:r w:rsidRPr="00CB4E91">
              <w:rPr>
                <w:rFonts w:ascii="Arial" w:hAnsi="Arial"/>
                <w:b/>
                <w:bCs/>
                <w:sz w:val="20"/>
                <w:szCs w:val="20"/>
              </w:rPr>
              <w:t>Indigenous status</w:t>
            </w:r>
          </w:p>
        </w:tc>
        <w:tc>
          <w:tcPr>
            <w:tcW w:w="6980" w:type="dxa"/>
            <w:shd w:val="clear" w:color="auto" w:fill="auto"/>
          </w:tcPr>
          <w:p w:rsidR="001205BE" w:rsidRPr="00CB4E91" w:rsidRDefault="001205BE" w:rsidP="00CC6528">
            <w:pPr>
              <w:keepNext/>
              <w:keepLines/>
              <w:spacing w:before="60" w:after="60" w:line="220" w:lineRule="atLeast"/>
              <w:ind w:left="6" w:right="113"/>
              <w:rPr>
                <w:rFonts w:ascii="Arial" w:hAnsi="Arial"/>
                <w:sz w:val="20"/>
                <w:szCs w:val="20"/>
              </w:rPr>
            </w:pPr>
            <w:r w:rsidRPr="00CB4E91">
              <w:rPr>
                <w:rFonts w:ascii="Arial" w:hAnsi="Arial"/>
                <w:sz w:val="20"/>
                <w:szCs w:val="20"/>
              </w:rPr>
              <w:t>In practice, it is not realistic to collect information on the community acceptance of part of ‘The Commonwealth Definition’ and therefore standard questions on Indigenous status relate to descent and self-identification only.</w:t>
            </w:r>
          </w:p>
          <w:p w:rsidR="001205BE" w:rsidRPr="00CB4E91" w:rsidRDefault="001205BE" w:rsidP="00CC6528">
            <w:pPr>
              <w:keepNext/>
              <w:keepLines/>
              <w:spacing w:before="60" w:after="60" w:line="220" w:lineRule="atLeast"/>
              <w:ind w:left="6" w:right="113"/>
              <w:rPr>
                <w:rFonts w:ascii="Arial" w:hAnsi="Arial"/>
                <w:sz w:val="20"/>
                <w:szCs w:val="20"/>
              </w:rPr>
            </w:pPr>
            <w:r w:rsidRPr="00CB4E91">
              <w:rPr>
                <w:rFonts w:ascii="Arial" w:hAnsi="Arial"/>
                <w:sz w:val="20"/>
                <w:szCs w:val="20"/>
              </w:rPr>
              <w:t>Where Indigenous status is not stated, the ‘not stated’ figure includes clients where contradictory Indigenous status’ were reported across multiple support periods as well as, missing, ‘not applicable’ and ‘don’t know’ responses.</w:t>
            </w:r>
          </w:p>
        </w:tc>
      </w:tr>
      <w:tr w:rsidR="001205BE" w:rsidRPr="004F7258" w:rsidTr="00CC6528">
        <w:tc>
          <w:tcPr>
            <w:tcW w:w="1809" w:type="dxa"/>
            <w:shd w:val="clear" w:color="auto" w:fill="auto"/>
          </w:tcPr>
          <w:p w:rsidR="001205BE" w:rsidRPr="00CB4E91" w:rsidRDefault="001205BE" w:rsidP="00CC6528">
            <w:pPr>
              <w:keepNext/>
              <w:keepLines/>
              <w:spacing w:after="40" w:line="220" w:lineRule="atLeast"/>
              <w:ind w:left="6" w:right="113"/>
              <w:rPr>
                <w:rFonts w:ascii="Arial" w:hAnsi="Arial"/>
                <w:b/>
                <w:sz w:val="20"/>
                <w:szCs w:val="20"/>
              </w:rPr>
            </w:pPr>
            <w:r w:rsidRPr="00CB4E91">
              <w:rPr>
                <w:rFonts w:ascii="Arial" w:hAnsi="Arial"/>
                <w:b/>
                <w:bCs/>
                <w:sz w:val="20"/>
                <w:szCs w:val="20"/>
              </w:rPr>
              <w:t>Labour force status</w:t>
            </w:r>
          </w:p>
        </w:tc>
        <w:tc>
          <w:tcPr>
            <w:tcW w:w="6980" w:type="dxa"/>
            <w:shd w:val="clear" w:color="auto" w:fill="auto"/>
          </w:tcPr>
          <w:p w:rsidR="001205BE" w:rsidRPr="00CB4E91" w:rsidRDefault="001205BE" w:rsidP="00CC6528">
            <w:pPr>
              <w:keepNext/>
              <w:keepLines/>
              <w:spacing w:before="60" w:after="60" w:line="220" w:lineRule="atLeast"/>
              <w:ind w:right="113"/>
              <w:rPr>
                <w:rFonts w:ascii="Arial" w:hAnsi="Arial"/>
                <w:sz w:val="20"/>
                <w:szCs w:val="20"/>
              </w:rPr>
            </w:pPr>
            <w:r w:rsidRPr="00CB4E91">
              <w:rPr>
                <w:rFonts w:ascii="Arial" w:hAnsi="Arial"/>
                <w:sz w:val="20"/>
                <w:szCs w:val="20"/>
              </w:rPr>
              <w:t>Reported data excludes clients aged under 15.</w:t>
            </w:r>
          </w:p>
        </w:tc>
      </w:tr>
      <w:tr w:rsidR="001205BE" w:rsidRPr="004F7258" w:rsidTr="00CC6528">
        <w:tc>
          <w:tcPr>
            <w:tcW w:w="1809" w:type="dxa"/>
            <w:shd w:val="clear" w:color="auto" w:fill="auto"/>
          </w:tcPr>
          <w:p w:rsidR="001205BE" w:rsidRPr="00CB4E91" w:rsidRDefault="001205BE" w:rsidP="00CC6528">
            <w:pPr>
              <w:keepNext/>
              <w:keepLines/>
              <w:spacing w:after="40" w:line="220" w:lineRule="atLeast"/>
              <w:ind w:left="6" w:right="113"/>
              <w:rPr>
                <w:rFonts w:ascii="Arial" w:hAnsi="Arial"/>
                <w:b/>
                <w:sz w:val="20"/>
                <w:szCs w:val="20"/>
              </w:rPr>
            </w:pPr>
            <w:r w:rsidRPr="00C561CD">
              <w:rPr>
                <w:rFonts w:ascii="Arial" w:hAnsi="Arial"/>
                <w:b/>
                <w:sz w:val="20"/>
                <w:szCs w:val="20"/>
              </w:rPr>
              <w:t>Non-</w:t>
            </w:r>
            <w:r>
              <w:rPr>
                <w:rFonts w:ascii="Arial" w:hAnsi="Arial"/>
                <w:b/>
                <w:sz w:val="20"/>
                <w:szCs w:val="20"/>
              </w:rPr>
              <w:t xml:space="preserve">main </w:t>
            </w:r>
            <w:r w:rsidRPr="00C561CD">
              <w:rPr>
                <w:rFonts w:ascii="Arial" w:hAnsi="Arial"/>
                <w:b/>
                <w:sz w:val="20"/>
                <w:szCs w:val="20"/>
              </w:rPr>
              <w:t xml:space="preserve">English speaking </w:t>
            </w:r>
            <w:r>
              <w:rPr>
                <w:rFonts w:ascii="Arial" w:hAnsi="Arial"/>
                <w:b/>
                <w:sz w:val="20"/>
                <w:szCs w:val="20"/>
              </w:rPr>
              <w:t>countries</w:t>
            </w:r>
          </w:p>
        </w:tc>
        <w:tc>
          <w:tcPr>
            <w:tcW w:w="6980" w:type="dxa"/>
            <w:shd w:val="clear" w:color="auto" w:fill="auto"/>
          </w:tcPr>
          <w:p w:rsidR="001205BE" w:rsidRPr="00CB4E91" w:rsidRDefault="001205BE" w:rsidP="00CC6528">
            <w:pPr>
              <w:keepNext/>
              <w:keepLines/>
              <w:spacing w:after="40" w:line="220" w:lineRule="atLeast"/>
              <w:ind w:left="6" w:right="113"/>
              <w:rPr>
                <w:rFonts w:ascii="Arial" w:hAnsi="Arial"/>
                <w:sz w:val="20"/>
                <w:szCs w:val="20"/>
              </w:rPr>
            </w:pPr>
            <w:r>
              <w:rPr>
                <w:rFonts w:ascii="Arial" w:hAnsi="Arial"/>
                <w:sz w:val="20"/>
                <w:szCs w:val="20"/>
              </w:rPr>
              <w:t>N</w:t>
            </w:r>
            <w:r w:rsidRPr="00351D65">
              <w:rPr>
                <w:rFonts w:ascii="Arial" w:hAnsi="Arial"/>
                <w:sz w:val="20"/>
                <w:szCs w:val="20"/>
              </w:rPr>
              <w:t>on-main English speak countries are all countries except Australia, United Kingdom, Republic of Ireland, New Zealand, Canada, United States of America and South Africa</w:t>
            </w:r>
            <w:r w:rsidRPr="00C561CD">
              <w:rPr>
                <w:rFonts w:ascii="Arial" w:hAnsi="Arial"/>
                <w:sz w:val="20"/>
                <w:szCs w:val="20"/>
              </w:rPr>
              <w:t>.</w:t>
            </w:r>
          </w:p>
        </w:tc>
      </w:tr>
      <w:tr w:rsidR="001205BE" w:rsidRPr="004F7258" w:rsidTr="00CC6528">
        <w:tc>
          <w:tcPr>
            <w:tcW w:w="1809" w:type="dxa"/>
            <w:shd w:val="clear" w:color="auto" w:fill="auto"/>
          </w:tcPr>
          <w:p w:rsidR="001205BE" w:rsidRPr="00CB4E91" w:rsidRDefault="001205BE" w:rsidP="00CC6528">
            <w:pPr>
              <w:keepNext/>
              <w:keepLines/>
              <w:spacing w:before="60" w:after="60" w:line="220" w:lineRule="atLeast"/>
              <w:ind w:left="6" w:right="113"/>
              <w:rPr>
                <w:rFonts w:ascii="Arial" w:hAnsi="Arial"/>
                <w:b/>
                <w:sz w:val="20"/>
                <w:szCs w:val="20"/>
              </w:rPr>
            </w:pPr>
            <w:r w:rsidRPr="00CB4E91">
              <w:rPr>
                <w:rFonts w:ascii="Arial" w:hAnsi="Arial"/>
                <w:b/>
                <w:sz w:val="20"/>
                <w:szCs w:val="20"/>
              </w:rPr>
              <w:t>Referral</w:t>
            </w:r>
          </w:p>
        </w:tc>
        <w:tc>
          <w:tcPr>
            <w:tcW w:w="6980" w:type="dxa"/>
            <w:shd w:val="clear" w:color="auto" w:fill="auto"/>
          </w:tcPr>
          <w:p w:rsidR="001205BE" w:rsidRPr="00CB4E91" w:rsidRDefault="001205BE" w:rsidP="00CC6528">
            <w:pPr>
              <w:keepNext/>
              <w:keepLines/>
              <w:spacing w:before="60" w:after="60" w:line="220" w:lineRule="atLeast"/>
              <w:ind w:right="113"/>
              <w:rPr>
                <w:rFonts w:ascii="Arial" w:hAnsi="Arial"/>
                <w:sz w:val="20"/>
                <w:szCs w:val="20"/>
              </w:rPr>
            </w:pPr>
            <w:r w:rsidRPr="00CB4E91">
              <w:rPr>
                <w:rFonts w:ascii="Arial" w:hAnsi="Arial"/>
                <w:sz w:val="20"/>
                <w:szCs w:val="20"/>
              </w:rPr>
              <w:t>When an agency contacts another agency and that agency accepts the person concerned for an appointment or interview. A referral is not provided if the person is not accepted for an appointment or interview.</w:t>
            </w:r>
          </w:p>
        </w:tc>
      </w:tr>
      <w:tr w:rsidR="001205BE" w:rsidRPr="004F7258" w:rsidTr="00CC6528">
        <w:tc>
          <w:tcPr>
            <w:tcW w:w="1809" w:type="dxa"/>
            <w:shd w:val="clear" w:color="auto" w:fill="auto"/>
          </w:tcPr>
          <w:p w:rsidR="001205BE" w:rsidRPr="00CB4E91" w:rsidRDefault="001205BE" w:rsidP="00CC6528">
            <w:pPr>
              <w:keepNext/>
              <w:keepLines/>
              <w:spacing w:before="60" w:after="60" w:line="220" w:lineRule="atLeast"/>
              <w:ind w:right="113"/>
              <w:rPr>
                <w:rFonts w:ascii="Arial" w:hAnsi="Arial"/>
                <w:b/>
                <w:sz w:val="20"/>
                <w:szCs w:val="20"/>
              </w:rPr>
            </w:pPr>
            <w:r w:rsidRPr="00CB4E91">
              <w:rPr>
                <w:rFonts w:ascii="Arial" w:hAnsi="Arial"/>
                <w:b/>
                <w:bCs/>
                <w:sz w:val="20"/>
                <w:szCs w:val="20"/>
              </w:rPr>
              <w:t>Reporting period</w:t>
            </w:r>
          </w:p>
        </w:tc>
        <w:tc>
          <w:tcPr>
            <w:tcW w:w="6980" w:type="dxa"/>
            <w:shd w:val="clear" w:color="auto" w:fill="auto"/>
          </w:tcPr>
          <w:p w:rsidR="001205BE" w:rsidRPr="00CB4E91" w:rsidRDefault="001205BE" w:rsidP="001205BE">
            <w:pPr>
              <w:keepNext/>
              <w:keepLines/>
              <w:spacing w:before="60" w:after="60" w:line="220" w:lineRule="atLeast"/>
              <w:ind w:left="6" w:right="113"/>
              <w:rPr>
                <w:rFonts w:ascii="Arial" w:hAnsi="Arial"/>
                <w:sz w:val="20"/>
                <w:szCs w:val="20"/>
              </w:rPr>
            </w:pPr>
            <w:r w:rsidRPr="00CB4E91">
              <w:rPr>
                <w:rFonts w:ascii="Arial" w:hAnsi="Arial"/>
                <w:sz w:val="20"/>
                <w:szCs w:val="20"/>
              </w:rPr>
              <w:t>For the purposes of this report the reporting period is the financial year-to-date (</w:t>
            </w:r>
            <w:proofErr w:type="spellStart"/>
            <w:r w:rsidRPr="00CB4E91">
              <w:rPr>
                <w:rFonts w:ascii="Arial" w:hAnsi="Arial"/>
                <w:sz w:val="20"/>
                <w:szCs w:val="20"/>
              </w:rPr>
              <w:t>FYTD</w:t>
            </w:r>
            <w:proofErr w:type="spellEnd"/>
            <w:r w:rsidRPr="00CB4E91">
              <w:rPr>
                <w:rFonts w:ascii="Arial" w:hAnsi="Arial"/>
                <w:sz w:val="20"/>
                <w:szCs w:val="20"/>
              </w:rPr>
              <w:t>):1 July 201</w:t>
            </w:r>
            <w:r>
              <w:rPr>
                <w:rFonts w:ascii="Arial" w:hAnsi="Arial"/>
                <w:sz w:val="20"/>
                <w:szCs w:val="20"/>
              </w:rPr>
              <w:t>2</w:t>
            </w:r>
            <w:r w:rsidRPr="00CB4E91">
              <w:rPr>
                <w:rFonts w:ascii="Arial" w:hAnsi="Arial"/>
                <w:sz w:val="20"/>
                <w:szCs w:val="20"/>
              </w:rPr>
              <w:t xml:space="preserve"> to 30 June 201</w:t>
            </w:r>
            <w:r>
              <w:rPr>
                <w:rFonts w:ascii="Arial" w:hAnsi="Arial"/>
                <w:sz w:val="20"/>
                <w:szCs w:val="20"/>
              </w:rPr>
              <w:t>3</w:t>
            </w:r>
            <w:r w:rsidRPr="00CB4E91">
              <w:rPr>
                <w:rFonts w:ascii="Arial" w:hAnsi="Arial"/>
                <w:sz w:val="20"/>
                <w:szCs w:val="20"/>
              </w:rPr>
              <w:t>.</w:t>
            </w:r>
          </w:p>
        </w:tc>
      </w:tr>
    </w:tbl>
    <w:p w:rsidR="00921A35" w:rsidRDefault="00921A35">
      <w:r>
        <w:br w:type="page"/>
      </w:r>
    </w:p>
    <w:tbl>
      <w:tblPr>
        <w:tblW w:w="0" w:type="auto"/>
        <w:tblLayout w:type="fixed"/>
        <w:tblLook w:val="0000" w:firstRow="0" w:lastRow="0" w:firstColumn="0" w:lastColumn="0" w:noHBand="0" w:noVBand="0"/>
      </w:tblPr>
      <w:tblGrid>
        <w:gridCol w:w="2093"/>
        <w:gridCol w:w="6696"/>
      </w:tblGrid>
      <w:tr w:rsidR="00921A35" w:rsidRPr="004F7258" w:rsidTr="00CC6528">
        <w:tc>
          <w:tcPr>
            <w:tcW w:w="2093" w:type="dxa"/>
            <w:shd w:val="clear" w:color="auto" w:fill="auto"/>
          </w:tcPr>
          <w:p w:rsidR="00921A35" w:rsidRPr="00CB4E91" w:rsidRDefault="00921A35" w:rsidP="00CC6528">
            <w:pPr>
              <w:keepNext/>
              <w:keepLines/>
              <w:spacing w:before="60" w:after="60" w:line="220" w:lineRule="atLeast"/>
              <w:ind w:right="113"/>
              <w:rPr>
                <w:rFonts w:ascii="Arial" w:hAnsi="Arial"/>
                <w:b/>
                <w:sz w:val="20"/>
                <w:szCs w:val="20"/>
              </w:rPr>
            </w:pPr>
            <w:r w:rsidRPr="00CB4E91">
              <w:rPr>
                <w:rFonts w:ascii="Arial" w:hAnsi="Arial"/>
                <w:b/>
                <w:bCs/>
                <w:sz w:val="20"/>
                <w:szCs w:val="20"/>
              </w:rPr>
              <w:lastRenderedPageBreak/>
              <w:t>Short-term or emergency accommodation</w:t>
            </w:r>
          </w:p>
        </w:tc>
        <w:tc>
          <w:tcPr>
            <w:tcW w:w="6696" w:type="dxa"/>
            <w:shd w:val="clear" w:color="auto" w:fill="auto"/>
          </w:tcPr>
          <w:p w:rsidR="00921A35" w:rsidRPr="00CB4E91" w:rsidRDefault="00921A35" w:rsidP="00CC6528">
            <w:pPr>
              <w:keepNext/>
              <w:keepLines/>
              <w:spacing w:before="60" w:after="60" w:line="220" w:lineRule="atLeast"/>
              <w:ind w:left="6" w:right="113"/>
              <w:rPr>
                <w:rFonts w:ascii="Arial" w:hAnsi="Arial"/>
                <w:sz w:val="20"/>
                <w:szCs w:val="20"/>
              </w:rPr>
            </w:pPr>
            <w:r w:rsidRPr="00CB4E91">
              <w:rPr>
                <w:rFonts w:ascii="Arial" w:hAnsi="Arial"/>
                <w:sz w:val="20"/>
                <w:szCs w:val="20"/>
              </w:rPr>
              <w:t>Short-term or emergency accommodation</w:t>
            </w:r>
          </w:p>
          <w:p w:rsidR="00921A35" w:rsidRPr="00CB4E91" w:rsidRDefault="00921A35" w:rsidP="00CC6528">
            <w:pPr>
              <w:keepNext/>
              <w:keepLines/>
              <w:spacing w:before="60" w:after="60" w:line="220" w:lineRule="atLeast"/>
              <w:ind w:left="6" w:right="113"/>
              <w:rPr>
                <w:rFonts w:ascii="Arial" w:hAnsi="Arial"/>
                <w:sz w:val="20"/>
                <w:szCs w:val="20"/>
              </w:rPr>
            </w:pPr>
            <w:r w:rsidRPr="00CB4E91">
              <w:rPr>
                <w:rFonts w:ascii="Arial" w:hAnsi="Arial"/>
                <w:sz w:val="20"/>
                <w:szCs w:val="20"/>
              </w:rPr>
              <w:t>includes: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refuges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crisis shelter</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couch surfing</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living temporarily with friends and relatives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insecure accommodation on a short-term basis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emergency accommodation arranged by a specialist homelessness • agency (e.g. in hotels, motels etc.).</w:t>
            </w:r>
          </w:p>
          <w:p w:rsidR="00921A35" w:rsidRPr="00CB4E91" w:rsidRDefault="00921A35" w:rsidP="00CC6528">
            <w:pPr>
              <w:keepNext/>
              <w:keepLines/>
              <w:spacing w:before="60" w:after="60" w:line="220" w:lineRule="atLeast"/>
              <w:ind w:left="6" w:right="113"/>
              <w:rPr>
                <w:rFonts w:ascii="Arial" w:hAnsi="Arial"/>
                <w:sz w:val="20"/>
                <w:szCs w:val="20"/>
              </w:rPr>
            </w:pPr>
            <w:r w:rsidRPr="00CB4E91">
              <w:rPr>
                <w:rFonts w:ascii="Arial" w:hAnsi="Arial"/>
                <w:sz w:val="20"/>
                <w:szCs w:val="20"/>
              </w:rPr>
              <w:t>The following short-term accommodation options are not included:</w:t>
            </w:r>
          </w:p>
          <w:p w:rsidR="00921A35" w:rsidRPr="000C1466" w:rsidRDefault="00921A35" w:rsidP="00921A35">
            <w:pPr>
              <w:keepNext/>
              <w:keepLines/>
              <w:numPr>
                <w:ilvl w:val="0"/>
                <w:numId w:val="7"/>
              </w:numPr>
              <w:spacing w:after="40" w:line="220" w:lineRule="atLeast"/>
              <w:ind w:right="113"/>
              <w:rPr>
                <w:rFonts w:ascii="Arial" w:hAnsi="Arial"/>
                <w:sz w:val="20"/>
                <w:szCs w:val="20"/>
              </w:rPr>
            </w:pPr>
            <w:r w:rsidRPr="000C1466">
              <w:rPr>
                <w:rFonts w:ascii="Arial" w:hAnsi="Arial"/>
                <w:sz w:val="20"/>
                <w:szCs w:val="20"/>
              </w:rPr>
              <w:t>hotels, motels, caravan parks and other temporary accommodation used when a person is on holiday or travelling</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custodial and care arrangements, such as prisons and hospitals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temporary accommodation used by a person while renovating usual residence or building a new residence (e.g. weekenders, caravans).</w:t>
            </w:r>
          </w:p>
        </w:tc>
      </w:tr>
      <w:tr w:rsidR="00921A35" w:rsidRPr="004F7258" w:rsidTr="00CC6528">
        <w:tc>
          <w:tcPr>
            <w:tcW w:w="2093" w:type="dxa"/>
            <w:shd w:val="clear" w:color="auto" w:fill="auto"/>
          </w:tcPr>
          <w:p w:rsidR="00921A35" w:rsidRPr="00CB4E91" w:rsidRDefault="00921A35" w:rsidP="00CC6528">
            <w:pPr>
              <w:keepNext/>
              <w:keepLines/>
              <w:spacing w:before="60" w:after="60" w:line="220" w:lineRule="atLeast"/>
              <w:ind w:right="113"/>
              <w:rPr>
                <w:rFonts w:ascii="Arial" w:hAnsi="Arial"/>
                <w:b/>
                <w:sz w:val="20"/>
                <w:szCs w:val="20"/>
              </w:rPr>
            </w:pPr>
            <w:r w:rsidRPr="00CB4E91">
              <w:rPr>
                <w:rFonts w:ascii="Arial" w:hAnsi="Arial"/>
                <w:b/>
                <w:bCs/>
                <w:sz w:val="20"/>
                <w:szCs w:val="20"/>
              </w:rPr>
              <w:t>Specialist homelessness agency</w:t>
            </w:r>
          </w:p>
        </w:tc>
        <w:tc>
          <w:tcPr>
            <w:tcW w:w="6696" w:type="dxa"/>
            <w:shd w:val="clear" w:color="auto" w:fill="auto"/>
          </w:tcPr>
          <w:p w:rsidR="00921A35" w:rsidRPr="00CB4E91" w:rsidRDefault="00921A35" w:rsidP="00CC6528">
            <w:pPr>
              <w:keepNext/>
              <w:keepLines/>
              <w:spacing w:before="60" w:after="60" w:line="220" w:lineRule="atLeast"/>
              <w:ind w:left="6" w:right="113"/>
              <w:rPr>
                <w:rFonts w:ascii="Arial" w:hAnsi="Arial"/>
                <w:sz w:val="20"/>
                <w:szCs w:val="20"/>
              </w:rPr>
            </w:pPr>
            <w:r w:rsidRPr="00CB4E91">
              <w:rPr>
                <w:rFonts w:ascii="Arial" w:hAnsi="Arial"/>
                <w:sz w:val="20"/>
                <w:szCs w:val="20"/>
              </w:rPr>
              <w:t>An organisation that receives government funding to deliver specialist homelessness services. Assistance is provided to clients aimed at responding to or preventing homelessness. Agencies may also receive funding from other sources.</w:t>
            </w:r>
          </w:p>
          <w:p w:rsidR="00921A35" w:rsidRPr="00CB4E91" w:rsidRDefault="00921A35" w:rsidP="00CC6528">
            <w:pPr>
              <w:keepNext/>
              <w:keepLines/>
              <w:spacing w:before="60" w:after="60" w:line="220" w:lineRule="atLeast"/>
              <w:ind w:left="6" w:right="113"/>
              <w:rPr>
                <w:rFonts w:ascii="Arial" w:hAnsi="Arial"/>
                <w:sz w:val="20"/>
                <w:szCs w:val="20"/>
              </w:rPr>
            </w:pPr>
            <w:r w:rsidRPr="00CB4E91">
              <w:rPr>
                <w:rFonts w:ascii="Arial" w:hAnsi="Arial"/>
                <w:sz w:val="20"/>
                <w:szCs w:val="20"/>
              </w:rPr>
              <w:t xml:space="preserve">Inclusion of agencies in the </w:t>
            </w:r>
            <w:proofErr w:type="spellStart"/>
            <w:r w:rsidRPr="00CB4E91">
              <w:rPr>
                <w:rFonts w:ascii="Arial" w:hAnsi="Arial"/>
                <w:sz w:val="20"/>
                <w:szCs w:val="20"/>
              </w:rPr>
              <w:t>SHSC</w:t>
            </w:r>
            <w:proofErr w:type="spellEnd"/>
            <w:r w:rsidRPr="00CB4E91">
              <w:rPr>
                <w:rFonts w:ascii="Arial" w:hAnsi="Arial"/>
                <w:sz w:val="20"/>
                <w:szCs w:val="20"/>
              </w:rPr>
              <w:t xml:space="preserve"> is determined by the state and territory departments responsible for administering the government response to homelessness. Not all funded agencies are required to participate in data collection.</w:t>
            </w:r>
          </w:p>
        </w:tc>
      </w:tr>
      <w:tr w:rsidR="00921A35" w:rsidRPr="004F7258" w:rsidTr="00CC6528">
        <w:tc>
          <w:tcPr>
            <w:tcW w:w="2093" w:type="dxa"/>
            <w:shd w:val="clear" w:color="auto" w:fill="auto"/>
          </w:tcPr>
          <w:p w:rsidR="00921A35" w:rsidRPr="00CB4E91" w:rsidRDefault="00921A35" w:rsidP="00CC6528">
            <w:pPr>
              <w:keepNext/>
              <w:keepLines/>
              <w:spacing w:before="60" w:after="60" w:line="220" w:lineRule="atLeast"/>
              <w:ind w:right="113"/>
              <w:rPr>
                <w:rFonts w:ascii="Arial" w:hAnsi="Arial"/>
                <w:b/>
                <w:sz w:val="20"/>
                <w:szCs w:val="20"/>
              </w:rPr>
            </w:pPr>
            <w:r w:rsidRPr="00CB4E91">
              <w:rPr>
                <w:rFonts w:ascii="Arial" w:hAnsi="Arial"/>
                <w:b/>
                <w:bCs/>
                <w:sz w:val="20"/>
                <w:szCs w:val="20"/>
              </w:rPr>
              <w:t>Specialist homelessness service(s)</w:t>
            </w:r>
          </w:p>
        </w:tc>
        <w:tc>
          <w:tcPr>
            <w:tcW w:w="6696" w:type="dxa"/>
            <w:shd w:val="clear" w:color="auto" w:fill="auto"/>
          </w:tcPr>
          <w:p w:rsidR="00921A35" w:rsidRPr="00CB4E91" w:rsidRDefault="00921A35" w:rsidP="00CC6528">
            <w:pPr>
              <w:keepNext/>
              <w:keepLines/>
              <w:spacing w:before="60" w:after="60" w:line="220" w:lineRule="atLeast"/>
              <w:ind w:left="6" w:right="113"/>
              <w:rPr>
                <w:rFonts w:ascii="Arial" w:hAnsi="Arial"/>
                <w:sz w:val="20"/>
                <w:szCs w:val="20"/>
              </w:rPr>
            </w:pPr>
            <w:r w:rsidRPr="00CB4E91">
              <w:rPr>
                <w:rFonts w:ascii="Arial" w:hAnsi="Arial"/>
                <w:sz w:val="20"/>
                <w:szCs w:val="20"/>
              </w:rPr>
              <w:t>Assistance provided by a specialist homelessness agency</w:t>
            </w:r>
          </w:p>
          <w:p w:rsidR="00921A35" w:rsidRPr="00CB4E91" w:rsidRDefault="00921A35" w:rsidP="00CC6528">
            <w:pPr>
              <w:keepNext/>
              <w:keepLines/>
              <w:spacing w:before="60" w:after="60" w:line="220" w:lineRule="atLeast"/>
              <w:ind w:left="6" w:right="113"/>
              <w:rPr>
                <w:rFonts w:ascii="Arial" w:hAnsi="Arial"/>
                <w:sz w:val="20"/>
                <w:szCs w:val="20"/>
              </w:rPr>
            </w:pPr>
            <w:r w:rsidRPr="00CB4E91">
              <w:rPr>
                <w:rFonts w:ascii="Arial" w:hAnsi="Arial"/>
                <w:sz w:val="20"/>
                <w:szCs w:val="20"/>
              </w:rPr>
              <w:t>to a client aimed at responding to or preventing homelessness. The specialist homelessness services that are in scope for this collection and that may be provided during a support period are:</w:t>
            </w:r>
          </w:p>
          <w:p w:rsidR="00921A35" w:rsidRPr="00CB4E91" w:rsidRDefault="00921A35" w:rsidP="00CC6528">
            <w:pPr>
              <w:keepNext/>
              <w:keepLines/>
              <w:spacing w:before="60" w:after="60" w:line="220" w:lineRule="atLeast"/>
              <w:ind w:left="6" w:right="113"/>
              <w:rPr>
                <w:rFonts w:ascii="Arial" w:hAnsi="Arial"/>
                <w:i/>
                <w:iCs/>
                <w:sz w:val="20"/>
                <w:szCs w:val="20"/>
              </w:rPr>
            </w:pPr>
            <w:r w:rsidRPr="00CB4E91">
              <w:rPr>
                <w:rFonts w:ascii="Arial" w:hAnsi="Arial"/>
                <w:i/>
                <w:iCs/>
                <w:sz w:val="20"/>
                <w:szCs w:val="20"/>
              </w:rPr>
              <w:t>Housing/accommodation services: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short-term or emergency accommodation</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medium-term/transitional housing</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long-term housing</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assistance to sustain tenancy or prevent tenancy failure or eviction</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assistance to prevent foreclosures or for mortgage arrears.</w:t>
            </w:r>
          </w:p>
          <w:p w:rsidR="00921A35" w:rsidRPr="00192D95" w:rsidRDefault="00921A35" w:rsidP="00CC6528">
            <w:pPr>
              <w:spacing w:before="120"/>
              <w:rPr>
                <w:rFonts w:ascii="Arial" w:hAnsi="Arial" w:cs="Arial"/>
                <w:i/>
                <w:sz w:val="20"/>
                <w:szCs w:val="20"/>
              </w:rPr>
            </w:pPr>
            <w:r>
              <w:rPr>
                <w:rFonts w:ascii="Arial" w:hAnsi="Arial" w:cs="Arial"/>
                <w:i/>
                <w:sz w:val="20"/>
                <w:szCs w:val="20"/>
              </w:rPr>
              <w:t>General assistance and support services: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assertive outreach</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assistance to obtain/maintain government allowance</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employment assistance</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training assistance</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educational assistance</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financial information</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material aid/brokerage</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assistance for incest/sexual</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assistance for domestic/family violence</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family/relationship assistance</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assistance for trauma</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assistance with challenging social/behavioural problems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living skills/personal development</w:t>
            </w:r>
          </w:p>
          <w:p w:rsidR="00921A35" w:rsidRPr="00CB4E91" w:rsidRDefault="00921A35" w:rsidP="00921A35">
            <w:pPr>
              <w:keepNext/>
              <w:keepLines/>
              <w:numPr>
                <w:ilvl w:val="0"/>
                <w:numId w:val="7"/>
              </w:numPr>
              <w:spacing w:after="40" w:line="220" w:lineRule="atLeast"/>
              <w:ind w:right="113"/>
              <w:rPr>
                <w:rFonts w:ascii="BookAntiqua" w:hAnsi="BookAntiqua" w:cs="BookAntiqua"/>
                <w:sz w:val="22"/>
                <w:szCs w:val="22"/>
              </w:rPr>
            </w:pPr>
            <w:r w:rsidRPr="00CB4E91">
              <w:rPr>
                <w:rFonts w:ascii="Arial" w:hAnsi="Arial"/>
                <w:sz w:val="20"/>
                <w:szCs w:val="20"/>
              </w:rPr>
              <w:t>legal informa</w:t>
            </w:r>
            <w:r w:rsidRPr="00CB4E91">
              <w:rPr>
                <w:rFonts w:ascii="BookAntiqua" w:hAnsi="BookAntiqua" w:cs="BookAntiqua"/>
                <w:sz w:val="22"/>
                <w:szCs w:val="22"/>
              </w:rPr>
              <w:t>tion</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court support</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lastRenderedPageBreak/>
              <w:t>advice/information</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retrieval/storage/removal of personal belongings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advocacy/liaison on behalf of client</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school liaison</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child care</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structured play/skills development</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child contact and residence arrangements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meals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laundry/shower facilities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recreation</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transport</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other basic assistance.</w:t>
            </w:r>
          </w:p>
          <w:p w:rsidR="00921A35" w:rsidRPr="00CB4E91" w:rsidRDefault="00921A35" w:rsidP="00CC6528">
            <w:pPr>
              <w:keepNext/>
              <w:keepLines/>
              <w:spacing w:before="120" w:after="60" w:line="220" w:lineRule="atLeast"/>
              <w:ind w:left="6" w:right="113"/>
              <w:rPr>
                <w:rFonts w:ascii="Arial" w:hAnsi="Arial"/>
                <w:i/>
                <w:iCs/>
                <w:sz w:val="20"/>
                <w:szCs w:val="20"/>
              </w:rPr>
            </w:pPr>
            <w:r w:rsidRPr="00CB4E91">
              <w:rPr>
                <w:rFonts w:ascii="Arial" w:hAnsi="Arial"/>
                <w:i/>
                <w:iCs/>
                <w:sz w:val="20"/>
                <w:szCs w:val="20"/>
              </w:rPr>
              <w:t>Specialised services: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child protection services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parenting skills education</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child-specific specialist counselling services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psychological services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psychiatric services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mental health services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pregnancy assistance</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family planning support</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physical disability services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intellectual disability services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health/medical services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professional legal services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financial advice and counselling</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counselling for problem gambling</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drug/alcohol counselling</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specialist counselling services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interpreter services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assistance with immigration services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culturally specific services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assistance to connect culturally</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other specialised services.</w:t>
            </w:r>
          </w:p>
        </w:tc>
      </w:tr>
      <w:tr w:rsidR="00921A35" w:rsidRPr="004F7258" w:rsidTr="00CC6528">
        <w:tc>
          <w:tcPr>
            <w:tcW w:w="2093" w:type="dxa"/>
            <w:shd w:val="clear" w:color="auto" w:fill="auto"/>
          </w:tcPr>
          <w:p w:rsidR="00921A35" w:rsidRPr="00CB4E91" w:rsidRDefault="00921A35" w:rsidP="00CC6528">
            <w:pPr>
              <w:keepNext/>
              <w:keepLines/>
              <w:spacing w:before="60" w:after="60" w:line="220" w:lineRule="atLeast"/>
              <w:ind w:right="113"/>
              <w:rPr>
                <w:rFonts w:ascii="Arial" w:hAnsi="Arial"/>
                <w:b/>
                <w:sz w:val="20"/>
                <w:szCs w:val="20"/>
              </w:rPr>
            </w:pPr>
            <w:r w:rsidRPr="00CB4E91">
              <w:rPr>
                <w:rFonts w:ascii="Arial" w:hAnsi="Arial"/>
                <w:b/>
                <w:bCs/>
                <w:sz w:val="20"/>
                <w:szCs w:val="20"/>
              </w:rPr>
              <w:lastRenderedPageBreak/>
              <w:t>Support period</w:t>
            </w:r>
          </w:p>
        </w:tc>
        <w:tc>
          <w:tcPr>
            <w:tcW w:w="6696" w:type="dxa"/>
            <w:shd w:val="clear" w:color="auto" w:fill="auto"/>
          </w:tcPr>
          <w:p w:rsidR="00921A35" w:rsidRPr="00CB4E91" w:rsidRDefault="00921A35" w:rsidP="00CC6528">
            <w:pPr>
              <w:keepNext/>
              <w:keepLines/>
              <w:spacing w:before="60" w:after="60" w:line="220" w:lineRule="atLeast"/>
              <w:ind w:left="6" w:right="113"/>
              <w:rPr>
                <w:rFonts w:ascii="Arial" w:hAnsi="Arial"/>
                <w:sz w:val="20"/>
                <w:szCs w:val="20"/>
              </w:rPr>
            </w:pPr>
            <w:r w:rsidRPr="00CB4E91">
              <w:rPr>
                <w:rFonts w:ascii="Arial" w:hAnsi="Arial"/>
                <w:sz w:val="20"/>
                <w:szCs w:val="20"/>
              </w:rPr>
              <w:t>The period of time a client receives services from an agency is referred to as a support period. A support period starts on the day the client first receives a service from an agency. A support period ends when:</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the relationship between the</w:t>
            </w:r>
            <w:r>
              <w:rPr>
                <w:rFonts w:ascii="Arial" w:hAnsi="Arial"/>
                <w:sz w:val="20"/>
                <w:szCs w:val="20"/>
              </w:rPr>
              <w:t xml:space="preserve"> </w:t>
            </w:r>
            <w:r w:rsidRPr="00CB4E91">
              <w:rPr>
                <w:rFonts w:ascii="Arial" w:hAnsi="Arial"/>
                <w:sz w:val="20"/>
                <w:szCs w:val="20"/>
              </w:rPr>
              <w:t>client and the agency ends</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the client has reached their maximum amount of support the agency can offer</w:t>
            </w:r>
          </w:p>
          <w:p w:rsidR="00921A35" w:rsidRPr="00CB4E91" w:rsidRDefault="00921A35" w:rsidP="00921A35">
            <w:pPr>
              <w:keepNext/>
              <w:keepLines/>
              <w:numPr>
                <w:ilvl w:val="0"/>
                <w:numId w:val="7"/>
              </w:numPr>
              <w:spacing w:after="40" w:line="220" w:lineRule="atLeast"/>
              <w:ind w:right="113"/>
              <w:rPr>
                <w:rFonts w:ascii="Arial" w:hAnsi="Arial"/>
                <w:sz w:val="20"/>
                <w:szCs w:val="20"/>
              </w:rPr>
            </w:pPr>
            <w:r w:rsidRPr="00CB4E91">
              <w:rPr>
                <w:rFonts w:ascii="Arial" w:hAnsi="Arial"/>
                <w:sz w:val="20"/>
                <w:szCs w:val="20"/>
              </w:rPr>
              <w:t>a client has not received any services from the agency for a whole calendar month</w:t>
            </w:r>
          </w:p>
          <w:p w:rsidR="00921A35" w:rsidRPr="00CB4E91" w:rsidRDefault="00921A35" w:rsidP="00921A35">
            <w:pPr>
              <w:keepNext/>
              <w:keepLines/>
              <w:numPr>
                <w:ilvl w:val="0"/>
                <w:numId w:val="7"/>
              </w:numPr>
              <w:spacing w:before="60" w:after="60" w:line="220" w:lineRule="atLeast"/>
              <w:ind w:right="113"/>
              <w:rPr>
                <w:rFonts w:ascii="Arial" w:hAnsi="Arial"/>
                <w:sz w:val="20"/>
                <w:szCs w:val="20"/>
              </w:rPr>
            </w:pPr>
            <w:r w:rsidRPr="00CB4E91">
              <w:rPr>
                <w:rFonts w:ascii="Arial" w:hAnsi="Arial"/>
                <w:sz w:val="20"/>
                <w:szCs w:val="20"/>
              </w:rPr>
              <w:t>and there is no ongoing relationship.</w:t>
            </w:r>
          </w:p>
          <w:p w:rsidR="00921A35" w:rsidRPr="00CB4E91" w:rsidRDefault="00921A35" w:rsidP="00CC6528">
            <w:pPr>
              <w:keepNext/>
              <w:keepLines/>
              <w:spacing w:before="60" w:after="60" w:line="220" w:lineRule="atLeast"/>
              <w:ind w:left="6" w:right="113"/>
              <w:rPr>
                <w:rFonts w:ascii="Arial" w:hAnsi="Arial"/>
                <w:sz w:val="20"/>
                <w:szCs w:val="20"/>
              </w:rPr>
            </w:pPr>
            <w:r w:rsidRPr="00CB4E91">
              <w:rPr>
                <w:rFonts w:ascii="Arial" w:hAnsi="Arial"/>
                <w:sz w:val="20"/>
                <w:szCs w:val="20"/>
              </w:rPr>
              <w:t>Where a client has an appointment with the agency which is more than a calendar month in the future</w:t>
            </w:r>
            <w:r>
              <w:rPr>
                <w:rFonts w:ascii="Arial" w:hAnsi="Arial"/>
                <w:sz w:val="20"/>
                <w:szCs w:val="20"/>
              </w:rPr>
              <w:t xml:space="preserve">, </w:t>
            </w:r>
            <w:r w:rsidRPr="00CB4E91">
              <w:rPr>
                <w:rFonts w:ascii="Arial" w:hAnsi="Arial"/>
                <w:sz w:val="20"/>
                <w:szCs w:val="20"/>
              </w:rPr>
              <w:t>then it is not necessary to close the support period. This is because it is expected that there is an ongoing relationship with the client. The end of the support period is the day the client last received services from an agency.</w:t>
            </w:r>
          </w:p>
        </w:tc>
      </w:tr>
    </w:tbl>
    <w:p w:rsidR="00F4697E" w:rsidRPr="00921A35" w:rsidRDefault="00F4697E" w:rsidP="001C66FC">
      <w:pPr>
        <w:spacing w:before="560" w:line="320" w:lineRule="exact"/>
        <w:outlineLvl w:val="2"/>
        <w:rPr>
          <w:rFonts w:ascii="Arial" w:hAnsi="Arial"/>
          <w:b/>
          <w:szCs w:val="20"/>
        </w:rPr>
      </w:pPr>
      <w:bookmarkStart w:id="52" w:name="_Toc318383917"/>
      <w:bookmarkStart w:id="53" w:name="_Toc318387693"/>
      <w:bookmarkStart w:id="54" w:name="_Toc318444471"/>
      <w:bookmarkStart w:id="55" w:name="_Toc319588810"/>
      <w:bookmarkStart w:id="56" w:name="_Toc349206455"/>
      <w:bookmarkStart w:id="57" w:name="_Toc350860205"/>
      <w:bookmarkStart w:id="58" w:name="_Toc384648019"/>
      <w:bookmarkStart w:id="59" w:name="_Toc309313621"/>
      <w:bookmarkEnd w:id="50"/>
      <w:r w:rsidRPr="00921A35">
        <w:rPr>
          <w:rFonts w:ascii="Arial" w:hAnsi="Arial"/>
          <w:b/>
          <w:szCs w:val="20"/>
        </w:rPr>
        <w:lastRenderedPageBreak/>
        <w:t>List of attachment tables</w:t>
      </w:r>
      <w:bookmarkEnd w:id="52"/>
      <w:bookmarkEnd w:id="53"/>
      <w:bookmarkEnd w:id="54"/>
      <w:bookmarkEnd w:id="55"/>
      <w:bookmarkEnd w:id="56"/>
      <w:bookmarkEnd w:id="57"/>
      <w:bookmarkEnd w:id="58"/>
    </w:p>
    <w:p w:rsidR="00F4697E" w:rsidRPr="00921A35" w:rsidRDefault="00F4697E" w:rsidP="00F4697E">
      <w:pPr>
        <w:spacing w:before="240" w:line="320" w:lineRule="atLeast"/>
        <w:jc w:val="both"/>
        <w:rPr>
          <w:szCs w:val="20"/>
        </w:rPr>
      </w:pPr>
      <w:r w:rsidRPr="00921A35">
        <w:rPr>
          <w:szCs w:val="20"/>
        </w:rPr>
        <w:t>Attachment tables for data within this chapter are contained in the attachment to the Compendium. These tables are identified in references throughout this chapter by a ‘</w:t>
      </w:r>
      <w:proofErr w:type="spellStart"/>
      <w:r w:rsidRPr="00921A35">
        <w:rPr>
          <w:szCs w:val="20"/>
        </w:rPr>
        <w:t>17A</w:t>
      </w:r>
      <w:proofErr w:type="spellEnd"/>
      <w:r w:rsidRPr="00921A35">
        <w:rPr>
          <w:szCs w:val="20"/>
        </w:rPr>
        <w:t xml:space="preserve">’ prefix (for example, table </w:t>
      </w:r>
      <w:proofErr w:type="spellStart"/>
      <w:r w:rsidRPr="00921A35">
        <w:rPr>
          <w:szCs w:val="20"/>
        </w:rPr>
        <w:t>17A.1</w:t>
      </w:r>
      <w:proofErr w:type="spellEnd"/>
      <w:r w:rsidRPr="00921A35">
        <w:rPr>
          <w:szCs w:val="20"/>
        </w:rPr>
        <w:t xml:space="preserve"> is table 1 in the Services for people with disability attachment). Attachment tables are on the Review website (</w:t>
      </w:r>
      <w:proofErr w:type="spellStart"/>
      <w:r w:rsidR="00C052FC" w:rsidRPr="00921A35">
        <w:rPr>
          <w:szCs w:val="20"/>
        </w:rPr>
        <w:t>www.pc.gov.au</w:t>
      </w:r>
      <w:proofErr w:type="spellEnd"/>
      <w:r w:rsidR="00C052FC" w:rsidRPr="00921A35">
        <w:rPr>
          <w:szCs w:val="20"/>
        </w:rPr>
        <w:t>/</w:t>
      </w:r>
      <w:proofErr w:type="spellStart"/>
      <w:r w:rsidR="00C052FC" w:rsidRPr="00921A35">
        <w:rPr>
          <w:szCs w:val="20"/>
        </w:rPr>
        <w:t>gsp</w:t>
      </w:r>
      <w:proofErr w:type="spellEnd"/>
      <w:r w:rsidRPr="00921A35">
        <w:rPr>
          <w:szCs w:val="20"/>
        </w:rPr>
        <w:t>).</w:t>
      </w:r>
    </w:p>
    <w:p w:rsidR="00C052FC" w:rsidRDefault="00C052FC" w:rsidP="00F4697E">
      <w:pPr>
        <w:spacing w:before="240" w:line="320" w:lineRule="atLeast"/>
        <w:jc w:val="both"/>
        <w:rPr>
          <w:szCs w:val="20"/>
          <w:highlight w:val="yellow"/>
        </w:rPr>
      </w:pPr>
    </w:p>
    <w:tbl>
      <w:tblPr>
        <w:tblW w:w="8860" w:type="dxa"/>
        <w:tblInd w:w="93" w:type="dxa"/>
        <w:tblLook w:val="04A0" w:firstRow="1" w:lastRow="0" w:firstColumn="1" w:lastColumn="0" w:noHBand="0" w:noVBand="1"/>
      </w:tblPr>
      <w:tblGrid>
        <w:gridCol w:w="1440"/>
        <w:gridCol w:w="7420"/>
      </w:tblGrid>
      <w:tr w:rsidR="0032443E" w:rsidRPr="0032443E" w:rsidTr="0032443E">
        <w:trPr>
          <w:trHeight w:val="612"/>
        </w:trPr>
        <w:tc>
          <w:tcPr>
            <w:tcW w:w="1440" w:type="dxa"/>
            <w:tcBorders>
              <w:top w:val="nil"/>
              <w:left w:val="nil"/>
              <w:bottom w:val="nil"/>
              <w:right w:val="nil"/>
            </w:tcBorders>
            <w:shd w:val="clear" w:color="auto" w:fill="auto"/>
            <w:noWrap/>
            <w:hideMark/>
          </w:tcPr>
          <w:p w:rsidR="0032443E" w:rsidRPr="0032443E" w:rsidRDefault="0032443E" w:rsidP="0032443E">
            <w:pPr>
              <w:rPr>
                <w:rFonts w:ascii="Arial" w:hAnsi="Arial" w:cs="Arial"/>
                <w:b/>
                <w:bCs/>
                <w:sz w:val="20"/>
                <w:szCs w:val="20"/>
              </w:rPr>
            </w:pPr>
            <w:r w:rsidRPr="0032443E">
              <w:rPr>
                <w:rFonts w:ascii="Arial" w:hAnsi="Arial" w:cs="Arial"/>
                <w:b/>
                <w:bCs/>
                <w:sz w:val="20"/>
                <w:szCs w:val="20"/>
              </w:rPr>
              <w:t xml:space="preserve">Table </w:t>
            </w:r>
            <w:proofErr w:type="spellStart"/>
            <w:r w:rsidRPr="0032443E">
              <w:rPr>
                <w:rFonts w:ascii="Arial" w:hAnsi="Arial" w:cs="Arial"/>
                <w:b/>
                <w:bCs/>
                <w:sz w:val="20"/>
                <w:szCs w:val="20"/>
              </w:rPr>
              <w:t>18A.5</w:t>
            </w:r>
            <w:proofErr w:type="spellEnd"/>
          </w:p>
        </w:tc>
        <w:tc>
          <w:tcPr>
            <w:tcW w:w="7420" w:type="dxa"/>
            <w:tcBorders>
              <w:top w:val="nil"/>
              <w:left w:val="nil"/>
              <w:bottom w:val="nil"/>
              <w:right w:val="nil"/>
            </w:tcBorders>
            <w:shd w:val="clear" w:color="auto" w:fill="auto"/>
            <w:hideMark/>
          </w:tcPr>
          <w:p w:rsidR="0032443E" w:rsidRPr="0032443E" w:rsidRDefault="0032443E" w:rsidP="0032443E">
            <w:pPr>
              <w:jc w:val="both"/>
              <w:rPr>
                <w:rFonts w:ascii="Arial" w:hAnsi="Arial" w:cs="Arial"/>
                <w:sz w:val="20"/>
                <w:szCs w:val="20"/>
              </w:rPr>
            </w:pPr>
            <w:r w:rsidRPr="0032443E">
              <w:rPr>
                <w:rFonts w:ascii="Arial" w:hAnsi="Arial" w:cs="Arial"/>
                <w:sz w:val="20"/>
                <w:szCs w:val="20"/>
              </w:rPr>
              <w:t xml:space="preserve">Proportion of Indigenous clients among all clients whose needs for accommodation and services other than accommodation were met </w:t>
            </w:r>
          </w:p>
        </w:tc>
      </w:tr>
      <w:tr w:rsidR="0032443E" w:rsidRPr="0032443E" w:rsidTr="0032443E">
        <w:trPr>
          <w:trHeight w:val="612"/>
        </w:trPr>
        <w:tc>
          <w:tcPr>
            <w:tcW w:w="1440" w:type="dxa"/>
            <w:tcBorders>
              <w:top w:val="nil"/>
              <w:left w:val="nil"/>
              <w:bottom w:val="nil"/>
              <w:right w:val="nil"/>
            </w:tcBorders>
            <w:shd w:val="clear" w:color="auto" w:fill="auto"/>
            <w:noWrap/>
            <w:hideMark/>
          </w:tcPr>
          <w:p w:rsidR="0032443E" w:rsidRPr="0032443E" w:rsidRDefault="0032443E" w:rsidP="0032443E">
            <w:pPr>
              <w:rPr>
                <w:rFonts w:ascii="Arial" w:hAnsi="Arial" w:cs="Arial"/>
                <w:b/>
                <w:bCs/>
                <w:sz w:val="20"/>
                <w:szCs w:val="20"/>
              </w:rPr>
            </w:pPr>
            <w:r w:rsidRPr="0032443E">
              <w:rPr>
                <w:rFonts w:ascii="Arial" w:hAnsi="Arial" w:cs="Arial"/>
                <w:b/>
                <w:bCs/>
                <w:sz w:val="20"/>
                <w:szCs w:val="20"/>
              </w:rPr>
              <w:t xml:space="preserve">Table </w:t>
            </w:r>
            <w:proofErr w:type="spellStart"/>
            <w:r w:rsidRPr="0032443E">
              <w:rPr>
                <w:rFonts w:ascii="Arial" w:hAnsi="Arial" w:cs="Arial"/>
                <w:b/>
                <w:bCs/>
                <w:sz w:val="20"/>
                <w:szCs w:val="20"/>
              </w:rPr>
              <w:t>18A.7</w:t>
            </w:r>
            <w:proofErr w:type="spellEnd"/>
          </w:p>
        </w:tc>
        <w:tc>
          <w:tcPr>
            <w:tcW w:w="7420" w:type="dxa"/>
            <w:tcBorders>
              <w:top w:val="nil"/>
              <w:left w:val="nil"/>
              <w:bottom w:val="nil"/>
              <w:right w:val="nil"/>
            </w:tcBorders>
            <w:shd w:val="clear" w:color="auto" w:fill="auto"/>
            <w:hideMark/>
          </w:tcPr>
          <w:p w:rsidR="0032443E" w:rsidRPr="0032443E" w:rsidRDefault="0032443E" w:rsidP="00124AA9">
            <w:pPr>
              <w:jc w:val="both"/>
              <w:rPr>
                <w:rFonts w:ascii="Arial" w:hAnsi="Arial" w:cs="Arial"/>
                <w:sz w:val="20"/>
                <w:szCs w:val="20"/>
              </w:rPr>
            </w:pPr>
            <w:r w:rsidRPr="0032443E">
              <w:rPr>
                <w:rFonts w:ascii="Arial" w:hAnsi="Arial" w:cs="Arial"/>
                <w:sz w:val="20"/>
                <w:szCs w:val="20"/>
              </w:rPr>
              <w:t xml:space="preserve">Proportion of Indigenous people  represented in specialist homelessness services and in the population </w:t>
            </w:r>
          </w:p>
        </w:tc>
      </w:tr>
      <w:tr w:rsidR="0032443E" w:rsidRPr="0032443E" w:rsidTr="0032443E">
        <w:trPr>
          <w:trHeight w:val="612"/>
        </w:trPr>
        <w:tc>
          <w:tcPr>
            <w:tcW w:w="1440" w:type="dxa"/>
            <w:tcBorders>
              <w:top w:val="nil"/>
              <w:left w:val="nil"/>
              <w:bottom w:val="nil"/>
              <w:right w:val="nil"/>
            </w:tcBorders>
            <w:shd w:val="clear" w:color="auto" w:fill="auto"/>
            <w:noWrap/>
            <w:hideMark/>
          </w:tcPr>
          <w:p w:rsidR="0032443E" w:rsidRPr="0032443E" w:rsidRDefault="0032443E" w:rsidP="0032443E">
            <w:pPr>
              <w:rPr>
                <w:rFonts w:ascii="Arial" w:hAnsi="Arial" w:cs="Arial"/>
                <w:b/>
                <w:bCs/>
                <w:sz w:val="20"/>
                <w:szCs w:val="20"/>
              </w:rPr>
            </w:pPr>
            <w:r w:rsidRPr="0032443E">
              <w:rPr>
                <w:rFonts w:ascii="Arial" w:hAnsi="Arial" w:cs="Arial"/>
                <w:b/>
                <w:bCs/>
                <w:sz w:val="20"/>
                <w:szCs w:val="20"/>
              </w:rPr>
              <w:t xml:space="preserve">Table </w:t>
            </w:r>
            <w:proofErr w:type="spellStart"/>
            <w:r w:rsidRPr="0032443E">
              <w:rPr>
                <w:rFonts w:ascii="Arial" w:hAnsi="Arial" w:cs="Arial"/>
                <w:b/>
                <w:bCs/>
                <w:sz w:val="20"/>
                <w:szCs w:val="20"/>
              </w:rPr>
              <w:t>18A.11</w:t>
            </w:r>
            <w:proofErr w:type="spellEnd"/>
          </w:p>
        </w:tc>
        <w:tc>
          <w:tcPr>
            <w:tcW w:w="7420" w:type="dxa"/>
            <w:tcBorders>
              <w:top w:val="nil"/>
              <w:left w:val="nil"/>
              <w:bottom w:val="nil"/>
              <w:right w:val="nil"/>
            </w:tcBorders>
            <w:shd w:val="clear" w:color="auto" w:fill="auto"/>
            <w:hideMark/>
          </w:tcPr>
          <w:p w:rsidR="0032443E" w:rsidRPr="0032443E" w:rsidRDefault="0032443E" w:rsidP="0032443E">
            <w:pPr>
              <w:jc w:val="both"/>
              <w:rPr>
                <w:rFonts w:ascii="Arial" w:hAnsi="Arial" w:cs="Arial"/>
                <w:sz w:val="20"/>
                <w:szCs w:val="20"/>
              </w:rPr>
            </w:pPr>
            <w:r w:rsidRPr="0032443E">
              <w:rPr>
                <w:rFonts w:ascii="Arial" w:hAnsi="Arial" w:cs="Arial"/>
                <w:sz w:val="20"/>
                <w:szCs w:val="20"/>
              </w:rPr>
              <w:t xml:space="preserve">Closed support periods, proportion of Indigenous clients with a case management plan </w:t>
            </w:r>
          </w:p>
        </w:tc>
      </w:tr>
      <w:tr w:rsidR="0032443E" w:rsidRPr="0032443E" w:rsidTr="0032443E">
        <w:trPr>
          <w:trHeight w:val="357"/>
        </w:trPr>
        <w:tc>
          <w:tcPr>
            <w:tcW w:w="1440" w:type="dxa"/>
            <w:tcBorders>
              <w:top w:val="nil"/>
              <w:left w:val="nil"/>
              <w:bottom w:val="nil"/>
              <w:right w:val="nil"/>
            </w:tcBorders>
            <w:shd w:val="clear" w:color="auto" w:fill="auto"/>
            <w:noWrap/>
            <w:hideMark/>
          </w:tcPr>
          <w:p w:rsidR="0032443E" w:rsidRPr="0032443E" w:rsidRDefault="0032443E" w:rsidP="0032443E">
            <w:pPr>
              <w:rPr>
                <w:rFonts w:ascii="Arial" w:hAnsi="Arial" w:cs="Arial"/>
                <w:b/>
                <w:bCs/>
                <w:sz w:val="20"/>
                <w:szCs w:val="20"/>
              </w:rPr>
            </w:pPr>
            <w:r w:rsidRPr="0032443E">
              <w:rPr>
                <w:rFonts w:ascii="Arial" w:hAnsi="Arial" w:cs="Arial"/>
                <w:b/>
                <w:bCs/>
                <w:sz w:val="20"/>
                <w:szCs w:val="20"/>
              </w:rPr>
              <w:t xml:space="preserve">Table </w:t>
            </w:r>
            <w:proofErr w:type="spellStart"/>
            <w:r w:rsidRPr="0032443E">
              <w:rPr>
                <w:rFonts w:ascii="Arial" w:hAnsi="Arial" w:cs="Arial"/>
                <w:b/>
                <w:bCs/>
                <w:sz w:val="20"/>
                <w:szCs w:val="20"/>
              </w:rPr>
              <w:t>18A.13</w:t>
            </w:r>
            <w:proofErr w:type="spellEnd"/>
          </w:p>
        </w:tc>
        <w:tc>
          <w:tcPr>
            <w:tcW w:w="7420" w:type="dxa"/>
            <w:tcBorders>
              <w:top w:val="nil"/>
              <w:left w:val="nil"/>
              <w:bottom w:val="nil"/>
              <w:right w:val="nil"/>
            </w:tcBorders>
            <w:shd w:val="clear" w:color="auto" w:fill="auto"/>
            <w:hideMark/>
          </w:tcPr>
          <w:p w:rsidR="0032443E" w:rsidRPr="0032443E" w:rsidRDefault="0032443E" w:rsidP="0032443E">
            <w:pPr>
              <w:jc w:val="both"/>
              <w:rPr>
                <w:rFonts w:ascii="Arial" w:hAnsi="Arial" w:cs="Arial"/>
                <w:sz w:val="20"/>
                <w:szCs w:val="20"/>
              </w:rPr>
            </w:pPr>
            <w:r w:rsidRPr="0032443E">
              <w:rPr>
                <w:rFonts w:ascii="Arial" w:hAnsi="Arial" w:cs="Arial"/>
                <w:sz w:val="20"/>
                <w:szCs w:val="20"/>
              </w:rPr>
              <w:t xml:space="preserve">Closed support periods, support needs of clients, Indigenous clients </w:t>
            </w:r>
          </w:p>
        </w:tc>
      </w:tr>
      <w:tr w:rsidR="0032443E" w:rsidRPr="0032443E" w:rsidTr="0032443E">
        <w:trPr>
          <w:trHeight w:val="612"/>
        </w:trPr>
        <w:tc>
          <w:tcPr>
            <w:tcW w:w="1440" w:type="dxa"/>
            <w:tcBorders>
              <w:top w:val="nil"/>
              <w:left w:val="nil"/>
              <w:bottom w:val="nil"/>
              <w:right w:val="nil"/>
            </w:tcBorders>
            <w:shd w:val="clear" w:color="auto" w:fill="auto"/>
            <w:noWrap/>
            <w:hideMark/>
          </w:tcPr>
          <w:p w:rsidR="0032443E" w:rsidRPr="0032443E" w:rsidRDefault="0032443E" w:rsidP="0032443E">
            <w:pPr>
              <w:rPr>
                <w:rFonts w:ascii="Arial" w:hAnsi="Arial" w:cs="Arial"/>
                <w:b/>
                <w:bCs/>
                <w:sz w:val="20"/>
                <w:szCs w:val="20"/>
              </w:rPr>
            </w:pPr>
            <w:r w:rsidRPr="0032443E">
              <w:rPr>
                <w:rFonts w:ascii="Arial" w:hAnsi="Arial" w:cs="Arial"/>
                <w:b/>
                <w:bCs/>
                <w:sz w:val="20"/>
                <w:szCs w:val="20"/>
              </w:rPr>
              <w:t xml:space="preserve">Table </w:t>
            </w:r>
            <w:proofErr w:type="spellStart"/>
            <w:r w:rsidRPr="0032443E">
              <w:rPr>
                <w:rFonts w:ascii="Arial" w:hAnsi="Arial" w:cs="Arial"/>
                <w:b/>
                <w:bCs/>
                <w:sz w:val="20"/>
                <w:szCs w:val="20"/>
              </w:rPr>
              <w:t>18A.20</w:t>
            </w:r>
            <w:proofErr w:type="spellEnd"/>
          </w:p>
        </w:tc>
        <w:tc>
          <w:tcPr>
            <w:tcW w:w="7420" w:type="dxa"/>
            <w:tcBorders>
              <w:top w:val="nil"/>
              <w:left w:val="nil"/>
              <w:bottom w:val="nil"/>
              <w:right w:val="nil"/>
            </w:tcBorders>
            <w:shd w:val="clear" w:color="auto" w:fill="auto"/>
            <w:hideMark/>
          </w:tcPr>
          <w:p w:rsidR="0032443E" w:rsidRPr="0032443E" w:rsidRDefault="0032443E" w:rsidP="0032443E">
            <w:pPr>
              <w:jc w:val="both"/>
              <w:rPr>
                <w:rFonts w:ascii="Arial" w:hAnsi="Arial" w:cs="Arial"/>
                <w:sz w:val="20"/>
                <w:szCs w:val="20"/>
              </w:rPr>
            </w:pPr>
            <w:r w:rsidRPr="0032443E">
              <w:rPr>
                <w:rFonts w:ascii="Arial" w:hAnsi="Arial" w:cs="Arial"/>
                <w:sz w:val="20"/>
                <w:szCs w:val="20"/>
              </w:rPr>
              <w:t>Closed support periods, proportion of Indigenous clients who needed employment and/or training assistance, and who were employed after support</w:t>
            </w:r>
          </w:p>
        </w:tc>
      </w:tr>
      <w:tr w:rsidR="0032443E" w:rsidRPr="0032443E" w:rsidTr="0032443E">
        <w:trPr>
          <w:trHeight w:val="612"/>
        </w:trPr>
        <w:tc>
          <w:tcPr>
            <w:tcW w:w="1440" w:type="dxa"/>
            <w:tcBorders>
              <w:top w:val="nil"/>
              <w:left w:val="nil"/>
              <w:bottom w:val="nil"/>
              <w:right w:val="nil"/>
            </w:tcBorders>
            <w:shd w:val="clear" w:color="auto" w:fill="auto"/>
            <w:noWrap/>
            <w:hideMark/>
          </w:tcPr>
          <w:p w:rsidR="0032443E" w:rsidRPr="0032443E" w:rsidRDefault="0032443E" w:rsidP="0032443E">
            <w:pPr>
              <w:rPr>
                <w:rFonts w:ascii="Arial" w:hAnsi="Arial" w:cs="Arial"/>
                <w:b/>
                <w:bCs/>
                <w:sz w:val="20"/>
                <w:szCs w:val="20"/>
              </w:rPr>
            </w:pPr>
            <w:r w:rsidRPr="0032443E">
              <w:rPr>
                <w:rFonts w:ascii="Arial" w:hAnsi="Arial" w:cs="Arial"/>
                <w:b/>
                <w:bCs/>
                <w:sz w:val="20"/>
                <w:szCs w:val="20"/>
              </w:rPr>
              <w:t xml:space="preserve">Table </w:t>
            </w:r>
            <w:proofErr w:type="spellStart"/>
            <w:r w:rsidRPr="0032443E">
              <w:rPr>
                <w:rFonts w:ascii="Arial" w:hAnsi="Arial" w:cs="Arial"/>
                <w:b/>
                <w:bCs/>
                <w:sz w:val="20"/>
                <w:szCs w:val="20"/>
              </w:rPr>
              <w:t>18A.23</w:t>
            </w:r>
            <w:proofErr w:type="spellEnd"/>
          </w:p>
        </w:tc>
        <w:tc>
          <w:tcPr>
            <w:tcW w:w="7420" w:type="dxa"/>
            <w:tcBorders>
              <w:top w:val="nil"/>
              <w:left w:val="nil"/>
              <w:bottom w:val="nil"/>
              <w:right w:val="nil"/>
            </w:tcBorders>
            <w:shd w:val="clear" w:color="auto" w:fill="auto"/>
            <w:hideMark/>
          </w:tcPr>
          <w:p w:rsidR="0032443E" w:rsidRPr="0032443E" w:rsidRDefault="0032443E" w:rsidP="0032443E">
            <w:pPr>
              <w:jc w:val="both"/>
              <w:rPr>
                <w:rFonts w:ascii="Arial" w:hAnsi="Arial" w:cs="Arial"/>
                <w:sz w:val="20"/>
                <w:szCs w:val="20"/>
              </w:rPr>
            </w:pPr>
            <w:r w:rsidRPr="0032443E">
              <w:rPr>
                <w:rFonts w:ascii="Arial" w:hAnsi="Arial" w:cs="Arial"/>
                <w:sz w:val="20"/>
                <w:szCs w:val="20"/>
              </w:rPr>
              <w:t xml:space="preserve">Closed support periods, proportion of Indigenous clients who needed income assistance and who had an income source after support </w:t>
            </w:r>
          </w:p>
        </w:tc>
      </w:tr>
      <w:tr w:rsidR="0032443E" w:rsidRPr="0032443E" w:rsidTr="0032443E">
        <w:trPr>
          <w:trHeight w:val="612"/>
        </w:trPr>
        <w:tc>
          <w:tcPr>
            <w:tcW w:w="1440" w:type="dxa"/>
            <w:tcBorders>
              <w:top w:val="nil"/>
              <w:left w:val="nil"/>
              <w:bottom w:val="nil"/>
              <w:right w:val="nil"/>
            </w:tcBorders>
            <w:shd w:val="clear" w:color="auto" w:fill="auto"/>
            <w:noWrap/>
            <w:hideMark/>
          </w:tcPr>
          <w:p w:rsidR="0032443E" w:rsidRPr="0032443E" w:rsidRDefault="0032443E" w:rsidP="0032443E">
            <w:pPr>
              <w:rPr>
                <w:rFonts w:ascii="Arial" w:hAnsi="Arial" w:cs="Arial"/>
                <w:b/>
                <w:bCs/>
                <w:sz w:val="20"/>
                <w:szCs w:val="20"/>
              </w:rPr>
            </w:pPr>
            <w:r w:rsidRPr="0032443E">
              <w:rPr>
                <w:rFonts w:ascii="Arial" w:hAnsi="Arial" w:cs="Arial"/>
                <w:b/>
                <w:bCs/>
                <w:sz w:val="20"/>
                <w:szCs w:val="20"/>
              </w:rPr>
              <w:t xml:space="preserve">Table </w:t>
            </w:r>
            <w:proofErr w:type="spellStart"/>
            <w:r w:rsidRPr="0032443E">
              <w:rPr>
                <w:rFonts w:ascii="Arial" w:hAnsi="Arial" w:cs="Arial"/>
                <w:b/>
                <w:bCs/>
                <w:sz w:val="20"/>
                <w:szCs w:val="20"/>
              </w:rPr>
              <w:t>18A.25</w:t>
            </w:r>
            <w:proofErr w:type="spellEnd"/>
          </w:p>
        </w:tc>
        <w:tc>
          <w:tcPr>
            <w:tcW w:w="7420" w:type="dxa"/>
            <w:tcBorders>
              <w:top w:val="nil"/>
              <w:left w:val="nil"/>
              <w:bottom w:val="nil"/>
              <w:right w:val="nil"/>
            </w:tcBorders>
            <w:shd w:val="clear" w:color="auto" w:fill="auto"/>
            <w:hideMark/>
          </w:tcPr>
          <w:p w:rsidR="0032443E" w:rsidRPr="0032443E" w:rsidRDefault="0032443E" w:rsidP="0032443E">
            <w:pPr>
              <w:jc w:val="both"/>
              <w:rPr>
                <w:rFonts w:ascii="Arial" w:hAnsi="Arial" w:cs="Arial"/>
                <w:sz w:val="20"/>
                <w:szCs w:val="20"/>
              </w:rPr>
            </w:pPr>
            <w:r w:rsidRPr="0032443E">
              <w:rPr>
                <w:rFonts w:ascii="Arial" w:hAnsi="Arial" w:cs="Arial"/>
                <w:sz w:val="20"/>
                <w:szCs w:val="20"/>
              </w:rPr>
              <w:t xml:space="preserve">Closed support periods, proportion of Indigenous clients who needed assistance to obtain or maintain independent housing, type of tenure before and after support  </w:t>
            </w:r>
          </w:p>
        </w:tc>
      </w:tr>
      <w:tr w:rsidR="0032443E" w:rsidRPr="0032443E" w:rsidTr="0032443E">
        <w:trPr>
          <w:trHeight w:val="1122"/>
        </w:trPr>
        <w:tc>
          <w:tcPr>
            <w:tcW w:w="1440" w:type="dxa"/>
            <w:tcBorders>
              <w:top w:val="nil"/>
              <w:left w:val="nil"/>
              <w:bottom w:val="nil"/>
              <w:right w:val="nil"/>
            </w:tcBorders>
            <w:shd w:val="clear" w:color="auto" w:fill="auto"/>
            <w:noWrap/>
            <w:hideMark/>
          </w:tcPr>
          <w:p w:rsidR="0032443E" w:rsidRPr="0032443E" w:rsidRDefault="0032443E" w:rsidP="0032443E">
            <w:pPr>
              <w:rPr>
                <w:rFonts w:ascii="Arial" w:hAnsi="Arial" w:cs="Arial"/>
                <w:b/>
                <w:bCs/>
                <w:sz w:val="20"/>
                <w:szCs w:val="20"/>
              </w:rPr>
            </w:pPr>
            <w:r w:rsidRPr="0032443E">
              <w:rPr>
                <w:rFonts w:ascii="Arial" w:hAnsi="Arial" w:cs="Arial"/>
                <w:b/>
                <w:bCs/>
                <w:sz w:val="20"/>
                <w:szCs w:val="20"/>
              </w:rPr>
              <w:t xml:space="preserve">Table </w:t>
            </w:r>
            <w:proofErr w:type="spellStart"/>
            <w:r w:rsidRPr="0032443E">
              <w:rPr>
                <w:rFonts w:ascii="Arial" w:hAnsi="Arial" w:cs="Arial"/>
                <w:b/>
                <w:bCs/>
                <w:sz w:val="20"/>
                <w:szCs w:val="20"/>
              </w:rPr>
              <w:t>18A.28</w:t>
            </w:r>
            <w:proofErr w:type="spellEnd"/>
          </w:p>
        </w:tc>
        <w:tc>
          <w:tcPr>
            <w:tcW w:w="7420" w:type="dxa"/>
            <w:tcBorders>
              <w:top w:val="nil"/>
              <w:left w:val="nil"/>
              <w:bottom w:val="nil"/>
              <w:right w:val="nil"/>
            </w:tcBorders>
            <w:shd w:val="clear" w:color="auto" w:fill="auto"/>
            <w:hideMark/>
          </w:tcPr>
          <w:p w:rsidR="0032443E" w:rsidRPr="0032443E" w:rsidRDefault="0032443E" w:rsidP="0032443E">
            <w:pPr>
              <w:jc w:val="both"/>
              <w:rPr>
                <w:rFonts w:ascii="Arial" w:hAnsi="Arial" w:cs="Arial"/>
                <w:sz w:val="20"/>
                <w:szCs w:val="20"/>
              </w:rPr>
            </w:pPr>
            <w:r w:rsidRPr="0032443E">
              <w:rPr>
                <w:rFonts w:ascii="Arial" w:hAnsi="Arial" w:cs="Arial"/>
                <w:sz w:val="20"/>
                <w:szCs w:val="20"/>
              </w:rPr>
              <w:t xml:space="preserve">Closed support periods, proportion of Indigenous clients who needed assistance to obtain or maintain independent housing and who achieved independent housing after support, and did not present again with a need for accommodation within the reporting period, by tenure type after support  </w:t>
            </w:r>
          </w:p>
        </w:tc>
      </w:tr>
      <w:tr w:rsidR="0032443E" w:rsidRPr="0032443E" w:rsidTr="0032443E">
        <w:trPr>
          <w:trHeight w:val="612"/>
        </w:trPr>
        <w:tc>
          <w:tcPr>
            <w:tcW w:w="1440" w:type="dxa"/>
            <w:tcBorders>
              <w:top w:val="nil"/>
              <w:left w:val="nil"/>
              <w:bottom w:val="nil"/>
              <w:right w:val="nil"/>
            </w:tcBorders>
            <w:shd w:val="clear" w:color="auto" w:fill="auto"/>
            <w:noWrap/>
            <w:hideMark/>
          </w:tcPr>
          <w:p w:rsidR="0032443E" w:rsidRPr="0032443E" w:rsidRDefault="0032443E" w:rsidP="0032443E">
            <w:pPr>
              <w:rPr>
                <w:rFonts w:ascii="Arial" w:hAnsi="Arial" w:cs="Arial"/>
                <w:b/>
                <w:bCs/>
                <w:sz w:val="20"/>
                <w:szCs w:val="20"/>
              </w:rPr>
            </w:pPr>
            <w:r w:rsidRPr="0032443E">
              <w:rPr>
                <w:rFonts w:ascii="Arial" w:hAnsi="Arial" w:cs="Arial"/>
                <w:b/>
                <w:bCs/>
                <w:sz w:val="20"/>
                <w:szCs w:val="20"/>
              </w:rPr>
              <w:t xml:space="preserve">Table </w:t>
            </w:r>
            <w:proofErr w:type="spellStart"/>
            <w:r w:rsidRPr="0032443E">
              <w:rPr>
                <w:rFonts w:ascii="Arial" w:hAnsi="Arial" w:cs="Arial"/>
                <w:b/>
                <w:bCs/>
                <w:sz w:val="20"/>
                <w:szCs w:val="20"/>
              </w:rPr>
              <w:t>18A.30</w:t>
            </w:r>
            <w:proofErr w:type="spellEnd"/>
          </w:p>
        </w:tc>
        <w:tc>
          <w:tcPr>
            <w:tcW w:w="7420" w:type="dxa"/>
            <w:tcBorders>
              <w:top w:val="nil"/>
              <w:left w:val="nil"/>
              <w:bottom w:val="nil"/>
              <w:right w:val="nil"/>
            </w:tcBorders>
            <w:shd w:val="clear" w:color="auto" w:fill="auto"/>
            <w:hideMark/>
          </w:tcPr>
          <w:p w:rsidR="0032443E" w:rsidRPr="0032443E" w:rsidRDefault="0032443E" w:rsidP="0032443E">
            <w:pPr>
              <w:jc w:val="both"/>
              <w:rPr>
                <w:rFonts w:ascii="Arial" w:hAnsi="Arial" w:cs="Arial"/>
                <w:sz w:val="20"/>
                <w:szCs w:val="20"/>
              </w:rPr>
            </w:pPr>
            <w:r w:rsidRPr="0032443E">
              <w:rPr>
                <w:rFonts w:ascii="Arial" w:hAnsi="Arial" w:cs="Arial"/>
                <w:sz w:val="20"/>
                <w:szCs w:val="20"/>
              </w:rPr>
              <w:t>Proportion of Indigenous clients experiencing homelessness who had repeat periods of homelessness</w:t>
            </w:r>
          </w:p>
        </w:tc>
      </w:tr>
    </w:tbl>
    <w:p w:rsidR="00F4697E" w:rsidRPr="0032443E" w:rsidRDefault="00F4697E" w:rsidP="00F4697E">
      <w:pPr>
        <w:keepNext/>
        <w:spacing w:before="560" w:line="320" w:lineRule="exact"/>
        <w:outlineLvl w:val="2"/>
        <w:rPr>
          <w:rFonts w:ascii="Arial" w:hAnsi="Arial"/>
          <w:b/>
          <w:szCs w:val="20"/>
        </w:rPr>
      </w:pPr>
      <w:bookmarkStart w:id="60" w:name="_Toc277599145"/>
      <w:bookmarkStart w:id="61" w:name="_Toc290296870"/>
      <w:bookmarkStart w:id="62" w:name="_Toc290296905"/>
      <w:bookmarkStart w:id="63" w:name="_Toc319588811"/>
      <w:bookmarkStart w:id="64" w:name="_Toc349206456"/>
      <w:bookmarkStart w:id="65" w:name="_Toc350860206"/>
      <w:bookmarkStart w:id="66" w:name="_Toc384648020"/>
      <w:bookmarkStart w:id="67" w:name="_Toc309313622"/>
      <w:bookmarkEnd w:id="59"/>
      <w:r w:rsidRPr="0032443E">
        <w:rPr>
          <w:rFonts w:ascii="Arial" w:hAnsi="Arial"/>
          <w:b/>
          <w:szCs w:val="20"/>
        </w:rPr>
        <w:t>References</w:t>
      </w:r>
      <w:bookmarkEnd w:id="60"/>
      <w:bookmarkEnd w:id="61"/>
      <w:bookmarkEnd w:id="62"/>
      <w:bookmarkEnd w:id="63"/>
      <w:bookmarkEnd w:id="64"/>
      <w:bookmarkEnd w:id="65"/>
      <w:bookmarkEnd w:id="66"/>
    </w:p>
    <w:bookmarkEnd w:id="67"/>
    <w:p w:rsidR="004B7C3F" w:rsidRPr="006B71EA" w:rsidRDefault="004B7C3F" w:rsidP="004B7C3F">
      <w:pPr>
        <w:pStyle w:val="Reference"/>
        <w:rPr>
          <w:b/>
          <w:color w:val="000000" w:themeColor="text1"/>
        </w:rPr>
      </w:pPr>
      <w:proofErr w:type="spellStart"/>
      <w:r w:rsidRPr="006B71EA">
        <w:rPr>
          <w:color w:val="000000" w:themeColor="text1"/>
        </w:rPr>
        <w:t>AIHW</w:t>
      </w:r>
      <w:proofErr w:type="spellEnd"/>
      <w:r w:rsidRPr="006B71EA">
        <w:rPr>
          <w:color w:val="000000" w:themeColor="text1"/>
        </w:rPr>
        <w:t xml:space="preserve"> (Australian Institute of Health and Welfare) 2011, </w:t>
      </w:r>
      <w:r w:rsidRPr="006B71EA">
        <w:rPr>
          <w:i/>
          <w:color w:val="000000" w:themeColor="text1"/>
        </w:rPr>
        <w:t>Australia’s welfare 2011. Australia’s welfare series no. 10</w:t>
      </w:r>
      <w:r w:rsidRPr="006B71EA">
        <w:rPr>
          <w:color w:val="000000" w:themeColor="text1"/>
        </w:rPr>
        <w:t xml:space="preserve">, Cat. no. AUS 142. Canberra: </w:t>
      </w:r>
      <w:proofErr w:type="spellStart"/>
      <w:r w:rsidRPr="006B71EA">
        <w:rPr>
          <w:color w:val="000000" w:themeColor="text1"/>
        </w:rPr>
        <w:t>AIHW</w:t>
      </w:r>
      <w:proofErr w:type="spellEnd"/>
      <w:r w:rsidRPr="006B71EA">
        <w:rPr>
          <w:color w:val="000000" w:themeColor="text1"/>
        </w:rPr>
        <w:t>)</w:t>
      </w:r>
    </w:p>
    <w:p w:rsidR="00D322D9" w:rsidRPr="00CC6528" w:rsidRDefault="004B7C3F" w:rsidP="00CC6528">
      <w:pPr>
        <w:pStyle w:val="Reference"/>
        <w:rPr>
          <w:rStyle w:val="Hyperlink"/>
          <w:color w:val="000000" w:themeColor="text1"/>
          <w:u w:val="none"/>
        </w:rPr>
      </w:pPr>
      <w:proofErr w:type="spellStart"/>
      <w:r w:rsidRPr="006B71EA">
        <w:rPr>
          <w:color w:val="000000" w:themeColor="text1"/>
        </w:rPr>
        <w:t>COAG</w:t>
      </w:r>
      <w:proofErr w:type="spellEnd"/>
      <w:r w:rsidRPr="006B71EA">
        <w:rPr>
          <w:color w:val="000000" w:themeColor="text1"/>
        </w:rPr>
        <w:t xml:space="preserve"> Reform Council 2010, </w:t>
      </w:r>
      <w:r w:rsidRPr="006B71EA">
        <w:rPr>
          <w:i/>
          <w:color w:val="000000" w:themeColor="text1"/>
        </w:rPr>
        <w:t>National Affordable Housing Agreement: Baseline</w:t>
      </w:r>
      <w:r w:rsidRPr="006B71EA">
        <w:rPr>
          <w:i/>
          <w:color w:val="000000" w:themeColor="text1"/>
        </w:rPr>
        <w:br/>
        <w:t xml:space="preserve"> performance report for 2008</w:t>
      </w:r>
      <w:r>
        <w:rPr>
          <w:i/>
          <w:color w:val="000000" w:themeColor="text1"/>
        </w:rPr>
        <w:t>–</w:t>
      </w:r>
      <w:r w:rsidRPr="006B71EA">
        <w:rPr>
          <w:i/>
          <w:color w:val="000000" w:themeColor="text1"/>
        </w:rPr>
        <w:t>09</w:t>
      </w:r>
      <w:r w:rsidRPr="006B71EA">
        <w:rPr>
          <w:color w:val="000000" w:themeColor="text1"/>
        </w:rPr>
        <w:t xml:space="preserve">, </w:t>
      </w:r>
      <w:proofErr w:type="spellStart"/>
      <w:r w:rsidRPr="006B71EA">
        <w:rPr>
          <w:color w:val="000000" w:themeColor="text1"/>
        </w:rPr>
        <w:t>www.coagreformcouncil.gov.au</w:t>
      </w:r>
      <w:proofErr w:type="spellEnd"/>
      <w:r w:rsidRPr="006B71EA">
        <w:rPr>
          <w:color w:val="000000" w:themeColor="text1"/>
        </w:rPr>
        <w:t>/reports/</w:t>
      </w:r>
      <w:proofErr w:type="spellStart"/>
      <w:r w:rsidRPr="006B71EA">
        <w:rPr>
          <w:color w:val="000000" w:themeColor="text1"/>
        </w:rPr>
        <w:t>housing.cfm</w:t>
      </w:r>
      <w:proofErr w:type="spellEnd"/>
      <w:r w:rsidRPr="006B71EA">
        <w:rPr>
          <w:color w:val="000000" w:themeColor="text1"/>
        </w:rPr>
        <w:t xml:space="preserve"> (accessed 1 October 2010).</w:t>
      </w:r>
    </w:p>
    <w:sectPr w:rsidR="00D322D9" w:rsidRPr="00CC6528" w:rsidSect="00B95C6D">
      <w:headerReference w:type="even" r:id="rId16"/>
      <w:headerReference w:type="default" r:id="rId17"/>
      <w:footerReference w:type="even" r:id="rId18"/>
      <w:footerReference w:type="default" r:id="rId19"/>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528" w:rsidRDefault="00CC6528">
      <w:r>
        <w:separator/>
      </w:r>
    </w:p>
  </w:endnote>
  <w:endnote w:type="continuationSeparator" w:id="0">
    <w:p w:rsidR="00CC6528" w:rsidRDefault="00CC6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illSans">
    <w:panose1 w:val="00000000000000000000"/>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MT">
    <w:altName w:val="MS Gothic"/>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BookAntiqua">
    <w:altName w:val="Times New Roman"/>
    <w:panose1 w:val="00000000000000000000"/>
    <w:charset w:val="00"/>
    <w:family w:val="roman"/>
    <w:notTrueType/>
    <w:pitch w:val="default"/>
    <w:sig w:usb0="00000083" w:usb1="00000000" w:usb2="00000000" w:usb3="00000000" w:csb0="00000009"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CC6528">
      <w:trPr>
        <w:trHeight w:hRule="exact" w:val="740"/>
      </w:trPr>
      <w:tc>
        <w:tcPr>
          <w:tcW w:w="510" w:type="dxa"/>
          <w:tcBorders>
            <w:top w:val="single" w:sz="6" w:space="0" w:color="auto"/>
          </w:tcBorders>
        </w:tcPr>
        <w:p w:rsidR="00CC6528" w:rsidRDefault="0024596C" w:rsidP="00860C85">
          <w:pPr>
            <w:pStyle w:val="Footer"/>
            <w:tabs>
              <w:tab w:val="left" w:pos="0"/>
            </w:tabs>
            <w:ind w:right="0"/>
            <w:rPr>
              <w:rStyle w:val="PageNumber"/>
            </w:rPr>
          </w:pPr>
          <w:r>
            <w:fldChar w:fldCharType="begin"/>
          </w:r>
          <w:r>
            <w:instrText xml:space="preserve"> COMMENTS  \* MERGEFORMAT </w:instrText>
          </w:r>
          <w:r>
            <w:fldChar w:fldCharType="separate"/>
          </w:r>
          <w:r w:rsidR="00CC6528" w:rsidRPr="004F7258">
            <w:rPr>
              <w:rStyle w:val="PageNumber"/>
            </w:rPr>
            <w:t>18.</w:t>
          </w:r>
          <w:r>
            <w:rPr>
              <w:rStyle w:val="PageNumber"/>
            </w:rPr>
            <w:fldChar w:fldCharType="end"/>
          </w:r>
          <w:r w:rsidR="00CC6528">
            <w:rPr>
              <w:rStyle w:val="PageNumber"/>
            </w:rPr>
            <w:fldChar w:fldCharType="begin"/>
          </w:r>
          <w:r w:rsidR="00CC6528">
            <w:rPr>
              <w:rStyle w:val="PageNumber"/>
            </w:rPr>
            <w:instrText xml:space="preserve">PAGE  </w:instrText>
          </w:r>
          <w:r w:rsidR="00CC6528">
            <w:rPr>
              <w:rStyle w:val="PageNumber"/>
            </w:rPr>
            <w:fldChar w:fldCharType="separate"/>
          </w:r>
          <w:r>
            <w:rPr>
              <w:rStyle w:val="PageNumber"/>
              <w:noProof/>
            </w:rPr>
            <w:t>22</w:t>
          </w:r>
          <w:r w:rsidR="00CC6528">
            <w:rPr>
              <w:rStyle w:val="PageNumber"/>
            </w:rPr>
            <w:fldChar w:fldCharType="end"/>
          </w:r>
        </w:p>
      </w:tc>
      <w:tc>
        <w:tcPr>
          <w:tcW w:w="1644" w:type="dxa"/>
          <w:tcBorders>
            <w:top w:val="single" w:sz="6" w:space="0" w:color="auto"/>
          </w:tcBorders>
        </w:tcPr>
        <w:p w:rsidR="00CC6528" w:rsidRDefault="0024596C" w:rsidP="0019293B">
          <w:pPr>
            <w:pStyle w:val="Footer"/>
          </w:pPr>
          <w:r>
            <w:fldChar w:fldCharType="begin"/>
          </w:r>
          <w:r>
            <w:instrText xml:space="preserve"> SUBJECT  \* MERGEFORMAT </w:instrText>
          </w:r>
          <w:r>
            <w:fldChar w:fldCharType="separate"/>
          </w:r>
          <w:r w:rsidR="00CC6528">
            <w:t>Report on Government Services 2014</w:t>
          </w:r>
          <w:r>
            <w:fldChar w:fldCharType="end"/>
          </w:r>
        </w:p>
      </w:tc>
      <w:tc>
        <w:tcPr>
          <w:tcW w:w="6634" w:type="dxa"/>
        </w:tcPr>
        <w:p w:rsidR="00CC6528" w:rsidRDefault="00CC6528" w:rsidP="0019293B">
          <w:pPr>
            <w:pStyle w:val="Footer"/>
          </w:pPr>
        </w:p>
      </w:tc>
    </w:tr>
  </w:tbl>
  <w:p w:rsidR="00CC6528" w:rsidRDefault="00CC652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CC6528">
      <w:trPr>
        <w:trHeight w:hRule="exact" w:val="740"/>
      </w:trPr>
      <w:tc>
        <w:tcPr>
          <w:tcW w:w="6634" w:type="dxa"/>
        </w:tcPr>
        <w:p w:rsidR="00CC6528" w:rsidRDefault="00CC6528">
          <w:pPr>
            <w:pStyle w:val="Footer"/>
            <w:ind w:right="360" w:firstLine="360"/>
          </w:pPr>
        </w:p>
      </w:tc>
      <w:tc>
        <w:tcPr>
          <w:tcW w:w="1644" w:type="dxa"/>
          <w:tcBorders>
            <w:top w:val="single" w:sz="6" w:space="0" w:color="auto"/>
          </w:tcBorders>
        </w:tcPr>
        <w:p w:rsidR="00CC6528" w:rsidRDefault="0024596C">
          <w:pPr>
            <w:pStyle w:val="Footer"/>
          </w:pPr>
          <w:r>
            <w:fldChar w:fldCharType="begin"/>
          </w:r>
          <w:r>
            <w:instrText xml:space="preserve"> TITLE  \* MERGEFORMAT </w:instrText>
          </w:r>
          <w:r>
            <w:fldChar w:fldCharType="separate"/>
          </w:r>
          <w:r w:rsidR="00CC6528">
            <w:t>Indigenous Compendium 2014</w:t>
          </w:r>
          <w:r>
            <w:fldChar w:fldCharType="end"/>
          </w:r>
        </w:p>
      </w:tc>
      <w:tc>
        <w:tcPr>
          <w:tcW w:w="510" w:type="dxa"/>
          <w:tcBorders>
            <w:top w:val="single" w:sz="6" w:space="0" w:color="auto"/>
          </w:tcBorders>
        </w:tcPr>
        <w:p w:rsidR="00CC6528" w:rsidRDefault="0024596C">
          <w:pPr>
            <w:pStyle w:val="Footer"/>
            <w:jc w:val="right"/>
          </w:pPr>
          <w:r>
            <w:fldChar w:fldCharType="begin"/>
          </w:r>
          <w:r>
            <w:instrText xml:space="preserve"> COMMENTS  \* MERGEFORMAT </w:instrText>
          </w:r>
          <w:r>
            <w:fldChar w:fldCharType="separate"/>
          </w:r>
          <w:r w:rsidR="00CC6528" w:rsidRPr="004F7258">
            <w:rPr>
              <w:rStyle w:val="PageNumber"/>
            </w:rPr>
            <w:t>18.</w:t>
          </w:r>
          <w:r>
            <w:rPr>
              <w:rStyle w:val="PageNumber"/>
            </w:rPr>
            <w:fldChar w:fldCharType="end"/>
          </w:r>
          <w:r w:rsidR="00CC6528">
            <w:rPr>
              <w:rStyle w:val="PageNumber"/>
            </w:rPr>
            <w:fldChar w:fldCharType="begin"/>
          </w:r>
          <w:r w:rsidR="00CC6528">
            <w:rPr>
              <w:rStyle w:val="PageNumber"/>
            </w:rPr>
            <w:instrText xml:space="preserve">PAGE  </w:instrText>
          </w:r>
          <w:r w:rsidR="00CC6528">
            <w:rPr>
              <w:rStyle w:val="PageNumber"/>
            </w:rPr>
            <w:fldChar w:fldCharType="separate"/>
          </w:r>
          <w:r>
            <w:rPr>
              <w:rStyle w:val="PageNumber"/>
              <w:noProof/>
            </w:rPr>
            <w:t>1</w:t>
          </w:r>
          <w:r w:rsidR="00CC6528">
            <w:rPr>
              <w:rStyle w:val="PageNumber"/>
            </w:rPr>
            <w:fldChar w:fldCharType="end"/>
          </w:r>
        </w:p>
      </w:tc>
    </w:tr>
  </w:tbl>
  <w:p w:rsidR="00CC6528" w:rsidRDefault="00CC6528">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528" w:rsidRDefault="00CC6528">
      <w:r>
        <w:separator/>
      </w:r>
    </w:p>
  </w:footnote>
  <w:footnote w:type="continuationSeparator" w:id="0">
    <w:p w:rsidR="00CC6528" w:rsidRDefault="00CC6528">
      <w:r>
        <w:continuationSeparator/>
      </w:r>
    </w:p>
  </w:footnote>
  <w:footnote w:id="1">
    <w:p w:rsidR="00CC6528" w:rsidRPr="005B0F54" w:rsidRDefault="00CC6528" w:rsidP="00795967">
      <w:pPr>
        <w:pStyle w:val="FootnoteText"/>
        <w:rPr>
          <w:color w:val="000000" w:themeColor="text1"/>
        </w:rPr>
      </w:pPr>
      <w:r w:rsidRPr="00847F8A">
        <w:rPr>
          <w:rStyle w:val="FootnoteReference"/>
        </w:rPr>
        <w:footnoteRef/>
      </w:r>
      <w:r w:rsidRPr="00847F8A">
        <w:t xml:space="preserve"> Social housing includes public and community housing. For further information on these forms </w:t>
      </w:r>
      <w:r w:rsidRPr="00847F8A">
        <w:rPr>
          <w:color w:val="000000" w:themeColor="text1"/>
        </w:rPr>
        <w:t>of housing assistance, see chapter 17 (box 17.1).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C6528">
      <w:tc>
        <w:tcPr>
          <w:tcW w:w="2155" w:type="dxa"/>
          <w:tcBorders>
            <w:top w:val="single" w:sz="24" w:space="0" w:color="auto"/>
          </w:tcBorders>
        </w:tcPr>
        <w:p w:rsidR="00CC6528" w:rsidRDefault="00CC6528" w:rsidP="0019293B">
          <w:pPr>
            <w:pStyle w:val="HeaderEven"/>
          </w:pPr>
        </w:p>
      </w:tc>
      <w:tc>
        <w:tcPr>
          <w:tcW w:w="6634" w:type="dxa"/>
          <w:tcBorders>
            <w:top w:val="single" w:sz="6" w:space="0" w:color="auto"/>
          </w:tcBorders>
        </w:tcPr>
        <w:p w:rsidR="00CC6528" w:rsidRDefault="00CC6528" w:rsidP="0019293B">
          <w:pPr>
            <w:pStyle w:val="HeaderEven"/>
          </w:pPr>
        </w:p>
      </w:tc>
    </w:tr>
  </w:tbl>
  <w:p w:rsidR="00CC6528" w:rsidRDefault="00CC6528"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C6528">
      <w:tc>
        <w:tcPr>
          <w:tcW w:w="6634" w:type="dxa"/>
          <w:tcBorders>
            <w:top w:val="single" w:sz="6" w:space="0" w:color="auto"/>
          </w:tcBorders>
        </w:tcPr>
        <w:p w:rsidR="00CC6528" w:rsidRDefault="00CC6528" w:rsidP="00E669E2">
          <w:pPr>
            <w:pStyle w:val="HeaderOdd"/>
          </w:pPr>
        </w:p>
      </w:tc>
      <w:tc>
        <w:tcPr>
          <w:tcW w:w="2155" w:type="dxa"/>
          <w:tcBorders>
            <w:top w:val="single" w:sz="24" w:space="0" w:color="auto"/>
          </w:tcBorders>
        </w:tcPr>
        <w:p w:rsidR="00CC6528" w:rsidRDefault="00CC6528" w:rsidP="00E669E2">
          <w:pPr>
            <w:pStyle w:val="HeaderOdd"/>
          </w:pPr>
        </w:p>
      </w:tc>
    </w:tr>
  </w:tbl>
  <w:p w:rsidR="00CC6528" w:rsidRDefault="00CC6528"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15743D8F"/>
    <w:multiLevelType w:val="multilevel"/>
    <w:tmpl w:val="8C9E2EC8"/>
    <w:lvl w:ilvl="0">
      <w:start w:val="1"/>
      <w:numFmt w:val="bullet"/>
      <w:pStyle w:val="BulletedListLevel1"/>
      <w:lvlText w:val=""/>
      <w:lvlJc w:val="left"/>
      <w:pPr>
        <w:tabs>
          <w:tab w:val="num" w:pos="567"/>
        </w:tabs>
        <w:ind w:left="567" w:hanging="567"/>
      </w:pPr>
      <w:rPr>
        <w:rFonts w:ascii="Symbol" w:hAnsi="Symbol" w:hint="default"/>
        <w:color w:val="auto"/>
      </w:rPr>
    </w:lvl>
    <w:lvl w:ilvl="1">
      <w:start w:val="1"/>
      <w:numFmt w:val="bullet"/>
      <w:lvlText w:val="o"/>
      <w:lvlJc w:val="left"/>
      <w:pPr>
        <w:tabs>
          <w:tab w:val="num" w:pos="1134"/>
        </w:tabs>
        <w:ind w:left="1134" w:hanging="567"/>
      </w:pPr>
      <w:rPr>
        <w:rFonts w:ascii="Courier New" w:hAnsi="Courier New"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6281D02"/>
    <w:multiLevelType w:val="multilevel"/>
    <w:tmpl w:val="6EAE8648"/>
    <w:styleLink w:val="StyleStyleBulletedOutlinenumberedLatinCourierNewComp1"/>
    <w:lvl w:ilvl="0">
      <w:start w:val="1"/>
      <w:numFmt w:val="bullet"/>
      <w:lvlText w:val=""/>
      <w:lvlJc w:val="left"/>
      <w:pPr>
        <w:tabs>
          <w:tab w:val="num" w:pos="360"/>
        </w:tabs>
        <w:ind w:left="360" w:hanging="360"/>
      </w:pPr>
      <w:rPr>
        <w:rFonts w:ascii="Symbol" w:hAnsi="Symbol" w:cs="Times New Roman" w:hint="default"/>
        <w:color w:val="000080"/>
        <w:sz w:val="20"/>
        <w:szCs w:val="20"/>
      </w:rPr>
    </w:lvl>
    <w:lvl w:ilvl="1">
      <w:start w:val="1"/>
      <w:numFmt w:val="bullet"/>
      <w:lvlText w:val="−"/>
      <w:lvlJc w:val="left"/>
      <w:pPr>
        <w:tabs>
          <w:tab w:val="num" w:pos="1080"/>
        </w:tabs>
        <w:ind w:left="1080" w:hanging="360"/>
      </w:pPr>
      <w:rPr>
        <w:rFonts w:ascii="Times New Roman" w:hAnsi="Times New Roman" w:cs="Times New Roman" w:hint="default"/>
        <w:color w:val="000080"/>
        <w:sz w:val="22"/>
        <w:szCs w:val="22"/>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6">
    <w:nsid w:val="51F74561"/>
    <w:multiLevelType w:val="singleLevel"/>
    <w:tmpl w:val="ED98921A"/>
    <w:lvl w:ilvl="0">
      <w:start w:val="1"/>
      <w:numFmt w:val="decimal"/>
      <w:lvlText w:val="%1."/>
      <w:legacy w:legacy="1" w:legacySpace="0" w:legacyIndent="340"/>
      <w:lvlJc w:val="left"/>
      <w:pPr>
        <w:ind w:left="340" w:hanging="340"/>
      </w:pPr>
    </w:lvl>
  </w:abstractNum>
  <w:abstractNum w:abstractNumId="2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9">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1">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3">
    <w:nsid w:val="5A096576"/>
    <w:multiLevelType w:val="singleLevel"/>
    <w:tmpl w:val="ED98921A"/>
    <w:lvl w:ilvl="0">
      <w:start w:val="1"/>
      <w:numFmt w:val="decimal"/>
      <w:lvlText w:val="%1."/>
      <w:legacy w:legacy="1" w:legacySpace="0" w:legacyIndent="340"/>
      <w:lvlJc w:val="left"/>
      <w:pPr>
        <w:ind w:left="340" w:hanging="340"/>
      </w:pPr>
    </w:lvl>
  </w:abstractNum>
  <w:abstractNum w:abstractNumId="34">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60055F7F"/>
    <w:multiLevelType w:val="singleLevel"/>
    <w:tmpl w:val="ED98921A"/>
    <w:lvl w:ilvl="0">
      <w:start w:val="1"/>
      <w:numFmt w:val="decimal"/>
      <w:lvlText w:val="%1."/>
      <w:legacy w:legacy="1" w:legacySpace="0" w:legacyIndent="340"/>
      <w:lvlJc w:val="left"/>
      <w:pPr>
        <w:ind w:left="340" w:hanging="340"/>
      </w:pPr>
    </w:lvl>
  </w:abstractNum>
  <w:abstractNum w:abstractNumId="36">
    <w:nsid w:val="608E741E"/>
    <w:multiLevelType w:val="singleLevel"/>
    <w:tmpl w:val="ED98921A"/>
    <w:lvl w:ilvl="0">
      <w:start w:val="1"/>
      <w:numFmt w:val="decimal"/>
      <w:lvlText w:val="%1."/>
      <w:legacy w:legacy="1" w:legacySpace="0" w:legacyIndent="340"/>
      <w:lvlJc w:val="left"/>
      <w:pPr>
        <w:ind w:left="340" w:hanging="340"/>
      </w:pPr>
    </w:lvl>
  </w:abstractNum>
  <w:abstractNum w:abstractNumId="37">
    <w:nsid w:val="61320C1E"/>
    <w:multiLevelType w:val="singleLevel"/>
    <w:tmpl w:val="C444122C"/>
    <w:lvl w:ilvl="0">
      <w:start w:val="1"/>
      <w:numFmt w:val="decimal"/>
      <w:lvlText w:val="%1."/>
      <w:legacy w:legacy="1" w:legacySpace="0" w:legacyIndent="284"/>
      <w:lvlJc w:val="left"/>
      <w:pPr>
        <w:ind w:left="284" w:hanging="284"/>
      </w:pPr>
    </w:lvl>
  </w:abstractNum>
  <w:abstractNum w:abstractNumId="38">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0">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1">
    <w:nsid w:val="682523E3"/>
    <w:multiLevelType w:val="hybridMultilevel"/>
    <w:tmpl w:val="DE5AA206"/>
    <w:lvl w:ilvl="0" w:tplc="B13A9A3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3">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7">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5"/>
  </w:num>
  <w:num w:numId="2">
    <w:abstractNumId w:val="7"/>
  </w:num>
  <w:num w:numId="3">
    <w:abstractNumId w:val="27"/>
  </w:num>
  <w:num w:numId="4">
    <w:abstractNumId w:val="9"/>
  </w:num>
  <w:num w:numId="5">
    <w:abstractNumId w:val="39"/>
  </w:num>
  <w:num w:numId="6">
    <w:abstractNumId w:val="30"/>
  </w:num>
  <w:num w:numId="7">
    <w:abstractNumId w:val="46"/>
  </w:num>
  <w:num w:numId="8">
    <w:abstractNumId w:val="16"/>
  </w:num>
  <w:num w:numId="9">
    <w:abstractNumId w:val="28"/>
  </w:num>
  <w:num w:numId="10">
    <w:abstractNumId w:val="15"/>
  </w:num>
  <w:num w:numId="11">
    <w:abstractNumId w:val="14"/>
  </w:num>
  <w:num w:numId="12">
    <w:abstractNumId w:val="18"/>
  </w:num>
  <w:num w:numId="13">
    <w:abstractNumId w:val="20"/>
  </w:num>
  <w:num w:numId="14">
    <w:abstractNumId w:val="24"/>
  </w:num>
  <w:num w:numId="15">
    <w:abstractNumId w:val="10"/>
  </w:num>
  <w:num w:numId="16">
    <w:abstractNumId w:val="32"/>
  </w:num>
  <w:num w:numId="17">
    <w:abstractNumId w:val="21"/>
  </w:num>
  <w:num w:numId="18">
    <w:abstractNumId w:val="23"/>
  </w:num>
  <w:num w:numId="19">
    <w:abstractNumId w:val="17"/>
  </w:num>
  <w:num w:numId="20">
    <w:abstractNumId w:val="41"/>
  </w:num>
  <w:num w:numId="21">
    <w:abstractNumId w:val="21"/>
  </w:num>
  <w:num w:numId="22">
    <w:abstractNumId w:val="5"/>
  </w:num>
  <w:num w:numId="23">
    <w:abstractNumId w:val="3"/>
  </w:num>
  <w:num w:numId="24">
    <w:abstractNumId w:val="2"/>
  </w:num>
  <w:num w:numId="25">
    <w:abstractNumId w:val="4"/>
  </w:num>
  <w:num w:numId="26">
    <w:abstractNumId w:val="1"/>
  </w:num>
  <w:num w:numId="27">
    <w:abstractNumId w:val="0"/>
  </w:num>
  <w:num w:numId="28">
    <w:abstractNumId w:val="12"/>
  </w:num>
  <w:num w:numId="29">
    <w:abstractNumId w:val="36"/>
  </w:num>
  <w:num w:numId="30">
    <w:abstractNumId w:val="38"/>
  </w:num>
  <w:num w:numId="31">
    <w:abstractNumId w:val="26"/>
  </w:num>
  <w:num w:numId="32">
    <w:abstractNumId w:val="29"/>
  </w:num>
  <w:num w:numId="33">
    <w:abstractNumId w:val="31"/>
  </w:num>
  <w:num w:numId="34">
    <w:abstractNumId w:val="44"/>
  </w:num>
  <w:num w:numId="35">
    <w:abstractNumId w:val="35"/>
  </w:num>
  <w:num w:numId="36">
    <w:abstractNumId w:val="40"/>
  </w:num>
  <w:num w:numId="37">
    <w:abstractNumId w:val="42"/>
  </w:num>
  <w:num w:numId="38">
    <w:abstractNumId w:val="33"/>
  </w:num>
  <w:num w:numId="39">
    <w:abstractNumId w:val="22"/>
  </w:num>
  <w:num w:numId="40">
    <w:abstractNumId w:val="47"/>
  </w:num>
  <w:num w:numId="41">
    <w:abstractNumId w:val="8"/>
  </w:num>
  <w:num w:numId="42">
    <w:abstractNumId w:val="19"/>
  </w:num>
  <w:num w:numId="43">
    <w:abstractNumId w:val="43"/>
  </w:num>
  <w:num w:numId="44">
    <w:abstractNumId w:val="34"/>
  </w:num>
  <w:num w:numId="45">
    <w:abstractNumId w:val="13"/>
  </w:num>
  <w:num w:numId="46">
    <w:abstractNumId w:val="37"/>
  </w:num>
  <w:num w:numId="47">
    <w:abstractNumId w:val="25"/>
  </w:num>
  <w:num w:numId="48">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9">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16"/>
    <w:docVar w:name="FindingOptions" w:val="1"/>
    <w:docVar w:name="RecOptions" w:val="111"/>
    <w:docVar w:name="ShortChapterTitle" w:val="Indigenous Compendium 2014"/>
    <w:docVar w:name="ShortReportTitle" w:val="Report on Government Services 2014"/>
  </w:docVars>
  <w:rsids>
    <w:rsidRoot w:val="00B86CB4"/>
    <w:rsid w:val="00000FFC"/>
    <w:rsid w:val="00002CC5"/>
    <w:rsid w:val="00014F3D"/>
    <w:rsid w:val="000227D5"/>
    <w:rsid w:val="000245AA"/>
    <w:rsid w:val="00025E33"/>
    <w:rsid w:val="00035625"/>
    <w:rsid w:val="0003664B"/>
    <w:rsid w:val="00037202"/>
    <w:rsid w:val="0004111F"/>
    <w:rsid w:val="000444A1"/>
    <w:rsid w:val="000551C0"/>
    <w:rsid w:val="000565B3"/>
    <w:rsid w:val="0007150B"/>
    <w:rsid w:val="00073A09"/>
    <w:rsid w:val="000759D7"/>
    <w:rsid w:val="00076021"/>
    <w:rsid w:val="00081E65"/>
    <w:rsid w:val="00085ED5"/>
    <w:rsid w:val="00092918"/>
    <w:rsid w:val="00092C6D"/>
    <w:rsid w:val="000938F5"/>
    <w:rsid w:val="00096E55"/>
    <w:rsid w:val="00096F64"/>
    <w:rsid w:val="000A144E"/>
    <w:rsid w:val="000A3ED2"/>
    <w:rsid w:val="000A57DC"/>
    <w:rsid w:val="000B5F1D"/>
    <w:rsid w:val="000B601B"/>
    <w:rsid w:val="000B7D9A"/>
    <w:rsid w:val="000C207E"/>
    <w:rsid w:val="000C65C8"/>
    <w:rsid w:val="000D1E2A"/>
    <w:rsid w:val="000E097E"/>
    <w:rsid w:val="000E39D8"/>
    <w:rsid w:val="000E4ACF"/>
    <w:rsid w:val="000F0035"/>
    <w:rsid w:val="000F420B"/>
    <w:rsid w:val="000F73B5"/>
    <w:rsid w:val="00110116"/>
    <w:rsid w:val="0011279A"/>
    <w:rsid w:val="00114B50"/>
    <w:rsid w:val="00117823"/>
    <w:rsid w:val="0011785C"/>
    <w:rsid w:val="00120072"/>
    <w:rsid w:val="001205BE"/>
    <w:rsid w:val="0012158A"/>
    <w:rsid w:val="00124AA9"/>
    <w:rsid w:val="00126EB8"/>
    <w:rsid w:val="001274D4"/>
    <w:rsid w:val="001301BC"/>
    <w:rsid w:val="001350E7"/>
    <w:rsid w:val="001363AA"/>
    <w:rsid w:val="0014213B"/>
    <w:rsid w:val="00144BE9"/>
    <w:rsid w:val="001457FC"/>
    <w:rsid w:val="00147147"/>
    <w:rsid w:val="00156907"/>
    <w:rsid w:val="001678E5"/>
    <w:rsid w:val="00167CA3"/>
    <w:rsid w:val="00172567"/>
    <w:rsid w:val="00172838"/>
    <w:rsid w:val="00172DF5"/>
    <w:rsid w:val="00182C6E"/>
    <w:rsid w:val="00183321"/>
    <w:rsid w:val="001838A3"/>
    <w:rsid w:val="00183E82"/>
    <w:rsid w:val="001875E0"/>
    <w:rsid w:val="001876B5"/>
    <w:rsid w:val="001878BB"/>
    <w:rsid w:val="00187EEA"/>
    <w:rsid w:val="001918E7"/>
    <w:rsid w:val="00191AE0"/>
    <w:rsid w:val="0019293B"/>
    <w:rsid w:val="00195954"/>
    <w:rsid w:val="001960A7"/>
    <w:rsid w:val="001A5435"/>
    <w:rsid w:val="001B0F05"/>
    <w:rsid w:val="001B62EC"/>
    <w:rsid w:val="001B7720"/>
    <w:rsid w:val="001C0865"/>
    <w:rsid w:val="001C18F8"/>
    <w:rsid w:val="001C3ABA"/>
    <w:rsid w:val="001C5B5C"/>
    <w:rsid w:val="001C601E"/>
    <w:rsid w:val="001C66FC"/>
    <w:rsid w:val="001C6E1E"/>
    <w:rsid w:val="001D0A18"/>
    <w:rsid w:val="001D4ABC"/>
    <w:rsid w:val="001D4BAC"/>
    <w:rsid w:val="001E7BE8"/>
    <w:rsid w:val="001F0248"/>
    <w:rsid w:val="001F2E1B"/>
    <w:rsid w:val="001F3EB3"/>
    <w:rsid w:val="001F4F86"/>
    <w:rsid w:val="00201E83"/>
    <w:rsid w:val="00202C2C"/>
    <w:rsid w:val="0020524B"/>
    <w:rsid w:val="002059A0"/>
    <w:rsid w:val="002135AB"/>
    <w:rsid w:val="002144BE"/>
    <w:rsid w:val="00222B03"/>
    <w:rsid w:val="0023047A"/>
    <w:rsid w:val="00231ED8"/>
    <w:rsid w:val="002339BA"/>
    <w:rsid w:val="00236CCF"/>
    <w:rsid w:val="00240CB3"/>
    <w:rsid w:val="00242279"/>
    <w:rsid w:val="0024596C"/>
    <w:rsid w:val="00245C82"/>
    <w:rsid w:val="002504EE"/>
    <w:rsid w:val="00260781"/>
    <w:rsid w:val="00260EFC"/>
    <w:rsid w:val="002631FD"/>
    <w:rsid w:val="00266112"/>
    <w:rsid w:val="00270B27"/>
    <w:rsid w:val="00271A32"/>
    <w:rsid w:val="00273B38"/>
    <w:rsid w:val="00275CD8"/>
    <w:rsid w:val="0028038E"/>
    <w:rsid w:val="00280FB3"/>
    <w:rsid w:val="00285231"/>
    <w:rsid w:val="00287BA4"/>
    <w:rsid w:val="00287D81"/>
    <w:rsid w:val="0029178B"/>
    <w:rsid w:val="00291B40"/>
    <w:rsid w:val="00297888"/>
    <w:rsid w:val="002A286E"/>
    <w:rsid w:val="002A390F"/>
    <w:rsid w:val="002A478F"/>
    <w:rsid w:val="002A61D7"/>
    <w:rsid w:val="002B4008"/>
    <w:rsid w:val="002B4766"/>
    <w:rsid w:val="002C0C2B"/>
    <w:rsid w:val="002C0FA5"/>
    <w:rsid w:val="002D0C98"/>
    <w:rsid w:val="002D0E8E"/>
    <w:rsid w:val="002D7767"/>
    <w:rsid w:val="002E7DDE"/>
    <w:rsid w:val="002F658B"/>
    <w:rsid w:val="00300217"/>
    <w:rsid w:val="00301189"/>
    <w:rsid w:val="003024A0"/>
    <w:rsid w:val="00304F4A"/>
    <w:rsid w:val="00310609"/>
    <w:rsid w:val="003133E9"/>
    <w:rsid w:val="003226FB"/>
    <w:rsid w:val="00323E09"/>
    <w:rsid w:val="0032443E"/>
    <w:rsid w:val="003323E0"/>
    <w:rsid w:val="00333932"/>
    <w:rsid w:val="003345AE"/>
    <w:rsid w:val="00335EFF"/>
    <w:rsid w:val="00342143"/>
    <w:rsid w:val="00344001"/>
    <w:rsid w:val="00346421"/>
    <w:rsid w:val="00351694"/>
    <w:rsid w:val="003518AA"/>
    <w:rsid w:val="003519C6"/>
    <w:rsid w:val="00352165"/>
    <w:rsid w:val="00352231"/>
    <w:rsid w:val="0035307E"/>
    <w:rsid w:val="00353182"/>
    <w:rsid w:val="00353AAF"/>
    <w:rsid w:val="00355DF0"/>
    <w:rsid w:val="003565D9"/>
    <w:rsid w:val="003568DE"/>
    <w:rsid w:val="003602E1"/>
    <w:rsid w:val="0037026F"/>
    <w:rsid w:val="003703CB"/>
    <w:rsid w:val="00371131"/>
    <w:rsid w:val="0037121A"/>
    <w:rsid w:val="00371240"/>
    <w:rsid w:val="00371A1C"/>
    <w:rsid w:val="00374731"/>
    <w:rsid w:val="00374877"/>
    <w:rsid w:val="00376E59"/>
    <w:rsid w:val="003771FF"/>
    <w:rsid w:val="003919F9"/>
    <w:rsid w:val="00393A0D"/>
    <w:rsid w:val="0039497F"/>
    <w:rsid w:val="003A2850"/>
    <w:rsid w:val="003A3019"/>
    <w:rsid w:val="003B08D7"/>
    <w:rsid w:val="003B563F"/>
    <w:rsid w:val="003C1570"/>
    <w:rsid w:val="003C38B5"/>
    <w:rsid w:val="003C5D99"/>
    <w:rsid w:val="003D3B04"/>
    <w:rsid w:val="003D530B"/>
    <w:rsid w:val="003D5E1E"/>
    <w:rsid w:val="003E2F59"/>
    <w:rsid w:val="003F0789"/>
    <w:rsid w:val="003F61EB"/>
    <w:rsid w:val="003F77E5"/>
    <w:rsid w:val="00401882"/>
    <w:rsid w:val="00405CFE"/>
    <w:rsid w:val="00407AFB"/>
    <w:rsid w:val="004100C8"/>
    <w:rsid w:val="00411DBD"/>
    <w:rsid w:val="00412066"/>
    <w:rsid w:val="00412ACE"/>
    <w:rsid w:val="00416111"/>
    <w:rsid w:val="00416863"/>
    <w:rsid w:val="0041694A"/>
    <w:rsid w:val="00422688"/>
    <w:rsid w:val="00422B5F"/>
    <w:rsid w:val="0042414C"/>
    <w:rsid w:val="00431249"/>
    <w:rsid w:val="00434C19"/>
    <w:rsid w:val="00436D26"/>
    <w:rsid w:val="004376B0"/>
    <w:rsid w:val="004417C1"/>
    <w:rsid w:val="004445D5"/>
    <w:rsid w:val="00445388"/>
    <w:rsid w:val="004476A9"/>
    <w:rsid w:val="00450810"/>
    <w:rsid w:val="004546FE"/>
    <w:rsid w:val="00461F54"/>
    <w:rsid w:val="00464B60"/>
    <w:rsid w:val="004663EC"/>
    <w:rsid w:val="00472048"/>
    <w:rsid w:val="004738F0"/>
    <w:rsid w:val="00475C2A"/>
    <w:rsid w:val="00477144"/>
    <w:rsid w:val="00482397"/>
    <w:rsid w:val="00482CB9"/>
    <w:rsid w:val="00484B42"/>
    <w:rsid w:val="00485B11"/>
    <w:rsid w:val="00485EEA"/>
    <w:rsid w:val="00486AC8"/>
    <w:rsid w:val="00490D83"/>
    <w:rsid w:val="00490E5D"/>
    <w:rsid w:val="00491380"/>
    <w:rsid w:val="00492BF6"/>
    <w:rsid w:val="0049459F"/>
    <w:rsid w:val="004956FF"/>
    <w:rsid w:val="00496488"/>
    <w:rsid w:val="00497199"/>
    <w:rsid w:val="004A0126"/>
    <w:rsid w:val="004A05DB"/>
    <w:rsid w:val="004A292E"/>
    <w:rsid w:val="004A38DD"/>
    <w:rsid w:val="004A6230"/>
    <w:rsid w:val="004A67C8"/>
    <w:rsid w:val="004B16F9"/>
    <w:rsid w:val="004B43AE"/>
    <w:rsid w:val="004B77C9"/>
    <w:rsid w:val="004B7C3F"/>
    <w:rsid w:val="004C30ED"/>
    <w:rsid w:val="004D5675"/>
    <w:rsid w:val="004E01E4"/>
    <w:rsid w:val="004E1C9C"/>
    <w:rsid w:val="004E4C1D"/>
    <w:rsid w:val="004F1489"/>
    <w:rsid w:val="004F3586"/>
    <w:rsid w:val="004F52A5"/>
    <w:rsid w:val="004F7258"/>
    <w:rsid w:val="0050159E"/>
    <w:rsid w:val="00502461"/>
    <w:rsid w:val="005050E8"/>
    <w:rsid w:val="00505A5A"/>
    <w:rsid w:val="0050695A"/>
    <w:rsid w:val="00506E88"/>
    <w:rsid w:val="00523639"/>
    <w:rsid w:val="00531FE5"/>
    <w:rsid w:val="005321CE"/>
    <w:rsid w:val="00532335"/>
    <w:rsid w:val="005426DE"/>
    <w:rsid w:val="0056313E"/>
    <w:rsid w:val="0056489A"/>
    <w:rsid w:val="0057227C"/>
    <w:rsid w:val="00573705"/>
    <w:rsid w:val="00576AD4"/>
    <w:rsid w:val="005831C7"/>
    <w:rsid w:val="00583C39"/>
    <w:rsid w:val="00587F28"/>
    <w:rsid w:val="005909CF"/>
    <w:rsid w:val="00590DAD"/>
    <w:rsid w:val="00591E71"/>
    <w:rsid w:val="005A0D41"/>
    <w:rsid w:val="005A1951"/>
    <w:rsid w:val="005A21F2"/>
    <w:rsid w:val="005A2C7D"/>
    <w:rsid w:val="005A45DD"/>
    <w:rsid w:val="005A4B47"/>
    <w:rsid w:val="005A6BC8"/>
    <w:rsid w:val="005A7405"/>
    <w:rsid w:val="005B6662"/>
    <w:rsid w:val="005B6701"/>
    <w:rsid w:val="005D09F1"/>
    <w:rsid w:val="005D3127"/>
    <w:rsid w:val="005D44E1"/>
    <w:rsid w:val="005E200F"/>
    <w:rsid w:val="005E2138"/>
    <w:rsid w:val="005E2FCF"/>
    <w:rsid w:val="005E5169"/>
    <w:rsid w:val="005E7265"/>
    <w:rsid w:val="005E7FBC"/>
    <w:rsid w:val="005F097D"/>
    <w:rsid w:val="005F3481"/>
    <w:rsid w:val="005F4C5C"/>
    <w:rsid w:val="005F6B0C"/>
    <w:rsid w:val="006050F4"/>
    <w:rsid w:val="00607851"/>
    <w:rsid w:val="00607BF1"/>
    <w:rsid w:val="00616292"/>
    <w:rsid w:val="00621DFC"/>
    <w:rsid w:val="00625C15"/>
    <w:rsid w:val="00630D4D"/>
    <w:rsid w:val="006322C8"/>
    <w:rsid w:val="00632A74"/>
    <w:rsid w:val="006337B2"/>
    <w:rsid w:val="00636F7C"/>
    <w:rsid w:val="00641D7B"/>
    <w:rsid w:val="00647552"/>
    <w:rsid w:val="006504B2"/>
    <w:rsid w:val="006504C7"/>
    <w:rsid w:val="006511D4"/>
    <w:rsid w:val="00661EBF"/>
    <w:rsid w:val="00664879"/>
    <w:rsid w:val="00675BC8"/>
    <w:rsid w:val="00676C2D"/>
    <w:rsid w:val="0068017C"/>
    <w:rsid w:val="006826B0"/>
    <w:rsid w:val="00690F05"/>
    <w:rsid w:val="0069518A"/>
    <w:rsid w:val="00695FC0"/>
    <w:rsid w:val="006A4655"/>
    <w:rsid w:val="006A4704"/>
    <w:rsid w:val="006A7102"/>
    <w:rsid w:val="006B0CF1"/>
    <w:rsid w:val="006B2B3C"/>
    <w:rsid w:val="006C1D81"/>
    <w:rsid w:val="006C6EED"/>
    <w:rsid w:val="006C7038"/>
    <w:rsid w:val="006C7C14"/>
    <w:rsid w:val="006E0FFA"/>
    <w:rsid w:val="006E177F"/>
    <w:rsid w:val="006E2CEA"/>
    <w:rsid w:val="006E73EF"/>
    <w:rsid w:val="006F592C"/>
    <w:rsid w:val="00700C86"/>
    <w:rsid w:val="00703DFE"/>
    <w:rsid w:val="00704DCC"/>
    <w:rsid w:val="0070745B"/>
    <w:rsid w:val="00707B10"/>
    <w:rsid w:val="00707BE0"/>
    <w:rsid w:val="007119F3"/>
    <w:rsid w:val="00714D4D"/>
    <w:rsid w:val="00715BD1"/>
    <w:rsid w:val="00721197"/>
    <w:rsid w:val="0072192B"/>
    <w:rsid w:val="00722BE7"/>
    <w:rsid w:val="00723B87"/>
    <w:rsid w:val="007262E3"/>
    <w:rsid w:val="00726442"/>
    <w:rsid w:val="007313D0"/>
    <w:rsid w:val="00733B6D"/>
    <w:rsid w:val="00734316"/>
    <w:rsid w:val="00735E59"/>
    <w:rsid w:val="0074069E"/>
    <w:rsid w:val="00743052"/>
    <w:rsid w:val="007442CE"/>
    <w:rsid w:val="007550B1"/>
    <w:rsid w:val="00757BDE"/>
    <w:rsid w:val="007604BB"/>
    <w:rsid w:val="0076310E"/>
    <w:rsid w:val="00765910"/>
    <w:rsid w:val="00772DFC"/>
    <w:rsid w:val="00775DC1"/>
    <w:rsid w:val="00776B37"/>
    <w:rsid w:val="00785232"/>
    <w:rsid w:val="0079170F"/>
    <w:rsid w:val="0079282C"/>
    <w:rsid w:val="00795967"/>
    <w:rsid w:val="007A21EB"/>
    <w:rsid w:val="007A2D09"/>
    <w:rsid w:val="007B1A93"/>
    <w:rsid w:val="007C09A7"/>
    <w:rsid w:val="007C1CDB"/>
    <w:rsid w:val="007C36C9"/>
    <w:rsid w:val="007D6401"/>
    <w:rsid w:val="007E01E4"/>
    <w:rsid w:val="007E210F"/>
    <w:rsid w:val="007E3D58"/>
    <w:rsid w:val="007E58C5"/>
    <w:rsid w:val="007F4085"/>
    <w:rsid w:val="007F43FA"/>
    <w:rsid w:val="007F7107"/>
    <w:rsid w:val="00800D4C"/>
    <w:rsid w:val="0080417A"/>
    <w:rsid w:val="0081030F"/>
    <w:rsid w:val="00810DD5"/>
    <w:rsid w:val="008141C4"/>
    <w:rsid w:val="008204E0"/>
    <w:rsid w:val="0082087D"/>
    <w:rsid w:val="00827003"/>
    <w:rsid w:val="00827929"/>
    <w:rsid w:val="00831511"/>
    <w:rsid w:val="0083561A"/>
    <w:rsid w:val="00835771"/>
    <w:rsid w:val="00842933"/>
    <w:rsid w:val="00847F8A"/>
    <w:rsid w:val="00852E24"/>
    <w:rsid w:val="0086082C"/>
    <w:rsid w:val="00860C85"/>
    <w:rsid w:val="00862650"/>
    <w:rsid w:val="00864ADC"/>
    <w:rsid w:val="00876D47"/>
    <w:rsid w:val="00880153"/>
    <w:rsid w:val="008808FB"/>
    <w:rsid w:val="00880F97"/>
    <w:rsid w:val="0088133A"/>
    <w:rsid w:val="0088640F"/>
    <w:rsid w:val="0088688A"/>
    <w:rsid w:val="0089285E"/>
    <w:rsid w:val="0089436C"/>
    <w:rsid w:val="008A4D38"/>
    <w:rsid w:val="008A6F90"/>
    <w:rsid w:val="008B203B"/>
    <w:rsid w:val="008C2AE7"/>
    <w:rsid w:val="008C2E3D"/>
    <w:rsid w:val="008C5635"/>
    <w:rsid w:val="008D0CB9"/>
    <w:rsid w:val="008D0F22"/>
    <w:rsid w:val="008D365C"/>
    <w:rsid w:val="008D743B"/>
    <w:rsid w:val="008E1073"/>
    <w:rsid w:val="008E5E58"/>
    <w:rsid w:val="008F0BEE"/>
    <w:rsid w:val="008F50FE"/>
    <w:rsid w:val="00900FAA"/>
    <w:rsid w:val="00902762"/>
    <w:rsid w:val="009030BF"/>
    <w:rsid w:val="00904D33"/>
    <w:rsid w:val="00906468"/>
    <w:rsid w:val="0091032F"/>
    <w:rsid w:val="0091304B"/>
    <w:rsid w:val="00913762"/>
    <w:rsid w:val="00914368"/>
    <w:rsid w:val="00921A35"/>
    <w:rsid w:val="00923580"/>
    <w:rsid w:val="00927436"/>
    <w:rsid w:val="00931076"/>
    <w:rsid w:val="0093198C"/>
    <w:rsid w:val="009330DF"/>
    <w:rsid w:val="009339C4"/>
    <w:rsid w:val="009345D9"/>
    <w:rsid w:val="009345F5"/>
    <w:rsid w:val="0093496A"/>
    <w:rsid w:val="00934B15"/>
    <w:rsid w:val="00942B62"/>
    <w:rsid w:val="00943779"/>
    <w:rsid w:val="00947D41"/>
    <w:rsid w:val="00953F88"/>
    <w:rsid w:val="009562F7"/>
    <w:rsid w:val="00956A0C"/>
    <w:rsid w:val="00956BD9"/>
    <w:rsid w:val="00962489"/>
    <w:rsid w:val="009677A8"/>
    <w:rsid w:val="00990C2C"/>
    <w:rsid w:val="009932EB"/>
    <w:rsid w:val="009A0700"/>
    <w:rsid w:val="009A080A"/>
    <w:rsid w:val="009A18E4"/>
    <w:rsid w:val="009A7948"/>
    <w:rsid w:val="009B111A"/>
    <w:rsid w:val="009B1AC3"/>
    <w:rsid w:val="009B1ECE"/>
    <w:rsid w:val="009B5AA4"/>
    <w:rsid w:val="009C05A7"/>
    <w:rsid w:val="009C4295"/>
    <w:rsid w:val="009C61AF"/>
    <w:rsid w:val="009D08F4"/>
    <w:rsid w:val="009D333E"/>
    <w:rsid w:val="009D376A"/>
    <w:rsid w:val="009D409D"/>
    <w:rsid w:val="009E2C6A"/>
    <w:rsid w:val="009E4186"/>
    <w:rsid w:val="009E44A4"/>
    <w:rsid w:val="009E5B82"/>
    <w:rsid w:val="009F0D1B"/>
    <w:rsid w:val="009F5380"/>
    <w:rsid w:val="009F54BA"/>
    <w:rsid w:val="009F696D"/>
    <w:rsid w:val="009F6BC6"/>
    <w:rsid w:val="009F6DA5"/>
    <w:rsid w:val="00A02721"/>
    <w:rsid w:val="00A02C7C"/>
    <w:rsid w:val="00A12154"/>
    <w:rsid w:val="00A151B9"/>
    <w:rsid w:val="00A17328"/>
    <w:rsid w:val="00A20771"/>
    <w:rsid w:val="00A217EC"/>
    <w:rsid w:val="00A23A20"/>
    <w:rsid w:val="00A24E69"/>
    <w:rsid w:val="00A252AF"/>
    <w:rsid w:val="00A268B9"/>
    <w:rsid w:val="00A2703A"/>
    <w:rsid w:val="00A27226"/>
    <w:rsid w:val="00A33DFF"/>
    <w:rsid w:val="00A35115"/>
    <w:rsid w:val="00A36D9A"/>
    <w:rsid w:val="00A40B8E"/>
    <w:rsid w:val="00A52210"/>
    <w:rsid w:val="00A5394A"/>
    <w:rsid w:val="00A554AB"/>
    <w:rsid w:val="00A57062"/>
    <w:rsid w:val="00A63C52"/>
    <w:rsid w:val="00A738FD"/>
    <w:rsid w:val="00A85DA1"/>
    <w:rsid w:val="00A9231C"/>
    <w:rsid w:val="00A92B53"/>
    <w:rsid w:val="00A94FA6"/>
    <w:rsid w:val="00AA49A0"/>
    <w:rsid w:val="00AA6710"/>
    <w:rsid w:val="00AA6D99"/>
    <w:rsid w:val="00AA6DFD"/>
    <w:rsid w:val="00AB0681"/>
    <w:rsid w:val="00AC236E"/>
    <w:rsid w:val="00AD520B"/>
    <w:rsid w:val="00AF1227"/>
    <w:rsid w:val="00AF267B"/>
    <w:rsid w:val="00AF3DF7"/>
    <w:rsid w:val="00AF7B4D"/>
    <w:rsid w:val="00B0085D"/>
    <w:rsid w:val="00B022C5"/>
    <w:rsid w:val="00B04947"/>
    <w:rsid w:val="00B07F2E"/>
    <w:rsid w:val="00B20091"/>
    <w:rsid w:val="00B25B3F"/>
    <w:rsid w:val="00B27B21"/>
    <w:rsid w:val="00B31ED3"/>
    <w:rsid w:val="00B4104A"/>
    <w:rsid w:val="00B425C3"/>
    <w:rsid w:val="00B440AD"/>
    <w:rsid w:val="00B53A33"/>
    <w:rsid w:val="00B53E7E"/>
    <w:rsid w:val="00B56EB5"/>
    <w:rsid w:val="00B61700"/>
    <w:rsid w:val="00B61C2C"/>
    <w:rsid w:val="00B6342E"/>
    <w:rsid w:val="00B64295"/>
    <w:rsid w:val="00B64F45"/>
    <w:rsid w:val="00B65CF9"/>
    <w:rsid w:val="00B7113F"/>
    <w:rsid w:val="00B856EF"/>
    <w:rsid w:val="00B8584C"/>
    <w:rsid w:val="00B8644F"/>
    <w:rsid w:val="00B86CB4"/>
    <w:rsid w:val="00B87DE1"/>
    <w:rsid w:val="00B9198E"/>
    <w:rsid w:val="00B93513"/>
    <w:rsid w:val="00B949D4"/>
    <w:rsid w:val="00B95C6D"/>
    <w:rsid w:val="00BA73B6"/>
    <w:rsid w:val="00BA77D8"/>
    <w:rsid w:val="00BA7E27"/>
    <w:rsid w:val="00BB2603"/>
    <w:rsid w:val="00BB4FCD"/>
    <w:rsid w:val="00BB512A"/>
    <w:rsid w:val="00BB71A6"/>
    <w:rsid w:val="00BC7D06"/>
    <w:rsid w:val="00BD0D9E"/>
    <w:rsid w:val="00BD13EA"/>
    <w:rsid w:val="00BE3808"/>
    <w:rsid w:val="00BF1D01"/>
    <w:rsid w:val="00BF3091"/>
    <w:rsid w:val="00BF389C"/>
    <w:rsid w:val="00BF6C9C"/>
    <w:rsid w:val="00C01FC2"/>
    <w:rsid w:val="00C04B92"/>
    <w:rsid w:val="00C052FC"/>
    <w:rsid w:val="00C062E9"/>
    <w:rsid w:val="00C073E1"/>
    <w:rsid w:val="00C07B64"/>
    <w:rsid w:val="00C13721"/>
    <w:rsid w:val="00C14FE4"/>
    <w:rsid w:val="00C16B02"/>
    <w:rsid w:val="00C17FB7"/>
    <w:rsid w:val="00C21B60"/>
    <w:rsid w:val="00C27D55"/>
    <w:rsid w:val="00C3066D"/>
    <w:rsid w:val="00C34193"/>
    <w:rsid w:val="00C35A4D"/>
    <w:rsid w:val="00C42AD5"/>
    <w:rsid w:val="00C47BE0"/>
    <w:rsid w:val="00C543F4"/>
    <w:rsid w:val="00C6291C"/>
    <w:rsid w:val="00C633CB"/>
    <w:rsid w:val="00C63BA9"/>
    <w:rsid w:val="00C63EDC"/>
    <w:rsid w:val="00C65D2B"/>
    <w:rsid w:val="00C66D3D"/>
    <w:rsid w:val="00C67304"/>
    <w:rsid w:val="00C67AE1"/>
    <w:rsid w:val="00C70324"/>
    <w:rsid w:val="00C81D4A"/>
    <w:rsid w:val="00C85A52"/>
    <w:rsid w:val="00C8762C"/>
    <w:rsid w:val="00C9019E"/>
    <w:rsid w:val="00C9238F"/>
    <w:rsid w:val="00C93E29"/>
    <w:rsid w:val="00C9588D"/>
    <w:rsid w:val="00C962E9"/>
    <w:rsid w:val="00CA00F9"/>
    <w:rsid w:val="00CA05B9"/>
    <w:rsid w:val="00CA1919"/>
    <w:rsid w:val="00CA2961"/>
    <w:rsid w:val="00CA3DF2"/>
    <w:rsid w:val="00CA7596"/>
    <w:rsid w:val="00CB50D7"/>
    <w:rsid w:val="00CB7177"/>
    <w:rsid w:val="00CC1998"/>
    <w:rsid w:val="00CC34EF"/>
    <w:rsid w:val="00CC4946"/>
    <w:rsid w:val="00CC6528"/>
    <w:rsid w:val="00CC7CFA"/>
    <w:rsid w:val="00CD02F3"/>
    <w:rsid w:val="00CE01A1"/>
    <w:rsid w:val="00CF0B63"/>
    <w:rsid w:val="00CF3F93"/>
    <w:rsid w:val="00D06E46"/>
    <w:rsid w:val="00D10825"/>
    <w:rsid w:val="00D122C9"/>
    <w:rsid w:val="00D12AA7"/>
    <w:rsid w:val="00D1321E"/>
    <w:rsid w:val="00D13483"/>
    <w:rsid w:val="00D16EE4"/>
    <w:rsid w:val="00D270A4"/>
    <w:rsid w:val="00D31FE9"/>
    <w:rsid w:val="00D322D9"/>
    <w:rsid w:val="00D32E18"/>
    <w:rsid w:val="00D336E8"/>
    <w:rsid w:val="00D34E1B"/>
    <w:rsid w:val="00D376BA"/>
    <w:rsid w:val="00D4112D"/>
    <w:rsid w:val="00D42157"/>
    <w:rsid w:val="00D45634"/>
    <w:rsid w:val="00D45A2A"/>
    <w:rsid w:val="00D4718A"/>
    <w:rsid w:val="00D527E8"/>
    <w:rsid w:val="00D5568A"/>
    <w:rsid w:val="00D57558"/>
    <w:rsid w:val="00D63D73"/>
    <w:rsid w:val="00D64452"/>
    <w:rsid w:val="00D64921"/>
    <w:rsid w:val="00D66BAC"/>
    <w:rsid w:val="00D66E1E"/>
    <w:rsid w:val="00D70AD8"/>
    <w:rsid w:val="00D70E28"/>
    <w:rsid w:val="00D72B4D"/>
    <w:rsid w:val="00D75722"/>
    <w:rsid w:val="00D75A24"/>
    <w:rsid w:val="00D77A45"/>
    <w:rsid w:val="00D80CF5"/>
    <w:rsid w:val="00D84457"/>
    <w:rsid w:val="00D8576B"/>
    <w:rsid w:val="00D865AB"/>
    <w:rsid w:val="00D8702F"/>
    <w:rsid w:val="00D93042"/>
    <w:rsid w:val="00D93BE0"/>
    <w:rsid w:val="00D96A29"/>
    <w:rsid w:val="00D97630"/>
    <w:rsid w:val="00D97BDD"/>
    <w:rsid w:val="00DA0CD2"/>
    <w:rsid w:val="00DA1EEC"/>
    <w:rsid w:val="00DA5BBA"/>
    <w:rsid w:val="00DB26D2"/>
    <w:rsid w:val="00DB67C9"/>
    <w:rsid w:val="00DB776A"/>
    <w:rsid w:val="00DC0C95"/>
    <w:rsid w:val="00DC75E3"/>
    <w:rsid w:val="00DD4A36"/>
    <w:rsid w:val="00DD6580"/>
    <w:rsid w:val="00DD7B49"/>
    <w:rsid w:val="00DE28B3"/>
    <w:rsid w:val="00DE4726"/>
    <w:rsid w:val="00DF0215"/>
    <w:rsid w:val="00DF70FF"/>
    <w:rsid w:val="00E0363B"/>
    <w:rsid w:val="00E04885"/>
    <w:rsid w:val="00E17C72"/>
    <w:rsid w:val="00E21FC6"/>
    <w:rsid w:val="00E22A42"/>
    <w:rsid w:val="00E22BDF"/>
    <w:rsid w:val="00E35B21"/>
    <w:rsid w:val="00E364D1"/>
    <w:rsid w:val="00E42136"/>
    <w:rsid w:val="00E431A9"/>
    <w:rsid w:val="00E441AE"/>
    <w:rsid w:val="00E568F3"/>
    <w:rsid w:val="00E6046F"/>
    <w:rsid w:val="00E669E2"/>
    <w:rsid w:val="00E72082"/>
    <w:rsid w:val="00E750D9"/>
    <w:rsid w:val="00E76135"/>
    <w:rsid w:val="00E82F4F"/>
    <w:rsid w:val="00EA4F63"/>
    <w:rsid w:val="00EB50D0"/>
    <w:rsid w:val="00EC2844"/>
    <w:rsid w:val="00EC2A85"/>
    <w:rsid w:val="00EC5500"/>
    <w:rsid w:val="00EC56EE"/>
    <w:rsid w:val="00ED2F1F"/>
    <w:rsid w:val="00ED73AE"/>
    <w:rsid w:val="00EF5CBE"/>
    <w:rsid w:val="00EF6C6C"/>
    <w:rsid w:val="00EF74BF"/>
    <w:rsid w:val="00F05336"/>
    <w:rsid w:val="00F056FC"/>
    <w:rsid w:val="00F07A5F"/>
    <w:rsid w:val="00F10476"/>
    <w:rsid w:val="00F135D8"/>
    <w:rsid w:val="00F22391"/>
    <w:rsid w:val="00F31299"/>
    <w:rsid w:val="00F32BDD"/>
    <w:rsid w:val="00F3517A"/>
    <w:rsid w:val="00F3534A"/>
    <w:rsid w:val="00F36DB3"/>
    <w:rsid w:val="00F4697E"/>
    <w:rsid w:val="00F47F91"/>
    <w:rsid w:val="00F51609"/>
    <w:rsid w:val="00F55B7A"/>
    <w:rsid w:val="00F671A6"/>
    <w:rsid w:val="00F7280D"/>
    <w:rsid w:val="00F74577"/>
    <w:rsid w:val="00F7572F"/>
    <w:rsid w:val="00F85325"/>
    <w:rsid w:val="00F85A3F"/>
    <w:rsid w:val="00F8746D"/>
    <w:rsid w:val="00F93830"/>
    <w:rsid w:val="00F94683"/>
    <w:rsid w:val="00F973F6"/>
    <w:rsid w:val="00FA622F"/>
    <w:rsid w:val="00FA7FFD"/>
    <w:rsid w:val="00FB1B84"/>
    <w:rsid w:val="00FB57A6"/>
    <w:rsid w:val="00FC1E1A"/>
    <w:rsid w:val="00FC7C26"/>
    <w:rsid w:val="00FD1710"/>
    <w:rsid w:val="00FD22B1"/>
    <w:rsid w:val="00FD2EB5"/>
    <w:rsid w:val="00FE09EA"/>
    <w:rsid w:val="00FE0CD0"/>
    <w:rsid w:val="00FE3578"/>
    <w:rsid w:val="00FF1C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187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4596C"/>
    <w:rPr>
      <w:sz w:val="26"/>
      <w:szCs w:val="24"/>
    </w:rPr>
  </w:style>
  <w:style w:type="paragraph" w:styleId="Heading1">
    <w:name w:val="heading 1"/>
    <w:basedOn w:val="BodyText"/>
    <w:next w:val="BodyText"/>
    <w:link w:val="Heading1Char"/>
    <w:rsid w:val="0024596C"/>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24596C"/>
    <w:pPr>
      <w:spacing w:before="600" w:after="0" w:line="400" w:lineRule="exact"/>
      <w:ind w:left="907" w:hanging="907"/>
      <w:outlineLvl w:val="1"/>
    </w:pPr>
    <w:rPr>
      <w:rFonts w:ascii="Arial" w:hAnsi="Arial"/>
      <w:b/>
      <w:sz w:val="32"/>
    </w:rPr>
  </w:style>
  <w:style w:type="paragraph" w:styleId="Heading3">
    <w:name w:val="heading 3"/>
    <w:aliases w:val="d,Heading 31"/>
    <w:basedOn w:val="Heading2"/>
    <w:next w:val="BodyText"/>
    <w:link w:val="Heading3Char"/>
    <w:qFormat/>
    <w:rsid w:val="0024596C"/>
    <w:pPr>
      <w:spacing w:before="560" w:line="320" w:lineRule="exact"/>
      <w:ind w:left="0" w:firstLine="0"/>
      <w:outlineLvl w:val="2"/>
    </w:pPr>
    <w:rPr>
      <w:sz w:val="26"/>
    </w:rPr>
  </w:style>
  <w:style w:type="paragraph" w:styleId="Heading4">
    <w:name w:val="heading 4"/>
    <w:aliases w:val="sd"/>
    <w:basedOn w:val="Heading3"/>
    <w:next w:val="BodyText"/>
    <w:link w:val="Heading4Char"/>
    <w:qFormat/>
    <w:rsid w:val="0024596C"/>
    <w:pPr>
      <w:spacing w:before="480"/>
      <w:outlineLvl w:val="3"/>
    </w:pPr>
    <w:rPr>
      <w:b w:val="0"/>
      <w:i/>
      <w:sz w:val="24"/>
    </w:rPr>
  </w:style>
  <w:style w:type="paragraph" w:styleId="Heading5">
    <w:name w:val="heading 5"/>
    <w:basedOn w:val="Heading4"/>
    <w:next w:val="BodyText"/>
    <w:link w:val="Heading5Char"/>
    <w:qFormat/>
    <w:rsid w:val="0024596C"/>
    <w:pPr>
      <w:outlineLvl w:val="4"/>
    </w:pPr>
    <w:rPr>
      <w:rFonts w:ascii="Times New Roman" w:hAnsi="Times New Roman"/>
      <w:sz w:val="26"/>
    </w:rPr>
  </w:style>
  <w:style w:type="paragraph" w:styleId="Heading6">
    <w:name w:val="heading 6"/>
    <w:basedOn w:val="BodyText"/>
    <w:next w:val="BodyText"/>
    <w:link w:val="Heading6Char"/>
    <w:rsid w:val="0024596C"/>
    <w:pPr>
      <w:spacing w:after="60"/>
      <w:jc w:val="left"/>
      <w:outlineLvl w:val="5"/>
    </w:pPr>
    <w:rPr>
      <w:i/>
      <w:sz w:val="22"/>
    </w:rPr>
  </w:style>
  <w:style w:type="paragraph" w:styleId="Heading7">
    <w:name w:val="heading 7"/>
    <w:basedOn w:val="BodyText"/>
    <w:next w:val="BodyText"/>
    <w:link w:val="Heading7Char"/>
    <w:rsid w:val="0024596C"/>
    <w:pPr>
      <w:spacing w:after="60" w:line="240" w:lineRule="auto"/>
      <w:jc w:val="left"/>
      <w:outlineLvl w:val="6"/>
    </w:pPr>
    <w:rPr>
      <w:rFonts w:ascii="Arial" w:hAnsi="Arial"/>
      <w:sz w:val="20"/>
    </w:rPr>
  </w:style>
  <w:style w:type="paragraph" w:styleId="Heading8">
    <w:name w:val="heading 8"/>
    <w:basedOn w:val="BodyText"/>
    <w:next w:val="BodyText"/>
    <w:link w:val="Heading8Char"/>
    <w:rsid w:val="0024596C"/>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24596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2459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596C"/>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24596C"/>
    <w:pPr>
      <w:spacing w:before="240" w:line="320" w:lineRule="atLeast"/>
      <w:jc w:val="both"/>
    </w:pPr>
    <w:rPr>
      <w:sz w:val="26"/>
    </w:rPr>
  </w:style>
  <w:style w:type="paragraph" w:styleId="Footer">
    <w:name w:val="footer"/>
    <w:basedOn w:val="BodyText"/>
    <w:link w:val="FooterChar"/>
    <w:semiHidden/>
    <w:rsid w:val="0024596C"/>
    <w:pPr>
      <w:spacing w:before="80" w:line="200" w:lineRule="exact"/>
      <w:ind w:right="6"/>
      <w:jc w:val="left"/>
    </w:pPr>
    <w:rPr>
      <w:caps/>
      <w:spacing w:val="-4"/>
      <w:sz w:val="16"/>
    </w:rPr>
  </w:style>
  <w:style w:type="paragraph" w:customStyle="1" w:styleId="FooterEnd">
    <w:name w:val="Footer End"/>
    <w:basedOn w:val="Footer"/>
    <w:rsid w:val="0024596C"/>
    <w:pPr>
      <w:spacing w:before="0" w:line="20" w:lineRule="exact"/>
    </w:pPr>
  </w:style>
  <w:style w:type="paragraph" w:styleId="Header">
    <w:name w:val="header"/>
    <w:basedOn w:val="BodyText"/>
    <w:link w:val="HeaderChar"/>
    <w:rsid w:val="0024596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24596C"/>
    <w:pPr>
      <w:spacing w:line="20" w:lineRule="exact"/>
    </w:pPr>
    <w:rPr>
      <w:sz w:val="16"/>
    </w:rPr>
  </w:style>
  <w:style w:type="paragraph" w:customStyle="1" w:styleId="HeaderEven">
    <w:name w:val="Header Even"/>
    <w:basedOn w:val="Header"/>
    <w:semiHidden/>
    <w:rsid w:val="0024596C"/>
  </w:style>
  <w:style w:type="paragraph" w:customStyle="1" w:styleId="HeaderOdd">
    <w:name w:val="Header Odd"/>
    <w:basedOn w:val="Header"/>
    <w:semiHidden/>
    <w:rsid w:val="0024596C"/>
  </w:style>
  <w:style w:type="character" w:styleId="PageNumber">
    <w:name w:val="page number"/>
    <w:basedOn w:val="DefaultParagraphFont"/>
    <w:rsid w:val="0024596C"/>
    <w:rPr>
      <w:rFonts w:ascii="Arial" w:hAnsi="Arial"/>
      <w:b/>
      <w:sz w:val="16"/>
    </w:rPr>
  </w:style>
  <w:style w:type="paragraph" w:customStyle="1" w:styleId="Abbreviation">
    <w:name w:val="Abbreviation"/>
    <w:basedOn w:val="BodyText"/>
    <w:rsid w:val="0024596C"/>
    <w:pPr>
      <w:spacing w:before="120"/>
      <w:ind w:left="2381" w:hanging="2381"/>
      <w:jc w:val="left"/>
    </w:pPr>
  </w:style>
  <w:style w:type="paragraph" w:customStyle="1" w:styleId="Box">
    <w:name w:val="Box"/>
    <w:basedOn w:val="BodyText"/>
    <w:link w:val="BoxChar"/>
    <w:qFormat/>
    <w:rsid w:val="0024596C"/>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24596C"/>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24596C"/>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24596C"/>
    <w:rPr>
      <w:b w:val="0"/>
      <w:i/>
    </w:rPr>
  </w:style>
  <w:style w:type="paragraph" w:customStyle="1" w:styleId="BoxListBullet">
    <w:name w:val="Box List Bullet"/>
    <w:basedOn w:val="BodyText"/>
    <w:link w:val="BoxListBulletChar"/>
    <w:rsid w:val="0024596C"/>
    <w:pPr>
      <w:keepNext/>
      <w:numPr>
        <w:numId w:val="17"/>
      </w:numPr>
      <w:spacing w:before="60" w:line="280" w:lineRule="atLeast"/>
    </w:pPr>
    <w:rPr>
      <w:rFonts w:ascii="Arial" w:hAnsi="Arial"/>
      <w:sz w:val="22"/>
    </w:rPr>
  </w:style>
  <w:style w:type="paragraph" w:customStyle="1" w:styleId="BoxListBullet2">
    <w:name w:val="Box List Bullet 2"/>
    <w:basedOn w:val="BodyText"/>
    <w:link w:val="BoxListBullet2Char"/>
    <w:rsid w:val="0024596C"/>
    <w:pPr>
      <w:keepNext/>
      <w:numPr>
        <w:numId w:val="15"/>
      </w:numPr>
      <w:spacing w:before="60" w:line="280" w:lineRule="atLeast"/>
    </w:pPr>
    <w:rPr>
      <w:rFonts w:ascii="Arial" w:hAnsi="Arial"/>
      <w:sz w:val="22"/>
    </w:rPr>
  </w:style>
  <w:style w:type="paragraph" w:customStyle="1" w:styleId="BoxListNumber">
    <w:name w:val="Box List Number"/>
    <w:basedOn w:val="BodyText"/>
    <w:link w:val="BoxListNumberChar"/>
    <w:rsid w:val="0024596C"/>
    <w:pPr>
      <w:keepNext/>
      <w:numPr>
        <w:numId w:val="11"/>
      </w:numPr>
      <w:spacing w:before="60" w:line="280" w:lineRule="atLeast"/>
    </w:pPr>
    <w:rPr>
      <w:rFonts w:ascii="Arial" w:hAnsi="Arial"/>
      <w:sz w:val="22"/>
    </w:rPr>
  </w:style>
  <w:style w:type="paragraph" w:customStyle="1" w:styleId="BoxListNumber2">
    <w:name w:val="Box List Number 2"/>
    <w:basedOn w:val="BoxListNumber"/>
    <w:link w:val="BoxListNumber2Char"/>
    <w:rsid w:val="0024596C"/>
    <w:pPr>
      <w:numPr>
        <w:ilvl w:val="1"/>
      </w:numPr>
    </w:pPr>
  </w:style>
  <w:style w:type="paragraph" w:customStyle="1" w:styleId="BoxQuote">
    <w:name w:val="Box Quote"/>
    <w:basedOn w:val="BodyText"/>
    <w:next w:val="Box"/>
    <w:link w:val="BoxQuoteChar"/>
    <w:rsid w:val="0024596C"/>
    <w:pPr>
      <w:keepNext/>
      <w:spacing w:before="60" w:line="260" w:lineRule="exact"/>
      <w:ind w:left="284"/>
    </w:pPr>
    <w:rPr>
      <w:rFonts w:ascii="Arial" w:hAnsi="Arial"/>
      <w:sz w:val="20"/>
    </w:rPr>
  </w:style>
  <w:style w:type="paragraph" w:customStyle="1" w:styleId="Note">
    <w:name w:val="Note"/>
    <w:basedOn w:val="BodyText"/>
    <w:next w:val="BodyText"/>
    <w:link w:val="NoteChar"/>
    <w:rsid w:val="0024596C"/>
    <w:pPr>
      <w:keepLines/>
      <w:spacing w:before="80" w:line="220" w:lineRule="exact"/>
    </w:pPr>
    <w:rPr>
      <w:rFonts w:ascii="Arial" w:hAnsi="Arial"/>
      <w:sz w:val="18"/>
    </w:rPr>
  </w:style>
  <w:style w:type="paragraph" w:customStyle="1" w:styleId="Source">
    <w:name w:val="Source"/>
    <w:basedOn w:val="Note"/>
    <w:next w:val="BodyText"/>
    <w:link w:val="SourceChar"/>
    <w:rsid w:val="0024596C"/>
    <w:pPr>
      <w:spacing w:after="120"/>
    </w:pPr>
  </w:style>
  <w:style w:type="paragraph" w:customStyle="1" w:styleId="BoxSource">
    <w:name w:val="Box Source"/>
    <w:basedOn w:val="Source"/>
    <w:next w:val="BodyText"/>
    <w:rsid w:val="0024596C"/>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link w:val="CaptionChar"/>
    <w:rsid w:val="0024596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24596C"/>
    <w:pPr>
      <w:spacing w:before="120" w:after="0"/>
      <w:ind w:left="1304" w:hanging="1304"/>
    </w:pPr>
    <w:rPr>
      <w:sz w:val="24"/>
    </w:rPr>
  </w:style>
  <w:style w:type="paragraph" w:customStyle="1" w:styleId="BoxSubtitle">
    <w:name w:val="Box Subtitle"/>
    <w:basedOn w:val="BoxTitle"/>
    <w:next w:val="Normal"/>
    <w:rsid w:val="0024596C"/>
    <w:pPr>
      <w:spacing w:after="80" w:line="200" w:lineRule="exact"/>
      <w:ind w:firstLine="0"/>
    </w:pPr>
    <w:rPr>
      <w:b w:val="0"/>
      <w:sz w:val="20"/>
    </w:rPr>
  </w:style>
  <w:style w:type="paragraph" w:customStyle="1" w:styleId="Chapter">
    <w:name w:val="Chapter"/>
    <w:basedOn w:val="Heading1"/>
    <w:next w:val="BodyText"/>
    <w:link w:val="ChapterChar"/>
    <w:semiHidden/>
    <w:rsid w:val="0024596C"/>
    <w:pPr>
      <w:ind w:left="0" w:firstLine="0"/>
      <w:outlineLvl w:val="9"/>
    </w:pPr>
  </w:style>
  <w:style w:type="paragraph" w:customStyle="1" w:styleId="ChapterSummary">
    <w:name w:val="Chapter Summary"/>
    <w:basedOn w:val="BodyText"/>
    <w:rsid w:val="0024596C"/>
    <w:pPr>
      <w:ind w:left="907"/>
    </w:pPr>
    <w:rPr>
      <w:rFonts w:ascii="Arial" w:hAnsi="Arial"/>
      <w:b/>
      <w:sz w:val="22"/>
    </w:rPr>
  </w:style>
  <w:style w:type="character" w:styleId="CommentReference">
    <w:name w:val="annotation reference"/>
    <w:basedOn w:val="DefaultParagraphFont"/>
    <w:semiHidden/>
    <w:rsid w:val="0024596C"/>
    <w:rPr>
      <w:b/>
      <w:vanish/>
      <w:color w:val="FF00FF"/>
      <w:sz w:val="20"/>
    </w:rPr>
  </w:style>
  <w:style w:type="paragraph" w:styleId="CommentText">
    <w:name w:val="annotation text"/>
    <w:basedOn w:val="Normal"/>
    <w:link w:val="CommentTextChar1"/>
    <w:semiHidden/>
    <w:rsid w:val="0024596C"/>
    <w:pPr>
      <w:spacing w:before="120" w:line="240" w:lineRule="atLeast"/>
      <w:ind w:left="567" w:hanging="567"/>
    </w:pPr>
    <w:rPr>
      <w:sz w:val="20"/>
    </w:rPr>
  </w:style>
  <w:style w:type="paragraph" w:customStyle="1" w:styleId="Continued">
    <w:name w:val="Continued"/>
    <w:basedOn w:val="BoxContinued"/>
    <w:next w:val="BodyText"/>
    <w:link w:val="ContinuedChar"/>
    <w:rsid w:val="0024596C"/>
  </w:style>
  <w:style w:type="character" w:customStyle="1" w:styleId="DocumentInfo">
    <w:name w:val="Document Info"/>
    <w:basedOn w:val="DefaultParagraphFont"/>
    <w:semiHidden/>
    <w:rsid w:val="0024596C"/>
    <w:rPr>
      <w:rFonts w:ascii="Arial" w:hAnsi="Arial"/>
      <w:sz w:val="14"/>
    </w:rPr>
  </w:style>
  <w:style w:type="character" w:customStyle="1" w:styleId="DraftingNote">
    <w:name w:val="Drafting Note"/>
    <w:basedOn w:val="DefaultParagraphFont"/>
    <w:rsid w:val="0024596C"/>
    <w:rPr>
      <w:b/>
      <w:color w:val="FF0000"/>
      <w:sz w:val="24"/>
      <w:u w:val="dotted"/>
    </w:rPr>
  </w:style>
  <w:style w:type="paragraph" w:customStyle="1" w:styleId="Figure">
    <w:name w:val="Figure"/>
    <w:basedOn w:val="BodyText"/>
    <w:link w:val="FigureChar"/>
    <w:rsid w:val="0024596C"/>
    <w:pPr>
      <w:keepNext/>
      <w:spacing w:before="120" w:after="120" w:line="240" w:lineRule="atLeast"/>
      <w:jc w:val="center"/>
    </w:pPr>
  </w:style>
  <w:style w:type="paragraph" w:customStyle="1" w:styleId="FigureTitle">
    <w:name w:val="Figure Title"/>
    <w:basedOn w:val="Caption"/>
    <w:next w:val="Subtitle"/>
    <w:link w:val="FigureTitleChar"/>
    <w:rsid w:val="0024596C"/>
    <w:rPr>
      <w:sz w:val="24"/>
    </w:rPr>
  </w:style>
  <w:style w:type="paragraph" w:styleId="Subtitle">
    <w:name w:val="Subtitle"/>
    <w:basedOn w:val="Caption"/>
    <w:link w:val="SubtitleChar"/>
    <w:rsid w:val="0024596C"/>
    <w:pPr>
      <w:spacing w:before="0" w:line="200" w:lineRule="exact"/>
      <w:ind w:firstLine="0"/>
    </w:pPr>
    <w:rPr>
      <w:b w:val="0"/>
      <w:sz w:val="20"/>
    </w:rPr>
  </w:style>
  <w:style w:type="paragraph" w:customStyle="1" w:styleId="Finding">
    <w:name w:val="Finding"/>
    <w:basedOn w:val="BodyText"/>
    <w:rsid w:val="0024596C"/>
    <w:pPr>
      <w:keepLines/>
      <w:spacing w:before="180"/>
    </w:pPr>
    <w:rPr>
      <w:i/>
    </w:rPr>
  </w:style>
  <w:style w:type="paragraph" w:customStyle="1" w:styleId="FindingBullet">
    <w:name w:val="Finding Bullet"/>
    <w:basedOn w:val="Finding"/>
    <w:rsid w:val="0024596C"/>
    <w:pPr>
      <w:numPr>
        <w:numId w:val="1"/>
      </w:numPr>
      <w:spacing w:before="80"/>
    </w:pPr>
  </w:style>
  <w:style w:type="paragraph" w:customStyle="1" w:styleId="FindingNoTitle">
    <w:name w:val="Finding NoTitle"/>
    <w:basedOn w:val="Finding"/>
    <w:rsid w:val="0024596C"/>
    <w:pPr>
      <w:spacing w:before="240"/>
    </w:pPr>
  </w:style>
  <w:style w:type="paragraph" w:customStyle="1" w:styleId="RecTitle">
    <w:name w:val="Rec Title"/>
    <w:basedOn w:val="BodyText"/>
    <w:next w:val="Normal"/>
    <w:rsid w:val="0024596C"/>
    <w:pPr>
      <w:keepNext/>
      <w:keepLines/>
    </w:pPr>
    <w:rPr>
      <w:caps/>
      <w:sz w:val="20"/>
    </w:rPr>
  </w:style>
  <w:style w:type="paragraph" w:customStyle="1" w:styleId="FindingTitle">
    <w:name w:val="Finding Title"/>
    <w:basedOn w:val="RecTitle"/>
    <w:next w:val="Finding"/>
    <w:rsid w:val="0024596C"/>
    <w:pPr>
      <w:framePr w:wrap="notBeside" w:hAnchor="text"/>
    </w:pPr>
  </w:style>
  <w:style w:type="character" w:styleId="FootnoteReference">
    <w:name w:val="footnote reference"/>
    <w:basedOn w:val="DefaultParagraphFont"/>
    <w:rsid w:val="0024596C"/>
    <w:rPr>
      <w:rFonts w:ascii="Times New Roman" w:hAnsi="Times New Roman"/>
      <w:position w:val="6"/>
      <w:sz w:val="22"/>
      <w:vertAlign w:val="baseline"/>
    </w:rPr>
  </w:style>
  <w:style w:type="paragraph" w:styleId="FootnoteText">
    <w:name w:val="footnote text"/>
    <w:basedOn w:val="BodyText"/>
    <w:link w:val="FootnoteTextChar"/>
    <w:rsid w:val="0024596C"/>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24596C"/>
    <w:pPr>
      <w:spacing w:before="360" w:after="120"/>
    </w:pPr>
    <w:rPr>
      <w:rFonts w:ascii="Arial" w:hAnsi="Arial"/>
      <w:sz w:val="24"/>
    </w:rPr>
  </w:style>
  <w:style w:type="paragraph" w:customStyle="1" w:styleId="Jurisdictioncommentsbodytext">
    <w:name w:val="Jurisdiction comments body text"/>
    <w:link w:val="JurisdictioncommentsbodytextChar"/>
    <w:rsid w:val="0024596C"/>
    <w:pPr>
      <w:spacing w:after="140"/>
      <w:jc w:val="both"/>
    </w:pPr>
    <w:rPr>
      <w:rFonts w:ascii="Arial" w:hAnsi="Arial"/>
      <w:sz w:val="24"/>
      <w:lang w:eastAsia="en-US"/>
    </w:rPr>
  </w:style>
  <w:style w:type="paragraph" w:customStyle="1" w:styleId="Jurisdictioncommentsheading">
    <w:name w:val="Jurisdiction comments heading"/>
    <w:rsid w:val="0024596C"/>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24596C"/>
    <w:pPr>
      <w:numPr>
        <w:numId w:val="2"/>
      </w:numPr>
      <w:spacing w:after="140"/>
      <w:jc w:val="both"/>
    </w:pPr>
    <w:rPr>
      <w:rFonts w:ascii="Arial" w:hAnsi="Arial"/>
      <w:sz w:val="24"/>
      <w:lang w:eastAsia="en-US"/>
    </w:rPr>
  </w:style>
  <w:style w:type="paragraph" w:styleId="ListBullet">
    <w:name w:val="List Bullet"/>
    <w:aliases w:val="List Bullet1"/>
    <w:basedOn w:val="BodyText"/>
    <w:link w:val="ListBulletChar"/>
    <w:rsid w:val="0024596C"/>
    <w:pPr>
      <w:numPr>
        <w:numId w:val="3"/>
      </w:numPr>
      <w:spacing w:before="120"/>
    </w:pPr>
  </w:style>
  <w:style w:type="paragraph" w:styleId="ListBullet2">
    <w:name w:val="List Bullet 2"/>
    <w:basedOn w:val="BodyText"/>
    <w:link w:val="ListBullet2Char"/>
    <w:rsid w:val="0024596C"/>
    <w:pPr>
      <w:numPr>
        <w:numId w:val="4"/>
      </w:numPr>
      <w:spacing w:before="120"/>
    </w:pPr>
  </w:style>
  <w:style w:type="paragraph" w:styleId="ListBullet3">
    <w:name w:val="List Bullet 3"/>
    <w:basedOn w:val="BodyText"/>
    <w:link w:val="ListBullet3Char"/>
    <w:rsid w:val="0024596C"/>
    <w:pPr>
      <w:numPr>
        <w:numId w:val="5"/>
      </w:numPr>
      <w:spacing w:before="120"/>
    </w:pPr>
  </w:style>
  <w:style w:type="paragraph" w:styleId="ListNumber">
    <w:name w:val="List Number"/>
    <w:basedOn w:val="BodyText"/>
    <w:rsid w:val="0024596C"/>
    <w:pPr>
      <w:numPr>
        <w:numId w:val="10"/>
      </w:numPr>
      <w:spacing w:before="120"/>
    </w:pPr>
  </w:style>
  <w:style w:type="paragraph" w:styleId="ListNumber2">
    <w:name w:val="List Number 2"/>
    <w:basedOn w:val="ListNumber"/>
    <w:rsid w:val="0024596C"/>
    <w:pPr>
      <w:numPr>
        <w:ilvl w:val="1"/>
      </w:numPr>
    </w:pPr>
  </w:style>
  <w:style w:type="paragraph" w:styleId="ListNumber3">
    <w:name w:val="List Number 3"/>
    <w:basedOn w:val="ListNumber2"/>
    <w:rsid w:val="0024596C"/>
    <w:pPr>
      <w:numPr>
        <w:ilvl w:val="2"/>
      </w:numPr>
    </w:pPr>
  </w:style>
  <w:style w:type="character" w:customStyle="1" w:styleId="NoteLabel">
    <w:name w:val="Note Label"/>
    <w:basedOn w:val="DefaultParagraphFont"/>
    <w:rsid w:val="0024596C"/>
    <w:rPr>
      <w:rFonts w:ascii="Arial" w:hAnsi="Arial"/>
      <w:b/>
      <w:position w:val="6"/>
      <w:sz w:val="18"/>
    </w:rPr>
  </w:style>
  <w:style w:type="paragraph" w:customStyle="1" w:styleId="PartDivider">
    <w:name w:val="Part Divider"/>
    <w:basedOn w:val="BodyText"/>
    <w:next w:val="BodyText"/>
    <w:semiHidden/>
    <w:rsid w:val="0024596C"/>
    <w:pPr>
      <w:spacing w:before="0" w:line="40" w:lineRule="exact"/>
      <w:jc w:val="right"/>
    </w:pPr>
    <w:rPr>
      <w:smallCaps/>
      <w:sz w:val="16"/>
    </w:rPr>
  </w:style>
  <w:style w:type="paragraph" w:customStyle="1" w:styleId="PartNumber">
    <w:name w:val="Part Number"/>
    <w:basedOn w:val="BodyText"/>
    <w:next w:val="BodyText"/>
    <w:semiHidden/>
    <w:rsid w:val="0024596C"/>
    <w:pPr>
      <w:spacing w:before="4000" w:line="320" w:lineRule="exact"/>
      <w:ind w:left="6634"/>
      <w:jc w:val="right"/>
    </w:pPr>
    <w:rPr>
      <w:smallCaps/>
      <w:spacing w:val="60"/>
      <w:sz w:val="32"/>
    </w:rPr>
  </w:style>
  <w:style w:type="paragraph" w:customStyle="1" w:styleId="PartTitle">
    <w:name w:val="Part Title"/>
    <w:basedOn w:val="BodyText"/>
    <w:semiHidden/>
    <w:rsid w:val="0024596C"/>
    <w:pPr>
      <w:spacing w:before="160" w:after="1360" w:line="520" w:lineRule="exact"/>
      <w:ind w:right="2381"/>
      <w:jc w:val="right"/>
    </w:pPr>
    <w:rPr>
      <w:smallCaps/>
      <w:sz w:val="52"/>
    </w:rPr>
  </w:style>
  <w:style w:type="paragraph" w:styleId="Quote">
    <w:name w:val="Quote"/>
    <w:basedOn w:val="BodyText"/>
    <w:next w:val="BodyText"/>
    <w:link w:val="QuoteChar"/>
    <w:qFormat/>
    <w:rsid w:val="0024596C"/>
    <w:pPr>
      <w:spacing w:before="120" w:line="280" w:lineRule="exact"/>
      <w:ind w:left="340"/>
    </w:pPr>
    <w:rPr>
      <w:sz w:val="24"/>
    </w:rPr>
  </w:style>
  <w:style w:type="paragraph" w:customStyle="1" w:styleId="QuoteBullet">
    <w:name w:val="Quote Bullet"/>
    <w:basedOn w:val="Quote"/>
    <w:rsid w:val="0024596C"/>
    <w:pPr>
      <w:numPr>
        <w:numId w:val="6"/>
      </w:numPr>
    </w:pPr>
  </w:style>
  <w:style w:type="paragraph" w:customStyle="1" w:styleId="Rec">
    <w:name w:val="Rec"/>
    <w:basedOn w:val="BodyText"/>
    <w:rsid w:val="0024596C"/>
    <w:pPr>
      <w:keepLines/>
      <w:spacing w:before="180"/>
    </w:pPr>
    <w:rPr>
      <w:b/>
      <w:i/>
    </w:rPr>
  </w:style>
  <w:style w:type="paragraph" w:customStyle="1" w:styleId="RecBullet">
    <w:name w:val="Rec Bullet"/>
    <w:basedOn w:val="Rec"/>
    <w:rsid w:val="0024596C"/>
    <w:pPr>
      <w:numPr>
        <w:numId w:val="7"/>
      </w:numPr>
      <w:spacing w:before="80"/>
    </w:pPr>
  </w:style>
  <w:style w:type="paragraph" w:customStyle="1" w:styleId="RecB">
    <w:name w:val="RecB"/>
    <w:basedOn w:val="Normal"/>
    <w:rsid w:val="0024596C"/>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24596C"/>
    <w:pPr>
      <w:numPr>
        <w:numId w:val="12"/>
      </w:numPr>
      <w:spacing w:before="80"/>
    </w:pPr>
  </w:style>
  <w:style w:type="paragraph" w:customStyle="1" w:styleId="RecBNoTitle">
    <w:name w:val="RecB NoTitle"/>
    <w:basedOn w:val="RecB"/>
    <w:rsid w:val="0024596C"/>
    <w:pPr>
      <w:spacing w:before="240"/>
    </w:pPr>
  </w:style>
  <w:style w:type="paragraph" w:customStyle="1" w:styleId="Reference">
    <w:name w:val="Reference"/>
    <w:basedOn w:val="BodyText"/>
    <w:link w:val="ReferenceChar"/>
    <w:rsid w:val="0024596C"/>
    <w:pPr>
      <w:spacing w:before="120"/>
      <w:ind w:left="340" w:hanging="340"/>
    </w:pPr>
  </w:style>
  <w:style w:type="paragraph" w:customStyle="1" w:styleId="SequenceInfo">
    <w:name w:val="Sequence Info"/>
    <w:basedOn w:val="BodyText"/>
    <w:semiHidden/>
    <w:rsid w:val="0024596C"/>
    <w:rPr>
      <w:vanish/>
      <w:sz w:val="16"/>
    </w:rPr>
  </w:style>
  <w:style w:type="paragraph" w:customStyle="1" w:styleId="SideNote">
    <w:name w:val="Side Note"/>
    <w:basedOn w:val="BodyText"/>
    <w:next w:val="BodyText"/>
    <w:semiHidden/>
    <w:rsid w:val="0024596C"/>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24596C"/>
    <w:pPr>
      <w:framePr w:wrap="around"/>
      <w:numPr>
        <w:numId w:val="8"/>
      </w:numPr>
      <w:tabs>
        <w:tab w:val="left" w:pos="227"/>
      </w:tabs>
    </w:pPr>
  </w:style>
  <w:style w:type="paragraph" w:customStyle="1" w:styleId="SideNoteGraphic">
    <w:name w:val="Side Note Graphic"/>
    <w:basedOn w:val="SideNote"/>
    <w:next w:val="BodyText"/>
    <w:semiHidden/>
    <w:rsid w:val="0024596C"/>
    <w:pPr>
      <w:framePr w:wrap="around"/>
    </w:pPr>
  </w:style>
  <w:style w:type="paragraph" w:customStyle="1" w:styleId="TableBodyText">
    <w:name w:val="Table Body Text"/>
    <w:basedOn w:val="BodyText"/>
    <w:link w:val="TableBodyTextChar"/>
    <w:rsid w:val="0024596C"/>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24596C"/>
    <w:pPr>
      <w:numPr>
        <w:numId w:val="9"/>
      </w:numPr>
      <w:jc w:val="left"/>
    </w:pPr>
  </w:style>
  <w:style w:type="paragraph" w:customStyle="1" w:styleId="TableColumnHeading">
    <w:name w:val="Table Column Heading"/>
    <w:basedOn w:val="TableBodyText"/>
    <w:link w:val="TableColumnHeadingChar"/>
    <w:rsid w:val="0024596C"/>
    <w:pPr>
      <w:spacing w:before="80" w:after="80"/>
    </w:pPr>
    <w:rPr>
      <w:i/>
    </w:rPr>
  </w:style>
  <w:style w:type="paragraph" w:styleId="TOC2">
    <w:name w:val="toc 2"/>
    <w:basedOn w:val="BodyText"/>
    <w:rsid w:val="0024596C"/>
    <w:pPr>
      <w:tabs>
        <w:tab w:val="right" w:pos="8789"/>
      </w:tabs>
      <w:ind w:left="510" w:right="851" w:hanging="510"/>
      <w:jc w:val="left"/>
    </w:pPr>
    <w:rPr>
      <w:b/>
    </w:rPr>
  </w:style>
  <w:style w:type="paragraph" w:styleId="TOC3">
    <w:name w:val="toc 3"/>
    <w:basedOn w:val="TOC2"/>
    <w:rsid w:val="0024596C"/>
    <w:pPr>
      <w:spacing w:before="60"/>
      <w:ind w:left="1190" w:hanging="680"/>
    </w:pPr>
    <w:rPr>
      <w:b w:val="0"/>
    </w:rPr>
  </w:style>
  <w:style w:type="paragraph" w:styleId="TableofFigures">
    <w:name w:val="table of figures"/>
    <w:basedOn w:val="TOC3"/>
    <w:next w:val="BodyText"/>
    <w:semiHidden/>
    <w:rsid w:val="0024596C"/>
    <w:pPr>
      <w:ind w:left="737" w:hanging="737"/>
    </w:pPr>
  </w:style>
  <w:style w:type="paragraph" w:customStyle="1" w:styleId="TableTitle">
    <w:name w:val="Table Title"/>
    <w:basedOn w:val="Caption"/>
    <w:next w:val="Subtitle"/>
    <w:link w:val="TableTitleChar"/>
    <w:rsid w:val="0024596C"/>
    <w:rPr>
      <w:sz w:val="24"/>
    </w:rPr>
  </w:style>
  <w:style w:type="paragraph" w:customStyle="1" w:styleId="TableUnitsRow">
    <w:name w:val="Table Units Row"/>
    <w:basedOn w:val="TableBodyText"/>
    <w:rsid w:val="0024596C"/>
    <w:pPr>
      <w:spacing w:before="80" w:after="80"/>
    </w:pPr>
  </w:style>
  <w:style w:type="paragraph" w:styleId="TOC1">
    <w:name w:val="toc 1"/>
    <w:basedOn w:val="Normal"/>
    <w:next w:val="TOC2"/>
    <w:rsid w:val="0024596C"/>
    <w:pPr>
      <w:tabs>
        <w:tab w:val="right" w:pos="8789"/>
      </w:tabs>
      <w:spacing w:before="480" w:after="60" w:line="320" w:lineRule="exact"/>
      <w:ind w:left="1191" w:right="851" w:hanging="1191"/>
    </w:pPr>
    <w:rPr>
      <w:b/>
      <w:caps/>
    </w:rPr>
  </w:style>
  <w:style w:type="paragraph" w:styleId="TOC4">
    <w:name w:val="toc 4"/>
    <w:basedOn w:val="TOC3"/>
    <w:rsid w:val="0024596C"/>
    <w:pPr>
      <w:ind w:left="1191" w:firstLine="0"/>
    </w:pPr>
  </w:style>
  <w:style w:type="paragraph" w:customStyle="1" w:styleId="RecBBullet2">
    <w:name w:val="RecB Bullet 2"/>
    <w:basedOn w:val="ListBullet2"/>
    <w:semiHidden/>
    <w:rsid w:val="0024596C"/>
    <w:pPr>
      <w:pBdr>
        <w:left w:val="single" w:sz="24" w:space="29" w:color="C0C0C0"/>
      </w:pBdr>
    </w:pPr>
    <w:rPr>
      <w:b/>
      <w:i/>
    </w:rPr>
  </w:style>
  <w:style w:type="paragraph" w:styleId="BalloonText">
    <w:name w:val="Balloon Text"/>
    <w:basedOn w:val="Normal"/>
    <w:link w:val="BalloonTextChar"/>
    <w:rsid w:val="0024596C"/>
    <w:rPr>
      <w:rFonts w:ascii="Tahoma" w:hAnsi="Tahoma" w:cs="Tahoma"/>
      <w:sz w:val="16"/>
      <w:szCs w:val="16"/>
    </w:rPr>
  </w:style>
  <w:style w:type="character" w:customStyle="1" w:styleId="BalloonTextChar">
    <w:name w:val="Balloon Text Char"/>
    <w:basedOn w:val="DefaultParagraphFont"/>
    <w:link w:val="BalloonText"/>
    <w:rsid w:val="0024596C"/>
    <w:rPr>
      <w:rFonts w:ascii="Tahoma" w:hAnsi="Tahoma" w:cs="Tahoma"/>
      <w:sz w:val="16"/>
      <w:szCs w:val="16"/>
    </w:rPr>
  </w:style>
  <w:style w:type="character" w:customStyle="1" w:styleId="SubtitleChar">
    <w:name w:val="Subtitle Char"/>
    <w:basedOn w:val="DefaultParagraphFont"/>
    <w:link w:val="Subtitle"/>
    <w:rsid w:val="0024596C"/>
    <w:rPr>
      <w:rFonts w:ascii="Arial" w:hAnsi="Arial"/>
      <w:szCs w:val="24"/>
    </w:rPr>
  </w:style>
  <w:style w:type="paragraph" w:customStyle="1" w:styleId="BoxListBullet3">
    <w:name w:val="Box List Bullet 3"/>
    <w:basedOn w:val="ListBullet3"/>
    <w:rsid w:val="0024596C"/>
    <w:pPr>
      <w:numPr>
        <w:numId w:val="16"/>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24596C"/>
    <w:rPr>
      <w:i/>
      <w:iCs/>
    </w:rPr>
  </w:style>
  <w:style w:type="paragraph" w:customStyle="1" w:styleId="BoxQuoteBullet">
    <w:name w:val="Box Quote Bullet"/>
    <w:basedOn w:val="BoxQuote"/>
    <w:next w:val="Box"/>
    <w:rsid w:val="0024596C"/>
    <w:pPr>
      <w:numPr>
        <w:numId w:val="13"/>
      </w:numPr>
      <w:ind w:left="568" w:hanging="284"/>
    </w:pPr>
  </w:style>
  <w:style w:type="paragraph" w:customStyle="1" w:styleId="InformationRequestBullet">
    <w:name w:val="Information Request Bullet"/>
    <w:basedOn w:val="ListBullet"/>
    <w:next w:val="BodyText"/>
    <w:rsid w:val="0024596C"/>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aliases w:val="List Bullet1 Char"/>
    <w:basedOn w:val="DefaultParagraphFont"/>
    <w:link w:val="ListBullet"/>
    <w:rsid w:val="00B86CB4"/>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D12AA7"/>
    <w:rPr>
      <w:sz w:val="26"/>
    </w:rPr>
  </w:style>
  <w:style w:type="character" w:customStyle="1" w:styleId="Heading4Char">
    <w:name w:val="Heading 4 Char"/>
    <w:aliases w:val="sd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Heading 31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rPr>
  </w:style>
  <w:style w:type="character" w:customStyle="1" w:styleId="Heading2Char">
    <w:name w:val="Heading 2 Char"/>
    <w:basedOn w:val="DefaultParagraphFont"/>
    <w:link w:val="Heading2"/>
    <w:rsid w:val="001C601E"/>
    <w:rPr>
      <w:rFonts w:ascii="Arial" w:hAnsi="Arial"/>
      <w:b/>
      <w:sz w:val="32"/>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7A2D09"/>
    <w:rPr>
      <w:sz w:val="26"/>
    </w:rPr>
  </w:style>
  <w:style w:type="paragraph" w:customStyle="1" w:styleId="Rd">
    <w:name w:val="Rd"/>
    <w:basedOn w:val="ListBullet2"/>
    <w:rsid w:val="00947D41"/>
    <w:p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 w:type="character" w:customStyle="1" w:styleId="BoxTitleChar">
    <w:name w:val="Box Title Char"/>
    <w:link w:val="BoxTitle"/>
    <w:rsid w:val="0037121A"/>
    <w:rPr>
      <w:rFonts w:ascii="Arial" w:hAnsi="Arial"/>
      <w:b/>
      <w:sz w:val="24"/>
      <w:szCs w:val="24"/>
    </w:rPr>
  </w:style>
  <w:style w:type="character" w:customStyle="1" w:styleId="ListBullet2Char">
    <w:name w:val="List Bullet 2 Char"/>
    <w:basedOn w:val="DefaultParagraphFont"/>
    <w:link w:val="ListBullet2"/>
    <w:rsid w:val="00270B27"/>
    <w:rPr>
      <w:sz w:val="26"/>
    </w:rPr>
  </w:style>
  <w:style w:type="character" w:customStyle="1" w:styleId="BoxListBulletChar">
    <w:name w:val="Box List Bullet Char"/>
    <w:basedOn w:val="BoxChar"/>
    <w:link w:val="BoxListBullet"/>
    <w:rsid w:val="00270B27"/>
    <w:rPr>
      <w:rFonts w:ascii="Arial" w:hAnsi="Arial"/>
      <w:sz w:val="22"/>
    </w:rPr>
  </w:style>
  <w:style w:type="paragraph" w:customStyle="1" w:styleId="D">
    <w:name w:val="D"/>
    <w:basedOn w:val="BodyText"/>
    <w:rsid w:val="00270B27"/>
  </w:style>
  <w:style w:type="character" w:customStyle="1" w:styleId="BoxListBullet2Char">
    <w:name w:val="Box List Bullet 2 Char"/>
    <w:basedOn w:val="DefaultParagraphFont"/>
    <w:link w:val="BoxListBullet2"/>
    <w:rsid w:val="00270B27"/>
    <w:rPr>
      <w:rFonts w:ascii="Arial" w:hAnsi="Arial"/>
      <w:sz w:val="22"/>
    </w:rPr>
  </w:style>
  <w:style w:type="character" w:customStyle="1" w:styleId="BoxHeading1Char">
    <w:name w:val="Box Heading 1 Char"/>
    <w:basedOn w:val="DefaultParagraphFont"/>
    <w:link w:val="BoxHeading1"/>
    <w:rsid w:val="00A52210"/>
    <w:rPr>
      <w:rFonts w:ascii="Arial" w:hAnsi="Arial"/>
      <w:b/>
      <w:sz w:val="22"/>
    </w:rPr>
  </w:style>
  <w:style w:type="character" w:customStyle="1" w:styleId="ChapterChar">
    <w:name w:val="Chapter Char"/>
    <w:basedOn w:val="Heading1Char"/>
    <w:link w:val="Chapter"/>
    <w:semiHidden/>
    <w:rsid w:val="007313D0"/>
    <w:rPr>
      <w:sz w:val="52"/>
    </w:rPr>
  </w:style>
  <w:style w:type="character" w:customStyle="1" w:styleId="CaptionChar">
    <w:name w:val="Caption Char"/>
    <w:link w:val="Caption"/>
    <w:rsid w:val="007313D0"/>
    <w:rPr>
      <w:rFonts w:ascii="Arial" w:hAnsi="Arial"/>
      <w:b/>
      <w:sz w:val="26"/>
      <w:szCs w:val="24"/>
    </w:rPr>
  </w:style>
  <w:style w:type="character" w:customStyle="1" w:styleId="TableTitleChar">
    <w:name w:val="Table Title Char"/>
    <w:basedOn w:val="CaptionChar"/>
    <w:link w:val="TableTitle"/>
    <w:rsid w:val="007313D0"/>
    <w:rPr>
      <w:rFonts w:ascii="Arial" w:hAnsi="Arial"/>
      <w:b/>
      <w:sz w:val="24"/>
      <w:szCs w:val="24"/>
    </w:rPr>
  </w:style>
  <w:style w:type="paragraph" w:customStyle="1" w:styleId="StyleBefore2ptAfter2ptLinespacingsingle">
    <w:name w:val="Style Before:  2 pt After:  2 pt Line spacing:  single"/>
    <w:basedOn w:val="Normal"/>
    <w:rsid w:val="007313D0"/>
    <w:pPr>
      <w:spacing w:before="40" w:after="40"/>
    </w:pPr>
    <w:rPr>
      <w:rFonts w:ascii="Garamond" w:hAnsi="Garamond"/>
      <w:sz w:val="24"/>
      <w:szCs w:val="20"/>
      <w:lang w:eastAsia="en-US"/>
    </w:rPr>
  </w:style>
  <w:style w:type="numbering" w:customStyle="1" w:styleId="StyleStyleBulletedOutlinenumberedLatinCourierNewComp1">
    <w:name w:val="Style Style Bulleted + Outline numbered (Latin) Courier New (Comp...1"/>
    <w:basedOn w:val="NoList"/>
    <w:rsid w:val="007313D0"/>
    <w:pPr>
      <w:numPr>
        <w:numId w:val="18"/>
      </w:numPr>
    </w:pPr>
  </w:style>
  <w:style w:type="paragraph" w:customStyle="1" w:styleId="09Versotitlepagetext">
    <w:name w:val="09 Verso titlepage text"/>
    <w:basedOn w:val="Normal"/>
    <w:rsid w:val="007313D0"/>
    <w:pPr>
      <w:keepLines/>
      <w:spacing w:before="40" w:after="40" w:line="240" w:lineRule="atLeast"/>
    </w:pPr>
    <w:rPr>
      <w:rFonts w:ascii="Arial" w:hAnsi="Arial"/>
      <w:color w:val="000000"/>
      <w:sz w:val="20"/>
      <w:szCs w:val="20"/>
      <w:lang w:eastAsia="en-US"/>
    </w:rPr>
  </w:style>
  <w:style w:type="paragraph" w:customStyle="1" w:styleId="b">
    <w:name w:val="b"/>
    <w:basedOn w:val="BodyText"/>
    <w:link w:val="bChar"/>
    <w:rsid w:val="007313D0"/>
  </w:style>
  <w:style w:type="character" w:customStyle="1" w:styleId="bChar">
    <w:name w:val="b Char"/>
    <w:link w:val="b"/>
    <w:rsid w:val="007313D0"/>
    <w:rPr>
      <w:sz w:val="26"/>
    </w:rPr>
  </w:style>
  <w:style w:type="character" w:customStyle="1" w:styleId="fm-citation-ids-label1">
    <w:name w:val="fm-citation-ids-label1"/>
    <w:rsid w:val="007313D0"/>
    <w:rPr>
      <w:color w:val="333333"/>
    </w:rPr>
  </w:style>
  <w:style w:type="character" w:customStyle="1" w:styleId="citation-abbreviation2">
    <w:name w:val="citation-abbreviation2"/>
    <w:basedOn w:val="DefaultParagraphFont"/>
    <w:rsid w:val="007313D0"/>
  </w:style>
  <w:style w:type="character" w:customStyle="1" w:styleId="citation-publication-date">
    <w:name w:val="citation-publication-date"/>
    <w:basedOn w:val="DefaultParagraphFont"/>
    <w:rsid w:val="007313D0"/>
  </w:style>
  <w:style w:type="character" w:customStyle="1" w:styleId="citation-volume">
    <w:name w:val="citation-volume"/>
    <w:basedOn w:val="DefaultParagraphFont"/>
    <w:rsid w:val="007313D0"/>
  </w:style>
  <w:style w:type="character" w:customStyle="1" w:styleId="citation-issue">
    <w:name w:val="citation-issue"/>
    <w:basedOn w:val="DefaultParagraphFont"/>
    <w:rsid w:val="007313D0"/>
  </w:style>
  <w:style w:type="character" w:customStyle="1" w:styleId="citation-flpages">
    <w:name w:val="citation-flpages"/>
    <w:basedOn w:val="DefaultParagraphFont"/>
    <w:rsid w:val="007313D0"/>
  </w:style>
  <w:style w:type="paragraph" w:customStyle="1" w:styleId="Dr">
    <w:name w:val="Dr"/>
    <w:basedOn w:val="BodyText"/>
    <w:rsid w:val="007313D0"/>
    <w:pPr>
      <w:pBdr>
        <w:right w:val="single" w:sz="4" w:space="4" w:color="auto"/>
      </w:pBdr>
    </w:pPr>
  </w:style>
  <w:style w:type="paragraph" w:customStyle="1" w:styleId="Pa20">
    <w:name w:val="Pa20"/>
    <w:basedOn w:val="Default"/>
    <w:next w:val="Default"/>
    <w:rsid w:val="007313D0"/>
    <w:pPr>
      <w:spacing w:line="211" w:lineRule="atLeast"/>
    </w:pPr>
    <w:rPr>
      <w:rFonts w:ascii="GillSans" w:hAnsi="GillSans" w:cs="Times New Roman"/>
      <w:color w:val="auto"/>
    </w:rPr>
  </w:style>
  <w:style w:type="character" w:customStyle="1" w:styleId="A16">
    <w:name w:val="A16"/>
    <w:rsid w:val="007313D0"/>
    <w:rPr>
      <w:rFonts w:cs="GillSans"/>
      <w:color w:val="000000"/>
      <w:sz w:val="17"/>
      <w:szCs w:val="17"/>
    </w:rPr>
  </w:style>
  <w:style w:type="character" w:customStyle="1" w:styleId="ListBullet3Char">
    <w:name w:val="List Bullet 3 Char"/>
    <w:link w:val="ListBullet3"/>
    <w:rsid w:val="007313D0"/>
    <w:rPr>
      <w:sz w:val="26"/>
    </w:rPr>
  </w:style>
  <w:style w:type="character" w:customStyle="1" w:styleId="BoxHeading2Char">
    <w:name w:val="Box Heading 2 Char"/>
    <w:link w:val="BoxHeading2"/>
    <w:rsid w:val="007313D0"/>
    <w:rPr>
      <w:rFonts w:ascii="Arial" w:hAnsi="Arial"/>
      <w:i/>
      <w:sz w:val="22"/>
    </w:rPr>
  </w:style>
  <w:style w:type="character" w:styleId="Strong">
    <w:name w:val="Strong"/>
    <w:qFormat/>
    <w:rsid w:val="007313D0"/>
    <w:rPr>
      <w:b/>
      <w:bCs/>
    </w:rPr>
  </w:style>
  <w:style w:type="paragraph" w:customStyle="1" w:styleId="Responselevel1">
    <w:name w:val="Response (level 1)"/>
    <w:basedOn w:val="Normal"/>
    <w:semiHidden/>
    <w:rsid w:val="007313D0"/>
    <w:pPr>
      <w:keepLines/>
      <w:spacing w:before="240" w:after="60" w:line="300" w:lineRule="atLeast"/>
      <w:ind w:left="1287" w:hanging="360"/>
    </w:pPr>
    <w:rPr>
      <w:rFonts w:ascii="Gill Sans MT" w:hAnsi="Gill Sans MT"/>
      <w:sz w:val="32"/>
      <w:szCs w:val="32"/>
      <w:lang w:eastAsia="en-US"/>
    </w:rPr>
  </w:style>
  <w:style w:type="paragraph" w:customStyle="1" w:styleId="Actionitem">
    <w:name w:val="Action item"/>
    <w:basedOn w:val="BodyText"/>
    <w:link w:val="ActionitemChar"/>
    <w:rsid w:val="007313D0"/>
    <w:pPr>
      <w:spacing w:before="40" w:after="40" w:line="240" w:lineRule="auto"/>
      <w:ind w:left="340"/>
    </w:pPr>
    <w:rPr>
      <w:rFonts w:ascii="Arial" w:hAnsi="Arial"/>
      <w:b/>
    </w:rPr>
  </w:style>
  <w:style w:type="character" w:customStyle="1" w:styleId="ActionitemChar">
    <w:name w:val="Action item Char"/>
    <w:link w:val="Actionitem"/>
    <w:rsid w:val="007313D0"/>
    <w:rPr>
      <w:rFonts w:ascii="Arial" w:hAnsi="Arial"/>
      <w:b/>
      <w:sz w:val="26"/>
    </w:rPr>
  </w:style>
  <w:style w:type="paragraph" w:customStyle="1" w:styleId="Boxdotpoint">
    <w:name w:val="Box dot point"/>
    <w:basedOn w:val="Normal"/>
    <w:rsid w:val="007313D0"/>
    <w:pPr>
      <w:pBdr>
        <w:top w:val="single" w:sz="12" w:space="1" w:color="auto"/>
        <w:left w:val="single" w:sz="12" w:space="4" w:color="auto"/>
        <w:bottom w:val="single" w:sz="12" w:space="1" w:color="auto"/>
        <w:right w:val="single" w:sz="12" w:space="4" w:color="auto"/>
      </w:pBdr>
      <w:tabs>
        <w:tab w:val="num" w:pos="567"/>
      </w:tabs>
      <w:autoSpaceDE w:val="0"/>
      <w:autoSpaceDN w:val="0"/>
      <w:adjustRightInd w:val="0"/>
      <w:spacing w:before="40" w:after="60"/>
    </w:pPr>
    <w:rPr>
      <w:rFonts w:ascii="ArialMT" w:hAnsi="ArialMT" w:cs="ArialMT"/>
      <w:color w:val="000000"/>
      <w:sz w:val="22"/>
      <w:szCs w:val="22"/>
      <w:lang w:val="en-US" w:eastAsia="en-US"/>
    </w:rPr>
  </w:style>
  <w:style w:type="paragraph" w:customStyle="1" w:styleId="Text">
    <w:name w:val="Text"/>
    <w:basedOn w:val="Normal"/>
    <w:link w:val="TextChar"/>
    <w:rsid w:val="007313D0"/>
    <w:pPr>
      <w:autoSpaceDE w:val="0"/>
      <w:autoSpaceDN w:val="0"/>
      <w:adjustRightInd w:val="0"/>
      <w:spacing w:before="100" w:after="140"/>
    </w:pPr>
    <w:rPr>
      <w:szCs w:val="26"/>
      <w:lang w:val="en-US" w:eastAsia="en-US"/>
    </w:rPr>
  </w:style>
  <w:style w:type="character" w:customStyle="1" w:styleId="TextChar">
    <w:name w:val="Text Char"/>
    <w:link w:val="Text"/>
    <w:rsid w:val="007313D0"/>
    <w:rPr>
      <w:sz w:val="26"/>
      <w:szCs w:val="26"/>
      <w:lang w:val="en-US" w:eastAsia="en-US"/>
    </w:rPr>
  </w:style>
  <w:style w:type="character" w:customStyle="1" w:styleId="kapeness">
    <w:name w:val="kapeness"/>
    <w:semiHidden/>
    <w:rsid w:val="007313D0"/>
    <w:rPr>
      <w:rFonts w:ascii="Arial" w:hAnsi="Arial" w:cs="Arial"/>
      <w:color w:val="auto"/>
      <w:sz w:val="20"/>
      <w:szCs w:val="20"/>
    </w:rPr>
  </w:style>
  <w:style w:type="paragraph" w:styleId="EndnoteText">
    <w:name w:val="endnote text"/>
    <w:basedOn w:val="Normal"/>
    <w:link w:val="EndnoteTextChar"/>
    <w:rsid w:val="007313D0"/>
    <w:rPr>
      <w:sz w:val="20"/>
      <w:szCs w:val="20"/>
    </w:rPr>
  </w:style>
  <w:style w:type="character" w:customStyle="1" w:styleId="EndnoteTextChar">
    <w:name w:val="Endnote Text Char"/>
    <w:basedOn w:val="DefaultParagraphFont"/>
    <w:link w:val="EndnoteText"/>
    <w:rsid w:val="007313D0"/>
  </w:style>
  <w:style w:type="character" w:styleId="EndnoteReference">
    <w:name w:val="endnote reference"/>
    <w:rsid w:val="007313D0"/>
    <w:rPr>
      <w:vertAlign w:val="superscript"/>
    </w:rPr>
  </w:style>
  <w:style w:type="paragraph" w:customStyle="1" w:styleId="BulletedListLevel1">
    <w:name w:val="Bulleted List Level 1"/>
    <w:link w:val="BulletedListLevel1Char"/>
    <w:semiHidden/>
    <w:rsid w:val="007313D0"/>
    <w:pPr>
      <w:keepLines/>
      <w:numPr>
        <w:numId w:val="19"/>
      </w:numPr>
      <w:tabs>
        <w:tab w:val="left" w:pos="1134"/>
      </w:tabs>
      <w:spacing w:after="140" w:line="300" w:lineRule="atLeast"/>
    </w:pPr>
    <w:rPr>
      <w:rFonts w:ascii="Gill Sans MT" w:hAnsi="Gill Sans MT"/>
      <w:sz w:val="24"/>
      <w:szCs w:val="24"/>
      <w:lang w:eastAsia="en-US"/>
    </w:rPr>
  </w:style>
  <w:style w:type="character" w:customStyle="1" w:styleId="BulletedListLevel1Char">
    <w:name w:val="Bulleted List Level 1 Char"/>
    <w:link w:val="BulletedListLevel1"/>
    <w:semiHidden/>
    <w:rsid w:val="007313D0"/>
    <w:rPr>
      <w:rFonts w:ascii="Gill Sans MT" w:hAnsi="Gill Sans MT"/>
      <w:sz w:val="24"/>
      <w:szCs w:val="24"/>
      <w:lang w:eastAsia="en-US"/>
    </w:rPr>
  </w:style>
  <w:style w:type="paragraph" w:customStyle="1" w:styleId="TableFigText">
    <w:name w:val="Table/Fig: Text"/>
    <w:basedOn w:val="Normal"/>
    <w:link w:val="TableFigTextChar"/>
    <w:rsid w:val="007313D0"/>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7313D0"/>
    <w:rPr>
      <w:rFonts w:ascii="Arial" w:hAnsi="Arial"/>
      <w:color w:val="000000"/>
      <w:sz w:val="16"/>
      <w:lang w:eastAsia="en-US"/>
    </w:rPr>
  </w:style>
  <w:style w:type="table" w:styleId="Table3Deffects1">
    <w:name w:val="Table 3D effects 1"/>
    <w:basedOn w:val="TableNormal"/>
    <w:rsid w:val="007313D0"/>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7313D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313D0"/>
    <w:rPr>
      <w:rFonts w:ascii="Tahoma" w:hAnsi="Tahoma" w:cs="Tahoma"/>
      <w:shd w:val="clear" w:color="auto" w:fill="000080"/>
    </w:rPr>
  </w:style>
  <w:style w:type="paragraph" w:customStyle="1" w:styleId="Pa1">
    <w:name w:val="Pa1"/>
    <w:basedOn w:val="Normal"/>
    <w:next w:val="Normal"/>
    <w:rsid w:val="007313D0"/>
    <w:pPr>
      <w:autoSpaceDE w:val="0"/>
      <w:autoSpaceDN w:val="0"/>
      <w:adjustRightInd w:val="0"/>
      <w:spacing w:line="241" w:lineRule="atLeast"/>
    </w:pPr>
    <w:rPr>
      <w:rFonts w:ascii="Arial" w:hAnsi="Arial"/>
      <w:sz w:val="24"/>
    </w:rPr>
  </w:style>
  <w:style w:type="character" w:customStyle="1" w:styleId="BoxListNumberChar">
    <w:name w:val="Box List Number Char"/>
    <w:basedOn w:val="BoxChar"/>
    <w:link w:val="BoxListNumber"/>
    <w:rsid w:val="007313D0"/>
    <w:rPr>
      <w:rFonts w:ascii="Arial" w:hAnsi="Arial"/>
      <w:sz w:val="22"/>
    </w:rPr>
  </w:style>
  <w:style w:type="character" w:customStyle="1" w:styleId="BoxListNumber2Char">
    <w:name w:val="Box List Number 2 Char"/>
    <w:basedOn w:val="BoxListNumberChar"/>
    <w:link w:val="BoxListNumber2"/>
    <w:rsid w:val="007313D0"/>
    <w:rPr>
      <w:rFonts w:ascii="Arial" w:hAnsi="Arial"/>
      <w:sz w:val="22"/>
    </w:rPr>
  </w:style>
  <w:style w:type="paragraph" w:customStyle="1" w:styleId="indenta">
    <w:name w:val="indent(a)"/>
    <w:aliases w:val="a"/>
    <w:basedOn w:val="Normal"/>
    <w:rsid w:val="007313D0"/>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7313D0"/>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7313D0"/>
    <w:pPr>
      <w:keepLines/>
      <w:tabs>
        <w:tab w:val="left" w:pos="198"/>
      </w:tabs>
      <w:spacing w:before="60" w:after="60" w:line="200" w:lineRule="atLeast"/>
    </w:pPr>
    <w:rPr>
      <w:rFonts w:ascii="Arial" w:hAnsi="Arial"/>
      <w:i/>
      <w:color w:val="000000"/>
      <w:sz w:val="16"/>
      <w:szCs w:val="20"/>
      <w:lang w:eastAsia="en-US"/>
    </w:rPr>
  </w:style>
  <w:style w:type="paragraph" w:customStyle="1" w:styleId="AIHWbodytext">
    <w:name w:val="AIHW body text"/>
    <w:link w:val="AIHWbodytextChar"/>
    <w:rsid w:val="007313D0"/>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7313D0"/>
    <w:rPr>
      <w:rFonts w:ascii="Book Antiqua" w:hAnsi="Book Antiqua"/>
      <w:color w:val="000000"/>
      <w:sz w:val="22"/>
      <w:lang w:eastAsia="en-US"/>
    </w:rPr>
  </w:style>
  <w:style w:type="paragraph" w:styleId="BodyText2">
    <w:name w:val="Body Text 2"/>
    <w:basedOn w:val="Normal"/>
    <w:link w:val="BodyText2Char"/>
    <w:rsid w:val="007313D0"/>
    <w:pPr>
      <w:spacing w:after="120" w:line="480" w:lineRule="auto"/>
    </w:pPr>
  </w:style>
  <w:style w:type="character" w:customStyle="1" w:styleId="BodyText2Char">
    <w:name w:val="Body Text 2 Char"/>
    <w:basedOn w:val="DefaultParagraphFont"/>
    <w:link w:val="BodyText2"/>
    <w:rsid w:val="007313D0"/>
    <w:rPr>
      <w:sz w:val="26"/>
      <w:szCs w:val="24"/>
    </w:rPr>
  </w:style>
  <w:style w:type="paragraph" w:customStyle="1" w:styleId="TemplateBody">
    <w:name w:val="Template Body"/>
    <w:basedOn w:val="Normal"/>
    <w:rsid w:val="007313D0"/>
    <w:pPr>
      <w:spacing w:after="140"/>
    </w:pPr>
    <w:rPr>
      <w:rFonts w:ascii="Gill Sans MT" w:hAnsi="Gill Sans MT"/>
      <w:sz w:val="22"/>
      <w:szCs w:val="20"/>
      <w:lang w:eastAsia="en-US"/>
    </w:rPr>
  </w:style>
  <w:style w:type="character" w:customStyle="1" w:styleId="TableColumnHeadingChar">
    <w:name w:val="Table Column Heading Char"/>
    <w:link w:val="TableColumnHeading"/>
    <w:rsid w:val="007313D0"/>
    <w:rPr>
      <w:rFonts w:ascii="Arial" w:hAnsi="Arial"/>
      <w:i/>
    </w:rPr>
  </w:style>
  <w:style w:type="paragraph" w:customStyle="1" w:styleId="BoxSpaceAbove">
    <w:name w:val="Box Space Above"/>
    <w:basedOn w:val="BodyText"/>
    <w:rsid w:val="0024596C"/>
    <w:pPr>
      <w:keepNext/>
      <w:spacing w:before="360" w:line="80" w:lineRule="exact"/>
      <w:jc w:val="left"/>
    </w:pPr>
  </w:style>
  <w:style w:type="paragraph" w:customStyle="1" w:styleId="BoxSpaceBelow">
    <w:name w:val="Box Space Below"/>
    <w:basedOn w:val="Box"/>
    <w:rsid w:val="0024596C"/>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4596C"/>
    <w:rPr>
      <w:sz w:val="26"/>
      <w:szCs w:val="24"/>
    </w:rPr>
  </w:style>
  <w:style w:type="paragraph" w:styleId="Heading1">
    <w:name w:val="heading 1"/>
    <w:basedOn w:val="BodyText"/>
    <w:next w:val="BodyText"/>
    <w:link w:val="Heading1Char"/>
    <w:rsid w:val="0024596C"/>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24596C"/>
    <w:pPr>
      <w:spacing w:before="600" w:after="0" w:line="400" w:lineRule="exact"/>
      <w:ind w:left="907" w:hanging="907"/>
      <w:outlineLvl w:val="1"/>
    </w:pPr>
    <w:rPr>
      <w:rFonts w:ascii="Arial" w:hAnsi="Arial"/>
      <w:b/>
      <w:sz w:val="32"/>
    </w:rPr>
  </w:style>
  <w:style w:type="paragraph" w:styleId="Heading3">
    <w:name w:val="heading 3"/>
    <w:aliases w:val="d,Heading 31"/>
    <w:basedOn w:val="Heading2"/>
    <w:next w:val="BodyText"/>
    <w:link w:val="Heading3Char"/>
    <w:qFormat/>
    <w:rsid w:val="0024596C"/>
    <w:pPr>
      <w:spacing w:before="560" w:line="320" w:lineRule="exact"/>
      <w:ind w:left="0" w:firstLine="0"/>
      <w:outlineLvl w:val="2"/>
    </w:pPr>
    <w:rPr>
      <w:sz w:val="26"/>
    </w:rPr>
  </w:style>
  <w:style w:type="paragraph" w:styleId="Heading4">
    <w:name w:val="heading 4"/>
    <w:aliases w:val="sd"/>
    <w:basedOn w:val="Heading3"/>
    <w:next w:val="BodyText"/>
    <w:link w:val="Heading4Char"/>
    <w:qFormat/>
    <w:rsid w:val="0024596C"/>
    <w:pPr>
      <w:spacing w:before="480"/>
      <w:outlineLvl w:val="3"/>
    </w:pPr>
    <w:rPr>
      <w:b w:val="0"/>
      <w:i/>
      <w:sz w:val="24"/>
    </w:rPr>
  </w:style>
  <w:style w:type="paragraph" w:styleId="Heading5">
    <w:name w:val="heading 5"/>
    <w:basedOn w:val="Heading4"/>
    <w:next w:val="BodyText"/>
    <w:link w:val="Heading5Char"/>
    <w:qFormat/>
    <w:rsid w:val="0024596C"/>
    <w:pPr>
      <w:outlineLvl w:val="4"/>
    </w:pPr>
    <w:rPr>
      <w:rFonts w:ascii="Times New Roman" w:hAnsi="Times New Roman"/>
      <w:sz w:val="26"/>
    </w:rPr>
  </w:style>
  <w:style w:type="paragraph" w:styleId="Heading6">
    <w:name w:val="heading 6"/>
    <w:basedOn w:val="BodyText"/>
    <w:next w:val="BodyText"/>
    <w:link w:val="Heading6Char"/>
    <w:rsid w:val="0024596C"/>
    <w:pPr>
      <w:spacing w:after="60"/>
      <w:jc w:val="left"/>
      <w:outlineLvl w:val="5"/>
    </w:pPr>
    <w:rPr>
      <w:i/>
      <w:sz w:val="22"/>
    </w:rPr>
  </w:style>
  <w:style w:type="paragraph" w:styleId="Heading7">
    <w:name w:val="heading 7"/>
    <w:basedOn w:val="BodyText"/>
    <w:next w:val="BodyText"/>
    <w:link w:val="Heading7Char"/>
    <w:rsid w:val="0024596C"/>
    <w:pPr>
      <w:spacing w:after="60" w:line="240" w:lineRule="auto"/>
      <w:jc w:val="left"/>
      <w:outlineLvl w:val="6"/>
    </w:pPr>
    <w:rPr>
      <w:rFonts w:ascii="Arial" w:hAnsi="Arial"/>
      <w:sz w:val="20"/>
    </w:rPr>
  </w:style>
  <w:style w:type="paragraph" w:styleId="Heading8">
    <w:name w:val="heading 8"/>
    <w:basedOn w:val="BodyText"/>
    <w:next w:val="BodyText"/>
    <w:link w:val="Heading8Char"/>
    <w:rsid w:val="0024596C"/>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24596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2459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596C"/>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24596C"/>
    <w:pPr>
      <w:spacing w:before="240" w:line="320" w:lineRule="atLeast"/>
      <w:jc w:val="both"/>
    </w:pPr>
    <w:rPr>
      <w:sz w:val="26"/>
    </w:rPr>
  </w:style>
  <w:style w:type="paragraph" w:styleId="Footer">
    <w:name w:val="footer"/>
    <w:basedOn w:val="BodyText"/>
    <w:link w:val="FooterChar"/>
    <w:semiHidden/>
    <w:rsid w:val="0024596C"/>
    <w:pPr>
      <w:spacing w:before="80" w:line="200" w:lineRule="exact"/>
      <w:ind w:right="6"/>
      <w:jc w:val="left"/>
    </w:pPr>
    <w:rPr>
      <w:caps/>
      <w:spacing w:val="-4"/>
      <w:sz w:val="16"/>
    </w:rPr>
  </w:style>
  <w:style w:type="paragraph" w:customStyle="1" w:styleId="FooterEnd">
    <w:name w:val="Footer End"/>
    <w:basedOn w:val="Footer"/>
    <w:rsid w:val="0024596C"/>
    <w:pPr>
      <w:spacing w:before="0" w:line="20" w:lineRule="exact"/>
    </w:pPr>
  </w:style>
  <w:style w:type="paragraph" w:styleId="Header">
    <w:name w:val="header"/>
    <w:basedOn w:val="BodyText"/>
    <w:link w:val="HeaderChar"/>
    <w:rsid w:val="0024596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24596C"/>
    <w:pPr>
      <w:spacing w:line="20" w:lineRule="exact"/>
    </w:pPr>
    <w:rPr>
      <w:sz w:val="16"/>
    </w:rPr>
  </w:style>
  <w:style w:type="paragraph" w:customStyle="1" w:styleId="HeaderEven">
    <w:name w:val="Header Even"/>
    <w:basedOn w:val="Header"/>
    <w:semiHidden/>
    <w:rsid w:val="0024596C"/>
  </w:style>
  <w:style w:type="paragraph" w:customStyle="1" w:styleId="HeaderOdd">
    <w:name w:val="Header Odd"/>
    <w:basedOn w:val="Header"/>
    <w:semiHidden/>
    <w:rsid w:val="0024596C"/>
  </w:style>
  <w:style w:type="character" w:styleId="PageNumber">
    <w:name w:val="page number"/>
    <w:basedOn w:val="DefaultParagraphFont"/>
    <w:rsid w:val="0024596C"/>
    <w:rPr>
      <w:rFonts w:ascii="Arial" w:hAnsi="Arial"/>
      <w:b/>
      <w:sz w:val="16"/>
    </w:rPr>
  </w:style>
  <w:style w:type="paragraph" w:customStyle="1" w:styleId="Abbreviation">
    <w:name w:val="Abbreviation"/>
    <w:basedOn w:val="BodyText"/>
    <w:rsid w:val="0024596C"/>
    <w:pPr>
      <w:spacing w:before="120"/>
      <w:ind w:left="2381" w:hanging="2381"/>
      <w:jc w:val="left"/>
    </w:pPr>
  </w:style>
  <w:style w:type="paragraph" w:customStyle="1" w:styleId="Box">
    <w:name w:val="Box"/>
    <w:basedOn w:val="BodyText"/>
    <w:link w:val="BoxChar"/>
    <w:qFormat/>
    <w:rsid w:val="0024596C"/>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24596C"/>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24596C"/>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24596C"/>
    <w:rPr>
      <w:b w:val="0"/>
      <w:i/>
    </w:rPr>
  </w:style>
  <w:style w:type="paragraph" w:customStyle="1" w:styleId="BoxListBullet">
    <w:name w:val="Box List Bullet"/>
    <w:basedOn w:val="BodyText"/>
    <w:link w:val="BoxListBulletChar"/>
    <w:rsid w:val="0024596C"/>
    <w:pPr>
      <w:keepNext/>
      <w:numPr>
        <w:numId w:val="17"/>
      </w:numPr>
      <w:spacing w:before="60" w:line="280" w:lineRule="atLeast"/>
    </w:pPr>
    <w:rPr>
      <w:rFonts w:ascii="Arial" w:hAnsi="Arial"/>
      <w:sz w:val="22"/>
    </w:rPr>
  </w:style>
  <w:style w:type="paragraph" w:customStyle="1" w:styleId="BoxListBullet2">
    <w:name w:val="Box List Bullet 2"/>
    <w:basedOn w:val="BodyText"/>
    <w:link w:val="BoxListBullet2Char"/>
    <w:rsid w:val="0024596C"/>
    <w:pPr>
      <w:keepNext/>
      <w:numPr>
        <w:numId w:val="15"/>
      </w:numPr>
      <w:spacing w:before="60" w:line="280" w:lineRule="atLeast"/>
    </w:pPr>
    <w:rPr>
      <w:rFonts w:ascii="Arial" w:hAnsi="Arial"/>
      <w:sz w:val="22"/>
    </w:rPr>
  </w:style>
  <w:style w:type="paragraph" w:customStyle="1" w:styleId="BoxListNumber">
    <w:name w:val="Box List Number"/>
    <w:basedOn w:val="BodyText"/>
    <w:link w:val="BoxListNumberChar"/>
    <w:rsid w:val="0024596C"/>
    <w:pPr>
      <w:keepNext/>
      <w:numPr>
        <w:numId w:val="11"/>
      </w:numPr>
      <w:spacing w:before="60" w:line="280" w:lineRule="atLeast"/>
    </w:pPr>
    <w:rPr>
      <w:rFonts w:ascii="Arial" w:hAnsi="Arial"/>
      <w:sz w:val="22"/>
    </w:rPr>
  </w:style>
  <w:style w:type="paragraph" w:customStyle="1" w:styleId="BoxListNumber2">
    <w:name w:val="Box List Number 2"/>
    <w:basedOn w:val="BoxListNumber"/>
    <w:link w:val="BoxListNumber2Char"/>
    <w:rsid w:val="0024596C"/>
    <w:pPr>
      <w:numPr>
        <w:ilvl w:val="1"/>
      </w:numPr>
    </w:pPr>
  </w:style>
  <w:style w:type="paragraph" w:customStyle="1" w:styleId="BoxQuote">
    <w:name w:val="Box Quote"/>
    <w:basedOn w:val="BodyText"/>
    <w:next w:val="Box"/>
    <w:link w:val="BoxQuoteChar"/>
    <w:rsid w:val="0024596C"/>
    <w:pPr>
      <w:keepNext/>
      <w:spacing w:before="60" w:line="260" w:lineRule="exact"/>
      <w:ind w:left="284"/>
    </w:pPr>
    <w:rPr>
      <w:rFonts w:ascii="Arial" w:hAnsi="Arial"/>
      <w:sz w:val="20"/>
    </w:rPr>
  </w:style>
  <w:style w:type="paragraph" w:customStyle="1" w:styleId="Note">
    <w:name w:val="Note"/>
    <w:basedOn w:val="BodyText"/>
    <w:next w:val="BodyText"/>
    <w:link w:val="NoteChar"/>
    <w:rsid w:val="0024596C"/>
    <w:pPr>
      <w:keepLines/>
      <w:spacing w:before="80" w:line="220" w:lineRule="exact"/>
    </w:pPr>
    <w:rPr>
      <w:rFonts w:ascii="Arial" w:hAnsi="Arial"/>
      <w:sz w:val="18"/>
    </w:rPr>
  </w:style>
  <w:style w:type="paragraph" w:customStyle="1" w:styleId="Source">
    <w:name w:val="Source"/>
    <w:basedOn w:val="Note"/>
    <w:next w:val="BodyText"/>
    <w:link w:val="SourceChar"/>
    <w:rsid w:val="0024596C"/>
    <w:pPr>
      <w:spacing w:after="120"/>
    </w:pPr>
  </w:style>
  <w:style w:type="paragraph" w:customStyle="1" w:styleId="BoxSource">
    <w:name w:val="Box Source"/>
    <w:basedOn w:val="Source"/>
    <w:next w:val="BodyText"/>
    <w:rsid w:val="0024596C"/>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link w:val="CaptionChar"/>
    <w:rsid w:val="0024596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24596C"/>
    <w:pPr>
      <w:spacing w:before="120" w:after="0"/>
      <w:ind w:left="1304" w:hanging="1304"/>
    </w:pPr>
    <w:rPr>
      <w:sz w:val="24"/>
    </w:rPr>
  </w:style>
  <w:style w:type="paragraph" w:customStyle="1" w:styleId="BoxSubtitle">
    <w:name w:val="Box Subtitle"/>
    <w:basedOn w:val="BoxTitle"/>
    <w:next w:val="Normal"/>
    <w:rsid w:val="0024596C"/>
    <w:pPr>
      <w:spacing w:after="80" w:line="200" w:lineRule="exact"/>
      <w:ind w:firstLine="0"/>
    </w:pPr>
    <w:rPr>
      <w:b w:val="0"/>
      <w:sz w:val="20"/>
    </w:rPr>
  </w:style>
  <w:style w:type="paragraph" w:customStyle="1" w:styleId="Chapter">
    <w:name w:val="Chapter"/>
    <w:basedOn w:val="Heading1"/>
    <w:next w:val="BodyText"/>
    <w:link w:val="ChapterChar"/>
    <w:semiHidden/>
    <w:rsid w:val="0024596C"/>
    <w:pPr>
      <w:ind w:left="0" w:firstLine="0"/>
      <w:outlineLvl w:val="9"/>
    </w:pPr>
  </w:style>
  <w:style w:type="paragraph" w:customStyle="1" w:styleId="ChapterSummary">
    <w:name w:val="Chapter Summary"/>
    <w:basedOn w:val="BodyText"/>
    <w:rsid w:val="0024596C"/>
    <w:pPr>
      <w:ind w:left="907"/>
    </w:pPr>
    <w:rPr>
      <w:rFonts w:ascii="Arial" w:hAnsi="Arial"/>
      <w:b/>
      <w:sz w:val="22"/>
    </w:rPr>
  </w:style>
  <w:style w:type="character" w:styleId="CommentReference">
    <w:name w:val="annotation reference"/>
    <w:basedOn w:val="DefaultParagraphFont"/>
    <w:semiHidden/>
    <w:rsid w:val="0024596C"/>
    <w:rPr>
      <w:b/>
      <w:vanish/>
      <w:color w:val="FF00FF"/>
      <w:sz w:val="20"/>
    </w:rPr>
  </w:style>
  <w:style w:type="paragraph" w:styleId="CommentText">
    <w:name w:val="annotation text"/>
    <w:basedOn w:val="Normal"/>
    <w:link w:val="CommentTextChar1"/>
    <w:semiHidden/>
    <w:rsid w:val="0024596C"/>
    <w:pPr>
      <w:spacing w:before="120" w:line="240" w:lineRule="atLeast"/>
      <w:ind w:left="567" w:hanging="567"/>
    </w:pPr>
    <w:rPr>
      <w:sz w:val="20"/>
    </w:rPr>
  </w:style>
  <w:style w:type="paragraph" w:customStyle="1" w:styleId="Continued">
    <w:name w:val="Continued"/>
    <w:basedOn w:val="BoxContinued"/>
    <w:next w:val="BodyText"/>
    <w:link w:val="ContinuedChar"/>
    <w:rsid w:val="0024596C"/>
  </w:style>
  <w:style w:type="character" w:customStyle="1" w:styleId="DocumentInfo">
    <w:name w:val="Document Info"/>
    <w:basedOn w:val="DefaultParagraphFont"/>
    <w:semiHidden/>
    <w:rsid w:val="0024596C"/>
    <w:rPr>
      <w:rFonts w:ascii="Arial" w:hAnsi="Arial"/>
      <w:sz w:val="14"/>
    </w:rPr>
  </w:style>
  <w:style w:type="character" w:customStyle="1" w:styleId="DraftingNote">
    <w:name w:val="Drafting Note"/>
    <w:basedOn w:val="DefaultParagraphFont"/>
    <w:rsid w:val="0024596C"/>
    <w:rPr>
      <w:b/>
      <w:color w:val="FF0000"/>
      <w:sz w:val="24"/>
      <w:u w:val="dotted"/>
    </w:rPr>
  </w:style>
  <w:style w:type="paragraph" w:customStyle="1" w:styleId="Figure">
    <w:name w:val="Figure"/>
    <w:basedOn w:val="BodyText"/>
    <w:link w:val="FigureChar"/>
    <w:rsid w:val="0024596C"/>
    <w:pPr>
      <w:keepNext/>
      <w:spacing w:before="120" w:after="120" w:line="240" w:lineRule="atLeast"/>
      <w:jc w:val="center"/>
    </w:pPr>
  </w:style>
  <w:style w:type="paragraph" w:customStyle="1" w:styleId="FigureTitle">
    <w:name w:val="Figure Title"/>
    <w:basedOn w:val="Caption"/>
    <w:next w:val="Subtitle"/>
    <w:link w:val="FigureTitleChar"/>
    <w:rsid w:val="0024596C"/>
    <w:rPr>
      <w:sz w:val="24"/>
    </w:rPr>
  </w:style>
  <w:style w:type="paragraph" w:styleId="Subtitle">
    <w:name w:val="Subtitle"/>
    <w:basedOn w:val="Caption"/>
    <w:link w:val="SubtitleChar"/>
    <w:rsid w:val="0024596C"/>
    <w:pPr>
      <w:spacing w:before="0" w:line="200" w:lineRule="exact"/>
      <w:ind w:firstLine="0"/>
    </w:pPr>
    <w:rPr>
      <w:b w:val="0"/>
      <w:sz w:val="20"/>
    </w:rPr>
  </w:style>
  <w:style w:type="paragraph" w:customStyle="1" w:styleId="Finding">
    <w:name w:val="Finding"/>
    <w:basedOn w:val="BodyText"/>
    <w:rsid w:val="0024596C"/>
    <w:pPr>
      <w:keepLines/>
      <w:spacing w:before="180"/>
    </w:pPr>
    <w:rPr>
      <w:i/>
    </w:rPr>
  </w:style>
  <w:style w:type="paragraph" w:customStyle="1" w:styleId="FindingBullet">
    <w:name w:val="Finding Bullet"/>
    <w:basedOn w:val="Finding"/>
    <w:rsid w:val="0024596C"/>
    <w:pPr>
      <w:numPr>
        <w:numId w:val="1"/>
      </w:numPr>
      <w:spacing w:before="80"/>
    </w:pPr>
  </w:style>
  <w:style w:type="paragraph" w:customStyle="1" w:styleId="FindingNoTitle">
    <w:name w:val="Finding NoTitle"/>
    <w:basedOn w:val="Finding"/>
    <w:rsid w:val="0024596C"/>
    <w:pPr>
      <w:spacing w:before="240"/>
    </w:pPr>
  </w:style>
  <w:style w:type="paragraph" w:customStyle="1" w:styleId="RecTitle">
    <w:name w:val="Rec Title"/>
    <w:basedOn w:val="BodyText"/>
    <w:next w:val="Normal"/>
    <w:rsid w:val="0024596C"/>
    <w:pPr>
      <w:keepNext/>
      <w:keepLines/>
    </w:pPr>
    <w:rPr>
      <w:caps/>
      <w:sz w:val="20"/>
    </w:rPr>
  </w:style>
  <w:style w:type="paragraph" w:customStyle="1" w:styleId="FindingTitle">
    <w:name w:val="Finding Title"/>
    <w:basedOn w:val="RecTitle"/>
    <w:next w:val="Finding"/>
    <w:rsid w:val="0024596C"/>
    <w:pPr>
      <w:framePr w:wrap="notBeside" w:hAnchor="text"/>
    </w:pPr>
  </w:style>
  <w:style w:type="character" w:styleId="FootnoteReference">
    <w:name w:val="footnote reference"/>
    <w:basedOn w:val="DefaultParagraphFont"/>
    <w:rsid w:val="0024596C"/>
    <w:rPr>
      <w:rFonts w:ascii="Times New Roman" w:hAnsi="Times New Roman"/>
      <w:position w:val="6"/>
      <w:sz w:val="22"/>
      <w:vertAlign w:val="baseline"/>
    </w:rPr>
  </w:style>
  <w:style w:type="paragraph" w:styleId="FootnoteText">
    <w:name w:val="footnote text"/>
    <w:basedOn w:val="BodyText"/>
    <w:link w:val="FootnoteTextChar"/>
    <w:rsid w:val="0024596C"/>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24596C"/>
    <w:pPr>
      <w:spacing w:before="360" w:after="120"/>
    </w:pPr>
    <w:rPr>
      <w:rFonts w:ascii="Arial" w:hAnsi="Arial"/>
      <w:sz w:val="24"/>
    </w:rPr>
  </w:style>
  <w:style w:type="paragraph" w:customStyle="1" w:styleId="Jurisdictioncommentsbodytext">
    <w:name w:val="Jurisdiction comments body text"/>
    <w:link w:val="JurisdictioncommentsbodytextChar"/>
    <w:rsid w:val="0024596C"/>
    <w:pPr>
      <w:spacing w:after="140"/>
      <w:jc w:val="both"/>
    </w:pPr>
    <w:rPr>
      <w:rFonts w:ascii="Arial" w:hAnsi="Arial"/>
      <w:sz w:val="24"/>
      <w:lang w:eastAsia="en-US"/>
    </w:rPr>
  </w:style>
  <w:style w:type="paragraph" w:customStyle="1" w:styleId="Jurisdictioncommentsheading">
    <w:name w:val="Jurisdiction comments heading"/>
    <w:rsid w:val="0024596C"/>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24596C"/>
    <w:pPr>
      <w:numPr>
        <w:numId w:val="2"/>
      </w:numPr>
      <w:spacing w:after="140"/>
      <w:jc w:val="both"/>
    </w:pPr>
    <w:rPr>
      <w:rFonts w:ascii="Arial" w:hAnsi="Arial"/>
      <w:sz w:val="24"/>
      <w:lang w:eastAsia="en-US"/>
    </w:rPr>
  </w:style>
  <w:style w:type="paragraph" w:styleId="ListBullet">
    <w:name w:val="List Bullet"/>
    <w:aliases w:val="List Bullet1"/>
    <w:basedOn w:val="BodyText"/>
    <w:link w:val="ListBulletChar"/>
    <w:rsid w:val="0024596C"/>
    <w:pPr>
      <w:numPr>
        <w:numId w:val="3"/>
      </w:numPr>
      <w:spacing w:before="120"/>
    </w:pPr>
  </w:style>
  <w:style w:type="paragraph" w:styleId="ListBullet2">
    <w:name w:val="List Bullet 2"/>
    <w:basedOn w:val="BodyText"/>
    <w:link w:val="ListBullet2Char"/>
    <w:rsid w:val="0024596C"/>
    <w:pPr>
      <w:numPr>
        <w:numId w:val="4"/>
      </w:numPr>
      <w:spacing w:before="120"/>
    </w:pPr>
  </w:style>
  <w:style w:type="paragraph" w:styleId="ListBullet3">
    <w:name w:val="List Bullet 3"/>
    <w:basedOn w:val="BodyText"/>
    <w:link w:val="ListBullet3Char"/>
    <w:rsid w:val="0024596C"/>
    <w:pPr>
      <w:numPr>
        <w:numId w:val="5"/>
      </w:numPr>
      <w:spacing w:before="120"/>
    </w:pPr>
  </w:style>
  <w:style w:type="paragraph" w:styleId="ListNumber">
    <w:name w:val="List Number"/>
    <w:basedOn w:val="BodyText"/>
    <w:rsid w:val="0024596C"/>
    <w:pPr>
      <w:numPr>
        <w:numId w:val="10"/>
      </w:numPr>
      <w:spacing w:before="120"/>
    </w:pPr>
  </w:style>
  <w:style w:type="paragraph" w:styleId="ListNumber2">
    <w:name w:val="List Number 2"/>
    <w:basedOn w:val="ListNumber"/>
    <w:rsid w:val="0024596C"/>
    <w:pPr>
      <w:numPr>
        <w:ilvl w:val="1"/>
      </w:numPr>
    </w:pPr>
  </w:style>
  <w:style w:type="paragraph" w:styleId="ListNumber3">
    <w:name w:val="List Number 3"/>
    <w:basedOn w:val="ListNumber2"/>
    <w:rsid w:val="0024596C"/>
    <w:pPr>
      <w:numPr>
        <w:ilvl w:val="2"/>
      </w:numPr>
    </w:pPr>
  </w:style>
  <w:style w:type="character" w:customStyle="1" w:styleId="NoteLabel">
    <w:name w:val="Note Label"/>
    <w:basedOn w:val="DefaultParagraphFont"/>
    <w:rsid w:val="0024596C"/>
    <w:rPr>
      <w:rFonts w:ascii="Arial" w:hAnsi="Arial"/>
      <w:b/>
      <w:position w:val="6"/>
      <w:sz w:val="18"/>
    </w:rPr>
  </w:style>
  <w:style w:type="paragraph" w:customStyle="1" w:styleId="PartDivider">
    <w:name w:val="Part Divider"/>
    <w:basedOn w:val="BodyText"/>
    <w:next w:val="BodyText"/>
    <w:semiHidden/>
    <w:rsid w:val="0024596C"/>
    <w:pPr>
      <w:spacing w:before="0" w:line="40" w:lineRule="exact"/>
      <w:jc w:val="right"/>
    </w:pPr>
    <w:rPr>
      <w:smallCaps/>
      <w:sz w:val="16"/>
    </w:rPr>
  </w:style>
  <w:style w:type="paragraph" w:customStyle="1" w:styleId="PartNumber">
    <w:name w:val="Part Number"/>
    <w:basedOn w:val="BodyText"/>
    <w:next w:val="BodyText"/>
    <w:semiHidden/>
    <w:rsid w:val="0024596C"/>
    <w:pPr>
      <w:spacing w:before="4000" w:line="320" w:lineRule="exact"/>
      <w:ind w:left="6634"/>
      <w:jc w:val="right"/>
    </w:pPr>
    <w:rPr>
      <w:smallCaps/>
      <w:spacing w:val="60"/>
      <w:sz w:val="32"/>
    </w:rPr>
  </w:style>
  <w:style w:type="paragraph" w:customStyle="1" w:styleId="PartTitle">
    <w:name w:val="Part Title"/>
    <w:basedOn w:val="BodyText"/>
    <w:semiHidden/>
    <w:rsid w:val="0024596C"/>
    <w:pPr>
      <w:spacing w:before="160" w:after="1360" w:line="520" w:lineRule="exact"/>
      <w:ind w:right="2381"/>
      <w:jc w:val="right"/>
    </w:pPr>
    <w:rPr>
      <w:smallCaps/>
      <w:sz w:val="52"/>
    </w:rPr>
  </w:style>
  <w:style w:type="paragraph" w:styleId="Quote">
    <w:name w:val="Quote"/>
    <w:basedOn w:val="BodyText"/>
    <w:next w:val="BodyText"/>
    <w:link w:val="QuoteChar"/>
    <w:qFormat/>
    <w:rsid w:val="0024596C"/>
    <w:pPr>
      <w:spacing w:before="120" w:line="280" w:lineRule="exact"/>
      <w:ind w:left="340"/>
    </w:pPr>
    <w:rPr>
      <w:sz w:val="24"/>
    </w:rPr>
  </w:style>
  <w:style w:type="paragraph" w:customStyle="1" w:styleId="QuoteBullet">
    <w:name w:val="Quote Bullet"/>
    <w:basedOn w:val="Quote"/>
    <w:rsid w:val="0024596C"/>
    <w:pPr>
      <w:numPr>
        <w:numId w:val="6"/>
      </w:numPr>
    </w:pPr>
  </w:style>
  <w:style w:type="paragraph" w:customStyle="1" w:styleId="Rec">
    <w:name w:val="Rec"/>
    <w:basedOn w:val="BodyText"/>
    <w:rsid w:val="0024596C"/>
    <w:pPr>
      <w:keepLines/>
      <w:spacing w:before="180"/>
    </w:pPr>
    <w:rPr>
      <w:b/>
      <w:i/>
    </w:rPr>
  </w:style>
  <w:style w:type="paragraph" w:customStyle="1" w:styleId="RecBullet">
    <w:name w:val="Rec Bullet"/>
    <w:basedOn w:val="Rec"/>
    <w:rsid w:val="0024596C"/>
    <w:pPr>
      <w:numPr>
        <w:numId w:val="7"/>
      </w:numPr>
      <w:spacing w:before="80"/>
    </w:pPr>
  </w:style>
  <w:style w:type="paragraph" w:customStyle="1" w:styleId="RecB">
    <w:name w:val="RecB"/>
    <w:basedOn w:val="Normal"/>
    <w:rsid w:val="0024596C"/>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24596C"/>
    <w:pPr>
      <w:numPr>
        <w:numId w:val="12"/>
      </w:numPr>
      <w:spacing w:before="80"/>
    </w:pPr>
  </w:style>
  <w:style w:type="paragraph" w:customStyle="1" w:styleId="RecBNoTitle">
    <w:name w:val="RecB NoTitle"/>
    <w:basedOn w:val="RecB"/>
    <w:rsid w:val="0024596C"/>
    <w:pPr>
      <w:spacing w:before="240"/>
    </w:pPr>
  </w:style>
  <w:style w:type="paragraph" w:customStyle="1" w:styleId="Reference">
    <w:name w:val="Reference"/>
    <w:basedOn w:val="BodyText"/>
    <w:link w:val="ReferenceChar"/>
    <w:rsid w:val="0024596C"/>
    <w:pPr>
      <w:spacing w:before="120"/>
      <w:ind w:left="340" w:hanging="340"/>
    </w:pPr>
  </w:style>
  <w:style w:type="paragraph" w:customStyle="1" w:styleId="SequenceInfo">
    <w:name w:val="Sequence Info"/>
    <w:basedOn w:val="BodyText"/>
    <w:semiHidden/>
    <w:rsid w:val="0024596C"/>
    <w:rPr>
      <w:vanish/>
      <w:sz w:val="16"/>
    </w:rPr>
  </w:style>
  <w:style w:type="paragraph" w:customStyle="1" w:styleId="SideNote">
    <w:name w:val="Side Note"/>
    <w:basedOn w:val="BodyText"/>
    <w:next w:val="BodyText"/>
    <w:semiHidden/>
    <w:rsid w:val="0024596C"/>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24596C"/>
    <w:pPr>
      <w:framePr w:wrap="around"/>
      <w:numPr>
        <w:numId w:val="8"/>
      </w:numPr>
      <w:tabs>
        <w:tab w:val="left" w:pos="227"/>
      </w:tabs>
    </w:pPr>
  </w:style>
  <w:style w:type="paragraph" w:customStyle="1" w:styleId="SideNoteGraphic">
    <w:name w:val="Side Note Graphic"/>
    <w:basedOn w:val="SideNote"/>
    <w:next w:val="BodyText"/>
    <w:semiHidden/>
    <w:rsid w:val="0024596C"/>
    <w:pPr>
      <w:framePr w:wrap="around"/>
    </w:pPr>
  </w:style>
  <w:style w:type="paragraph" w:customStyle="1" w:styleId="TableBodyText">
    <w:name w:val="Table Body Text"/>
    <w:basedOn w:val="BodyText"/>
    <w:link w:val="TableBodyTextChar"/>
    <w:rsid w:val="0024596C"/>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24596C"/>
    <w:pPr>
      <w:numPr>
        <w:numId w:val="9"/>
      </w:numPr>
      <w:jc w:val="left"/>
    </w:pPr>
  </w:style>
  <w:style w:type="paragraph" w:customStyle="1" w:styleId="TableColumnHeading">
    <w:name w:val="Table Column Heading"/>
    <w:basedOn w:val="TableBodyText"/>
    <w:link w:val="TableColumnHeadingChar"/>
    <w:rsid w:val="0024596C"/>
    <w:pPr>
      <w:spacing w:before="80" w:after="80"/>
    </w:pPr>
    <w:rPr>
      <w:i/>
    </w:rPr>
  </w:style>
  <w:style w:type="paragraph" w:styleId="TOC2">
    <w:name w:val="toc 2"/>
    <w:basedOn w:val="BodyText"/>
    <w:rsid w:val="0024596C"/>
    <w:pPr>
      <w:tabs>
        <w:tab w:val="right" w:pos="8789"/>
      </w:tabs>
      <w:ind w:left="510" w:right="851" w:hanging="510"/>
      <w:jc w:val="left"/>
    </w:pPr>
    <w:rPr>
      <w:b/>
    </w:rPr>
  </w:style>
  <w:style w:type="paragraph" w:styleId="TOC3">
    <w:name w:val="toc 3"/>
    <w:basedOn w:val="TOC2"/>
    <w:rsid w:val="0024596C"/>
    <w:pPr>
      <w:spacing w:before="60"/>
      <w:ind w:left="1190" w:hanging="680"/>
    </w:pPr>
    <w:rPr>
      <w:b w:val="0"/>
    </w:rPr>
  </w:style>
  <w:style w:type="paragraph" w:styleId="TableofFigures">
    <w:name w:val="table of figures"/>
    <w:basedOn w:val="TOC3"/>
    <w:next w:val="BodyText"/>
    <w:semiHidden/>
    <w:rsid w:val="0024596C"/>
    <w:pPr>
      <w:ind w:left="737" w:hanging="737"/>
    </w:pPr>
  </w:style>
  <w:style w:type="paragraph" w:customStyle="1" w:styleId="TableTitle">
    <w:name w:val="Table Title"/>
    <w:basedOn w:val="Caption"/>
    <w:next w:val="Subtitle"/>
    <w:link w:val="TableTitleChar"/>
    <w:rsid w:val="0024596C"/>
    <w:rPr>
      <w:sz w:val="24"/>
    </w:rPr>
  </w:style>
  <w:style w:type="paragraph" w:customStyle="1" w:styleId="TableUnitsRow">
    <w:name w:val="Table Units Row"/>
    <w:basedOn w:val="TableBodyText"/>
    <w:rsid w:val="0024596C"/>
    <w:pPr>
      <w:spacing w:before="80" w:after="80"/>
    </w:pPr>
  </w:style>
  <w:style w:type="paragraph" w:styleId="TOC1">
    <w:name w:val="toc 1"/>
    <w:basedOn w:val="Normal"/>
    <w:next w:val="TOC2"/>
    <w:rsid w:val="0024596C"/>
    <w:pPr>
      <w:tabs>
        <w:tab w:val="right" w:pos="8789"/>
      </w:tabs>
      <w:spacing w:before="480" w:after="60" w:line="320" w:lineRule="exact"/>
      <w:ind w:left="1191" w:right="851" w:hanging="1191"/>
    </w:pPr>
    <w:rPr>
      <w:b/>
      <w:caps/>
    </w:rPr>
  </w:style>
  <w:style w:type="paragraph" w:styleId="TOC4">
    <w:name w:val="toc 4"/>
    <w:basedOn w:val="TOC3"/>
    <w:rsid w:val="0024596C"/>
    <w:pPr>
      <w:ind w:left="1191" w:firstLine="0"/>
    </w:pPr>
  </w:style>
  <w:style w:type="paragraph" w:customStyle="1" w:styleId="RecBBullet2">
    <w:name w:val="RecB Bullet 2"/>
    <w:basedOn w:val="ListBullet2"/>
    <w:semiHidden/>
    <w:rsid w:val="0024596C"/>
    <w:pPr>
      <w:pBdr>
        <w:left w:val="single" w:sz="24" w:space="29" w:color="C0C0C0"/>
      </w:pBdr>
    </w:pPr>
    <w:rPr>
      <w:b/>
      <w:i/>
    </w:rPr>
  </w:style>
  <w:style w:type="paragraph" w:styleId="BalloonText">
    <w:name w:val="Balloon Text"/>
    <w:basedOn w:val="Normal"/>
    <w:link w:val="BalloonTextChar"/>
    <w:rsid w:val="0024596C"/>
    <w:rPr>
      <w:rFonts w:ascii="Tahoma" w:hAnsi="Tahoma" w:cs="Tahoma"/>
      <w:sz w:val="16"/>
      <w:szCs w:val="16"/>
    </w:rPr>
  </w:style>
  <w:style w:type="character" w:customStyle="1" w:styleId="BalloonTextChar">
    <w:name w:val="Balloon Text Char"/>
    <w:basedOn w:val="DefaultParagraphFont"/>
    <w:link w:val="BalloonText"/>
    <w:rsid w:val="0024596C"/>
    <w:rPr>
      <w:rFonts w:ascii="Tahoma" w:hAnsi="Tahoma" w:cs="Tahoma"/>
      <w:sz w:val="16"/>
      <w:szCs w:val="16"/>
    </w:rPr>
  </w:style>
  <w:style w:type="character" w:customStyle="1" w:styleId="SubtitleChar">
    <w:name w:val="Subtitle Char"/>
    <w:basedOn w:val="DefaultParagraphFont"/>
    <w:link w:val="Subtitle"/>
    <w:rsid w:val="0024596C"/>
    <w:rPr>
      <w:rFonts w:ascii="Arial" w:hAnsi="Arial"/>
      <w:szCs w:val="24"/>
    </w:rPr>
  </w:style>
  <w:style w:type="paragraph" w:customStyle="1" w:styleId="BoxListBullet3">
    <w:name w:val="Box List Bullet 3"/>
    <w:basedOn w:val="ListBullet3"/>
    <w:rsid w:val="0024596C"/>
    <w:pPr>
      <w:numPr>
        <w:numId w:val="16"/>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24596C"/>
    <w:rPr>
      <w:i/>
      <w:iCs/>
    </w:rPr>
  </w:style>
  <w:style w:type="paragraph" w:customStyle="1" w:styleId="BoxQuoteBullet">
    <w:name w:val="Box Quote Bullet"/>
    <w:basedOn w:val="BoxQuote"/>
    <w:next w:val="Box"/>
    <w:rsid w:val="0024596C"/>
    <w:pPr>
      <w:numPr>
        <w:numId w:val="13"/>
      </w:numPr>
      <w:ind w:left="568" w:hanging="284"/>
    </w:pPr>
  </w:style>
  <w:style w:type="paragraph" w:customStyle="1" w:styleId="InformationRequestBullet">
    <w:name w:val="Information Request Bullet"/>
    <w:basedOn w:val="ListBullet"/>
    <w:next w:val="BodyText"/>
    <w:rsid w:val="0024596C"/>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aliases w:val="List Bullet1 Char"/>
    <w:basedOn w:val="DefaultParagraphFont"/>
    <w:link w:val="ListBullet"/>
    <w:rsid w:val="00B86CB4"/>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D12AA7"/>
    <w:rPr>
      <w:sz w:val="26"/>
    </w:rPr>
  </w:style>
  <w:style w:type="character" w:customStyle="1" w:styleId="Heading4Char">
    <w:name w:val="Heading 4 Char"/>
    <w:aliases w:val="sd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Heading 31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rPr>
  </w:style>
  <w:style w:type="character" w:customStyle="1" w:styleId="Heading2Char">
    <w:name w:val="Heading 2 Char"/>
    <w:basedOn w:val="DefaultParagraphFont"/>
    <w:link w:val="Heading2"/>
    <w:rsid w:val="001C601E"/>
    <w:rPr>
      <w:rFonts w:ascii="Arial" w:hAnsi="Arial"/>
      <w:b/>
      <w:sz w:val="32"/>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7A2D09"/>
    <w:rPr>
      <w:sz w:val="26"/>
    </w:rPr>
  </w:style>
  <w:style w:type="paragraph" w:customStyle="1" w:styleId="Rd">
    <w:name w:val="Rd"/>
    <w:basedOn w:val="ListBullet2"/>
    <w:rsid w:val="00947D41"/>
    <w:p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 w:type="character" w:customStyle="1" w:styleId="BoxTitleChar">
    <w:name w:val="Box Title Char"/>
    <w:link w:val="BoxTitle"/>
    <w:rsid w:val="0037121A"/>
    <w:rPr>
      <w:rFonts w:ascii="Arial" w:hAnsi="Arial"/>
      <w:b/>
      <w:sz w:val="24"/>
      <w:szCs w:val="24"/>
    </w:rPr>
  </w:style>
  <w:style w:type="character" w:customStyle="1" w:styleId="ListBullet2Char">
    <w:name w:val="List Bullet 2 Char"/>
    <w:basedOn w:val="DefaultParagraphFont"/>
    <w:link w:val="ListBullet2"/>
    <w:rsid w:val="00270B27"/>
    <w:rPr>
      <w:sz w:val="26"/>
    </w:rPr>
  </w:style>
  <w:style w:type="character" w:customStyle="1" w:styleId="BoxListBulletChar">
    <w:name w:val="Box List Bullet Char"/>
    <w:basedOn w:val="BoxChar"/>
    <w:link w:val="BoxListBullet"/>
    <w:rsid w:val="00270B27"/>
    <w:rPr>
      <w:rFonts w:ascii="Arial" w:hAnsi="Arial"/>
      <w:sz w:val="22"/>
    </w:rPr>
  </w:style>
  <w:style w:type="paragraph" w:customStyle="1" w:styleId="D">
    <w:name w:val="D"/>
    <w:basedOn w:val="BodyText"/>
    <w:rsid w:val="00270B27"/>
  </w:style>
  <w:style w:type="character" w:customStyle="1" w:styleId="BoxListBullet2Char">
    <w:name w:val="Box List Bullet 2 Char"/>
    <w:basedOn w:val="DefaultParagraphFont"/>
    <w:link w:val="BoxListBullet2"/>
    <w:rsid w:val="00270B27"/>
    <w:rPr>
      <w:rFonts w:ascii="Arial" w:hAnsi="Arial"/>
      <w:sz w:val="22"/>
    </w:rPr>
  </w:style>
  <w:style w:type="character" w:customStyle="1" w:styleId="BoxHeading1Char">
    <w:name w:val="Box Heading 1 Char"/>
    <w:basedOn w:val="DefaultParagraphFont"/>
    <w:link w:val="BoxHeading1"/>
    <w:rsid w:val="00A52210"/>
    <w:rPr>
      <w:rFonts w:ascii="Arial" w:hAnsi="Arial"/>
      <w:b/>
      <w:sz w:val="22"/>
    </w:rPr>
  </w:style>
  <w:style w:type="character" w:customStyle="1" w:styleId="ChapterChar">
    <w:name w:val="Chapter Char"/>
    <w:basedOn w:val="Heading1Char"/>
    <w:link w:val="Chapter"/>
    <w:semiHidden/>
    <w:rsid w:val="007313D0"/>
    <w:rPr>
      <w:sz w:val="52"/>
    </w:rPr>
  </w:style>
  <w:style w:type="character" w:customStyle="1" w:styleId="CaptionChar">
    <w:name w:val="Caption Char"/>
    <w:link w:val="Caption"/>
    <w:rsid w:val="007313D0"/>
    <w:rPr>
      <w:rFonts w:ascii="Arial" w:hAnsi="Arial"/>
      <w:b/>
      <w:sz w:val="26"/>
      <w:szCs w:val="24"/>
    </w:rPr>
  </w:style>
  <w:style w:type="character" w:customStyle="1" w:styleId="TableTitleChar">
    <w:name w:val="Table Title Char"/>
    <w:basedOn w:val="CaptionChar"/>
    <w:link w:val="TableTitle"/>
    <w:rsid w:val="007313D0"/>
    <w:rPr>
      <w:rFonts w:ascii="Arial" w:hAnsi="Arial"/>
      <w:b/>
      <w:sz w:val="24"/>
      <w:szCs w:val="24"/>
    </w:rPr>
  </w:style>
  <w:style w:type="paragraph" w:customStyle="1" w:styleId="StyleBefore2ptAfter2ptLinespacingsingle">
    <w:name w:val="Style Before:  2 pt After:  2 pt Line spacing:  single"/>
    <w:basedOn w:val="Normal"/>
    <w:rsid w:val="007313D0"/>
    <w:pPr>
      <w:spacing w:before="40" w:after="40"/>
    </w:pPr>
    <w:rPr>
      <w:rFonts w:ascii="Garamond" w:hAnsi="Garamond"/>
      <w:sz w:val="24"/>
      <w:szCs w:val="20"/>
      <w:lang w:eastAsia="en-US"/>
    </w:rPr>
  </w:style>
  <w:style w:type="numbering" w:customStyle="1" w:styleId="StyleStyleBulletedOutlinenumberedLatinCourierNewComp1">
    <w:name w:val="Style Style Bulleted + Outline numbered (Latin) Courier New (Comp...1"/>
    <w:basedOn w:val="NoList"/>
    <w:rsid w:val="007313D0"/>
    <w:pPr>
      <w:numPr>
        <w:numId w:val="18"/>
      </w:numPr>
    </w:pPr>
  </w:style>
  <w:style w:type="paragraph" w:customStyle="1" w:styleId="09Versotitlepagetext">
    <w:name w:val="09 Verso titlepage text"/>
    <w:basedOn w:val="Normal"/>
    <w:rsid w:val="007313D0"/>
    <w:pPr>
      <w:keepLines/>
      <w:spacing w:before="40" w:after="40" w:line="240" w:lineRule="atLeast"/>
    </w:pPr>
    <w:rPr>
      <w:rFonts w:ascii="Arial" w:hAnsi="Arial"/>
      <w:color w:val="000000"/>
      <w:sz w:val="20"/>
      <w:szCs w:val="20"/>
      <w:lang w:eastAsia="en-US"/>
    </w:rPr>
  </w:style>
  <w:style w:type="paragraph" w:customStyle="1" w:styleId="b">
    <w:name w:val="b"/>
    <w:basedOn w:val="BodyText"/>
    <w:link w:val="bChar"/>
    <w:rsid w:val="007313D0"/>
  </w:style>
  <w:style w:type="character" w:customStyle="1" w:styleId="bChar">
    <w:name w:val="b Char"/>
    <w:link w:val="b"/>
    <w:rsid w:val="007313D0"/>
    <w:rPr>
      <w:sz w:val="26"/>
    </w:rPr>
  </w:style>
  <w:style w:type="character" w:customStyle="1" w:styleId="fm-citation-ids-label1">
    <w:name w:val="fm-citation-ids-label1"/>
    <w:rsid w:val="007313D0"/>
    <w:rPr>
      <w:color w:val="333333"/>
    </w:rPr>
  </w:style>
  <w:style w:type="character" w:customStyle="1" w:styleId="citation-abbreviation2">
    <w:name w:val="citation-abbreviation2"/>
    <w:basedOn w:val="DefaultParagraphFont"/>
    <w:rsid w:val="007313D0"/>
  </w:style>
  <w:style w:type="character" w:customStyle="1" w:styleId="citation-publication-date">
    <w:name w:val="citation-publication-date"/>
    <w:basedOn w:val="DefaultParagraphFont"/>
    <w:rsid w:val="007313D0"/>
  </w:style>
  <w:style w:type="character" w:customStyle="1" w:styleId="citation-volume">
    <w:name w:val="citation-volume"/>
    <w:basedOn w:val="DefaultParagraphFont"/>
    <w:rsid w:val="007313D0"/>
  </w:style>
  <w:style w:type="character" w:customStyle="1" w:styleId="citation-issue">
    <w:name w:val="citation-issue"/>
    <w:basedOn w:val="DefaultParagraphFont"/>
    <w:rsid w:val="007313D0"/>
  </w:style>
  <w:style w:type="character" w:customStyle="1" w:styleId="citation-flpages">
    <w:name w:val="citation-flpages"/>
    <w:basedOn w:val="DefaultParagraphFont"/>
    <w:rsid w:val="007313D0"/>
  </w:style>
  <w:style w:type="paragraph" w:customStyle="1" w:styleId="Dr">
    <w:name w:val="Dr"/>
    <w:basedOn w:val="BodyText"/>
    <w:rsid w:val="007313D0"/>
    <w:pPr>
      <w:pBdr>
        <w:right w:val="single" w:sz="4" w:space="4" w:color="auto"/>
      </w:pBdr>
    </w:pPr>
  </w:style>
  <w:style w:type="paragraph" w:customStyle="1" w:styleId="Pa20">
    <w:name w:val="Pa20"/>
    <w:basedOn w:val="Default"/>
    <w:next w:val="Default"/>
    <w:rsid w:val="007313D0"/>
    <w:pPr>
      <w:spacing w:line="211" w:lineRule="atLeast"/>
    </w:pPr>
    <w:rPr>
      <w:rFonts w:ascii="GillSans" w:hAnsi="GillSans" w:cs="Times New Roman"/>
      <w:color w:val="auto"/>
    </w:rPr>
  </w:style>
  <w:style w:type="character" w:customStyle="1" w:styleId="A16">
    <w:name w:val="A16"/>
    <w:rsid w:val="007313D0"/>
    <w:rPr>
      <w:rFonts w:cs="GillSans"/>
      <w:color w:val="000000"/>
      <w:sz w:val="17"/>
      <w:szCs w:val="17"/>
    </w:rPr>
  </w:style>
  <w:style w:type="character" w:customStyle="1" w:styleId="ListBullet3Char">
    <w:name w:val="List Bullet 3 Char"/>
    <w:link w:val="ListBullet3"/>
    <w:rsid w:val="007313D0"/>
    <w:rPr>
      <w:sz w:val="26"/>
    </w:rPr>
  </w:style>
  <w:style w:type="character" w:customStyle="1" w:styleId="BoxHeading2Char">
    <w:name w:val="Box Heading 2 Char"/>
    <w:link w:val="BoxHeading2"/>
    <w:rsid w:val="007313D0"/>
    <w:rPr>
      <w:rFonts w:ascii="Arial" w:hAnsi="Arial"/>
      <w:i/>
      <w:sz w:val="22"/>
    </w:rPr>
  </w:style>
  <w:style w:type="character" w:styleId="Strong">
    <w:name w:val="Strong"/>
    <w:qFormat/>
    <w:rsid w:val="007313D0"/>
    <w:rPr>
      <w:b/>
      <w:bCs/>
    </w:rPr>
  </w:style>
  <w:style w:type="paragraph" w:customStyle="1" w:styleId="Responselevel1">
    <w:name w:val="Response (level 1)"/>
    <w:basedOn w:val="Normal"/>
    <w:semiHidden/>
    <w:rsid w:val="007313D0"/>
    <w:pPr>
      <w:keepLines/>
      <w:spacing w:before="240" w:after="60" w:line="300" w:lineRule="atLeast"/>
      <w:ind w:left="1287" w:hanging="360"/>
    </w:pPr>
    <w:rPr>
      <w:rFonts w:ascii="Gill Sans MT" w:hAnsi="Gill Sans MT"/>
      <w:sz w:val="32"/>
      <w:szCs w:val="32"/>
      <w:lang w:eastAsia="en-US"/>
    </w:rPr>
  </w:style>
  <w:style w:type="paragraph" w:customStyle="1" w:styleId="Actionitem">
    <w:name w:val="Action item"/>
    <w:basedOn w:val="BodyText"/>
    <w:link w:val="ActionitemChar"/>
    <w:rsid w:val="007313D0"/>
    <w:pPr>
      <w:spacing w:before="40" w:after="40" w:line="240" w:lineRule="auto"/>
      <w:ind w:left="340"/>
    </w:pPr>
    <w:rPr>
      <w:rFonts w:ascii="Arial" w:hAnsi="Arial"/>
      <w:b/>
    </w:rPr>
  </w:style>
  <w:style w:type="character" w:customStyle="1" w:styleId="ActionitemChar">
    <w:name w:val="Action item Char"/>
    <w:link w:val="Actionitem"/>
    <w:rsid w:val="007313D0"/>
    <w:rPr>
      <w:rFonts w:ascii="Arial" w:hAnsi="Arial"/>
      <w:b/>
      <w:sz w:val="26"/>
    </w:rPr>
  </w:style>
  <w:style w:type="paragraph" w:customStyle="1" w:styleId="Boxdotpoint">
    <w:name w:val="Box dot point"/>
    <w:basedOn w:val="Normal"/>
    <w:rsid w:val="007313D0"/>
    <w:pPr>
      <w:pBdr>
        <w:top w:val="single" w:sz="12" w:space="1" w:color="auto"/>
        <w:left w:val="single" w:sz="12" w:space="4" w:color="auto"/>
        <w:bottom w:val="single" w:sz="12" w:space="1" w:color="auto"/>
        <w:right w:val="single" w:sz="12" w:space="4" w:color="auto"/>
      </w:pBdr>
      <w:tabs>
        <w:tab w:val="num" w:pos="567"/>
      </w:tabs>
      <w:autoSpaceDE w:val="0"/>
      <w:autoSpaceDN w:val="0"/>
      <w:adjustRightInd w:val="0"/>
      <w:spacing w:before="40" w:after="60"/>
    </w:pPr>
    <w:rPr>
      <w:rFonts w:ascii="ArialMT" w:hAnsi="ArialMT" w:cs="ArialMT"/>
      <w:color w:val="000000"/>
      <w:sz w:val="22"/>
      <w:szCs w:val="22"/>
      <w:lang w:val="en-US" w:eastAsia="en-US"/>
    </w:rPr>
  </w:style>
  <w:style w:type="paragraph" w:customStyle="1" w:styleId="Text">
    <w:name w:val="Text"/>
    <w:basedOn w:val="Normal"/>
    <w:link w:val="TextChar"/>
    <w:rsid w:val="007313D0"/>
    <w:pPr>
      <w:autoSpaceDE w:val="0"/>
      <w:autoSpaceDN w:val="0"/>
      <w:adjustRightInd w:val="0"/>
      <w:spacing w:before="100" w:after="140"/>
    </w:pPr>
    <w:rPr>
      <w:szCs w:val="26"/>
      <w:lang w:val="en-US" w:eastAsia="en-US"/>
    </w:rPr>
  </w:style>
  <w:style w:type="character" w:customStyle="1" w:styleId="TextChar">
    <w:name w:val="Text Char"/>
    <w:link w:val="Text"/>
    <w:rsid w:val="007313D0"/>
    <w:rPr>
      <w:sz w:val="26"/>
      <w:szCs w:val="26"/>
      <w:lang w:val="en-US" w:eastAsia="en-US"/>
    </w:rPr>
  </w:style>
  <w:style w:type="character" w:customStyle="1" w:styleId="kapeness">
    <w:name w:val="kapeness"/>
    <w:semiHidden/>
    <w:rsid w:val="007313D0"/>
    <w:rPr>
      <w:rFonts w:ascii="Arial" w:hAnsi="Arial" w:cs="Arial"/>
      <w:color w:val="auto"/>
      <w:sz w:val="20"/>
      <w:szCs w:val="20"/>
    </w:rPr>
  </w:style>
  <w:style w:type="paragraph" w:styleId="EndnoteText">
    <w:name w:val="endnote text"/>
    <w:basedOn w:val="Normal"/>
    <w:link w:val="EndnoteTextChar"/>
    <w:rsid w:val="007313D0"/>
    <w:rPr>
      <w:sz w:val="20"/>
      <w:szCs w:val="20"/>
    </w:rPr>
  </w:style>
  <w:style w:type="character" w:customStyle="1" w:styleId="EndnoteTextChar">
    <w:name w:val="Endnote Text Char"/>
    <w:basedOn w:val="DefaultParagraphFont"/>
    <w:link w:val="EndnoteText"/>
    <w:rsid w:val="007313D0"/>
  </w:style>
  <w:style w:type="character" w:styleId="EndnoteReference">
    <w:name w:val="endnote reference"/>
    <w:rsid w:val="007313D0"/>
    <w:rPr>
      <w:vertAlign w:val="superscript"/>
    </w:rPr>
  </w:style>
  <w:style w:type="paragraph" w:customStyle="1" w:styleId="BulletedListLevel1">
    <w:name w:val="Bulleted List Level 1"/>
    <w:link w:val="BulletedListLevel1Char"/>
    <w:semiHidden/>
    <w:rsid w:val="007313D0"/>
    <w:pPr>
      <w:keepLines/>
      <w:numPr>
        <w:numId w:val="19"/>
      </w:numPr>
      <w:tabs>
        <w:tab w:val="left" w:pos="1134"/>
      </w:tabs>
      <w:spacing w:after="140" w:line="300" w:lineRule="atLeast"/>
    </w:pPr>
    <w:rPr>
      <w:rFonts w:ascii="Gill Sans MT" w:hAnsi="Gill Sans MT"/>
      <w:sz w:val="24"/>
      <w:szCs w:val="24"/>
      <w:lang w:eastAsia="en-US"/>
    </w:rPr>
  </w:style>
  <w:style w:type="character" w:customStyle="1" w:styleId="BulletedListLevel1Char">
    <w:name w:val="Bulleted List Level 1 Char"/>
    <w:link w:val="BulletedListLevel1"/>
    <w:semiHidden/>
    <w:rsid w:val="007313D0"/>
    <w:rPr>
      <w:rFonts w:ascii="Gill Sans MT" w:hAnsi="Gill Sans MT"/>
      <w:sz w:val="24"/>
      <w:szCs w:val="24"/>
      <w:lang w:eastAsia="en-US"/>
    </w:rPr>
  </w:style>
  <w:style w:type="paragraph" w:customStyle="1" w:styleId="TableFigText">
    <w:name w:val="Table/Fig: Text"/>
    <w:basedOn w:val="Normal"/>
    <w:link w:val="TableFigTextChar"/>
    <w:rsid w:val="007313D0"/>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7313D0"/>
    <w:rPr>
      <w:rFonts w:ascii="Arial" w:hAnsi="Arial"/>
      <w:color w:val="000000"/>
      <w:sz w:val="16"/>
      <w:lang w:eastAsia="en-US"/>
    </w:rPr>
  </w:style>
  <w:style w:type="table" w:styleId="Table3Deffects1">
    <w:name w:val="Table 3D effects 1"/>
    <w:basedOn w:val="TableNormal"/>
    <w:rsid w:val="007313D0"/>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7313D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313D0"/>
    <w:rPr>
      <w:rFonts w:ascii="Tahoma" w:hAnsi="Tahoma" w:cs="Tahoma"/>
      <w:shd w:val="clear" w:color="auto" w:fill="000080"/>
    </w:rPr>
  </w:style>
  <w:style w:type="paragraph" w:customStyle="1" w:styleId="Pa1">
    <w:name w:val="Pa1"/>
    <w:basedOn w:val="Normal"/>
    <w:next w:val="Normal"/>
    <w:rsid w:val="007313D0"/>
    <w:pPr>
      <w:autoSpaceDE w:val="0"/>
      <w:autoSpaceDN w:val="0"/>
      <w:adjustRightInd w:val="0"/>
      <w:spacing w:line="241" w:lineRule="atLeast"/>
    </w:pPr>
    <w:rPr>
      <w:rFonts w:ascii="Arial" w:hAnsi="Arial"/>
      <w:sz w:val="24"/>
    </w:rPr>
  </w:style>
  <w:style w:type="character" w:customStyle="1" w:styleId="BoxListNumberChar">
    <w:name w:val="Box List Number Char"/>
    <w:basedOn w:val="BoxChar"/>
    <w:link w:val="BoxListNumber"/>
    <w:rsid w:val="007313D0"/>
    <w:rPr>
      <w:rFonts w:ascii="Arial" w:hAnsi="Arial"/>
      <w:sz w:val="22"/>
    </w:rPr>
  </w:style>
  <w:style w:type="character" w:customStyle="1" w:styleId="BoxListNumber2Char">
    <w:name w:val="Box List Number 2 Char"/>
    <w:basedOn w:val="BoxListNumberChar"/>
    <w:link w:val="BoxListNumber2"/>
    <w:rsid w:val="007313D0"/>
    <w:rPr>
      <w:rFonts w:ascii="Arial" w:hAnsi="Arial"/>
      <w:sz w:val="22"/>
    </w:rPr>
  </w:style>
  <w:style w:type="paragraph" w:customStyle="1" w:styleId="indenta">
    <w:name w:val="indent(a)"/>
    <w:aliases w:val="a"/>
    <w:basedOn w:val="Normal"/>
    <w:rsid w:val="007313D0"/>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7313D0"/>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7313D0"/>
    <w:pPr>
      <w:keepLines/>
      <w:tabs>
        <w:tab w:val="left" w:pos="198"/>
      </w:tabs>
      <w:spacing w:before="60" w:after="60" w:line="200" w:lineRule="atLeast"/>
    </w:pPr>
    <w:rPr>
      <w:rFonts w:ascii="Arial" w:hAnsi="Arial"/>
      <w:i/>
      <w:color w:val="000000"/>
      <w:sz w:val="16"/>
      <w:szCs w:val="20"/>
      <w:lang w:eastAsia="en-US"/>
    </w:rPr>
  </w:style>
  <w:style w:type="paragraph" w:customStyle="1" w:styleId="AIHWbodytext">
    <w:name w:val="AIHW body text"/>
    <w:link w:val="AIHWbodytextChar"/>
    <w:rsid w:val="007313D0"/>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7313D0"/>
    <w:rPr>
      <w:rFonts w:ascii="Book Antiqua" w:hAnsi="Book Antiqua"/>
      <w:color w:val="000000"/>
      <w:sz w:val="22"/>
      <w:lang w:eastAsia="en-US"/>
    </w:rPr>
  </w:style>
  <w:style w:type="paragraph" w:styleId="BodyText2">
    <w:name w:val="Body Text 2"/>
    <w:basedOn w:val="Normal"/>
    <w:link w:val="BodyText2Char"/>
    <w:rsid w:val="007313D0"/>
    <w:pPr>
      <w:spacing w:after="120" w:line="480" w:lineRule="auto"/>
    </w:pPr>
  </w:style>
  <w:style w:type="character" w:customStyle="1" w:styleId="BodyText2Char">
    <w:name w:val="Body Text 2 Char"/>
    <w:basedOn w:val="DefaultParagraphFont"/>
    <w:link w:val="BodyText2"/>
    <w:rsid w:val="007313D0"/>
    <w:rPr>
      <w:sz w:val="26"/>
      <w:szCs w:val="24"/>
    </w:rPr>
  </w:style>
  <w:style w:type="paragraph" w:customStyle="1" w:styleId="TemplateBody">
    <w:name w:val="Template Body"/>
    <w:basedOn w:val="Normal"/>
    <w:rsid w:val="007313D0"/>
    <w:pPr>
      <w:spacing w:after="140"/>
    </w:pPr>
    <w:rPr>
      <w:rFonts w:ascii="Gill Sans MT" w:hAnsi="Gill Sans MT"/>
      <w:sz w:val="22"/>
      <w:szCs w:val="20"/>
      <w:lang w:eastAsia="en-US"/>
    </w:rPr>
  </w:style>
  <w:style w:type="character" w:customStyle="1" w:styleId="TableColumnHeadingChar">
    <w:name w:val="Table Column Heading Char"/>
    <w:link w:val="TableColumnHeading"/>
    <w:rsid w:val="007313D0"/>
    <w:rPr>
      <w:rFonts w:ascii="Arial" w:hAnsi="Arial"/>
      <w:i/>
    </w:rPr>
  </w:style>
  <w:style w:type="paragraph" w:customStyle="1" w:styleId="BoxSpaceAbove">
    <w:name w:val="Box Space Above"/>
    <w:basedOn w:val="BodyText"/>
    <w:rsid w:val="0024596C"/>
    <w:pPr>
      <w:keepNext/>
      <w:spacing w:before="360" w:line="80" w:lineRule="exact"/>
      <w:jc w:val="left"/>
    </w:pPr>
  </w:style>
  <w:style w:type="paragraph" w:customStyle="1" w:styleId="BoxSpaceBelow">
    <w:name w:val="Box Space Below"/>
    <w:basedOn w:val="Box"/>
    <w:rsid w:val="0024596C"/>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65529">
      <w:bodyDiv w:val="1"/>
      <w:marLeft w:val="0"/>
      <w:marRight w:val="0"/>
      <w:marTop w:val="0"/>
      <w:marBottom w:val="0"/>
      <w:divBdr>
        <w:top w:val="none" w:sz="0" w:space="0" w:color="auto"/>
        <w:left w:val="none" w:sz="0" w:space="0" w:color="auto"/>
        <w:bottom w:val="none" w:sz="0" w:space="0" w:color="auto"/>
        <w:right w:val="none" w:sz="0" w:space="0" w:color="auto"/>
      </w:divBdr>
    </w:div>
    <w:div w:id="264458787">
      <w:bodyDiv w:val="1"/>
      <w:marLeft w:val="0"/>
      <w:marRight w:val="0"/>
      <w:marTop w:val="0"/>
      <w:marBottom w:val="0"/>
      <w:divBdr>
        <w:top w:val="none" w:sz="0" w:space="0" w:color="auto"/>
        <w:left w:val="none" w:sz="0" w:space="0" w:color="auto"/>
        <w:bottom w:val="none" w:sz="0" w:space="0" w:color="auto"/>
        <w:right w:val="none" w:sz="0" w:space="0" w:color="auto"/>
      </w:divBdr>
    </w:div>
    <w:div w:id="331765934">
      <w:bodyDiv w:val="1"/>
      <w:marLeft w:val="0"/>
      <w:marRight w:val="0"/>
      <w:marTop w:val="0"/>
      <w:marBottom w:val="0"/>
      <w:divBdr>
        <w:top w:val="none" w:sz="0" w:space="0" w:color="auto"/>
        <w:left w:val="none" w:sz="0" w:space="0" w:color="auto"/>
        <w:bottom w:val="none" w:sz="0" w:space="0" w:color="auto"/>
        <w:right w:val="none" w:sz="0" w:space="0" w:color="auto"/>
      </w:divBdr>
    </w:div>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1003363648">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571117911">
      <w:bodyDiv w:val="1"/>
      <w:marLeft w:val="0"/>
      <w:marRight w:val="0"/>
      <w:marTop w:val="0"/>
      <w:marBottom w:val="0"/>
      <w:divBdr>
        <w:top w:val="none" w:sz="0" w:space="0" w:color="auto"/>
        <w:left w:val="none" w:sz="0" w:space="0" w:color="auto"/>
        <w:bottom w:val="none" w:sz="0" w:space="0" w:color="auto"/>
        <w:right w:val="none" w:sz="0" w:space="0" w:color="auto"/>
      </w:divBdr>
    </w:div>
    <w:div w:id="1602755878">
      <w:bodyDiv w:val="1"/>
      <w:marLeft w:val="0"/>
      <w:marRight w:val="0"/>
      <w:marTop w:val="0"/>
      <w:marBottom w:val="0"/>
      <w:divBdr>
        <w:top w:val="none" w:sz="0" w:space="0" w:color="auto"/>
        <w:left w:val="none" w:sz="0" w:space="0" w:color="auto"/>
        <w:bottom w:val="none" w:sz="0" w:space="0" w:color="auto"/>
        <w:right w:val="none" w:sz="0" w:space="0" w:color="auto"/>
      </w:divBdr>
    </w:div>
    <w:div w:id="1623612252">
      <w:bodyDiv w:val="1"/>
      <w:marLeft w:val="0"/>
      <w:marRight w:val="0"/>
      <w:marTop w:val="0"/>
      <w:marBottom w:val="0"/>
      <w:divBdr>
        <w:top w:val="none" w:sz="0" w:space="0" w:color="auto"/>
        <w:left w:val="none" w:sz="0" w:space="0" w:color="auto"/>
        <w:bottom w:val="none" w:sz="0" w:space="0" w:color="auto"/>
        <w:right w:val="none" w:sz="0" w:space="0" w:color="auto"/>
      </w:divBdr>
    </w:div>
    <w:div w:id="1739396402">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23387246">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AB9E6-82CE-41E6-B368-B0181CDD0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39</TotalTime>
  <Pages>23</Pages>
  <Words>6245</Words>
  <Characters>36361</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Indigenous Compendium 2014</vt:lpstr>
    </vt:vector>
  </TitlesOfParts>
  <Company>Productivity Commission</Company>
  <LinksUpToDate>false</LinksUpToDate>
  <CharactersWithSpaces>42521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2014</dc:title>
  <dc:subject>Report on Government Services 2014</dc:subject>
  <dc:creator>Steering Committee for the Review of Government Service Provision</dc:creator>
  <dc:description>18.</dc:description>
  <cp:lastModifiedBy>Frech, Tanya</cp:lastModifiedBy>
  <cp:revision>17</cp:revision>
  <cp:lastPrinted>2013-03-12T00:41:00Z</cp:lastPrinted>
  <dcterms:created xsi:type="dcterms:W3CDTF">2014-03-03T03:52:00Z</dcterms:created>
  <dcterms:modified xsi:type="dcterms:W3CDTF">2014-04-10T05:08:00Z</dcterms:modified>
</cp:coreProperties>
</file>