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DE74DF" w:rsidRDefault="006474AB" w:rsidP="006474AB">
      <w:pPr>
        <w:pStyle w:val="Chapter"/>
        <w:ind w:left="907" w:hanging="907"/>
        <w:rPr>
          <w:noProof/>
        </w:rPr>
      </w:pPr>
      <w:bookmarkStart w:id="0" w:name="_AppendixNotByChapter"/>
      <w:bookmarkStart w:id="1" w:name="ChapterNumber"/>
      <w:bookmarkEnd w:id="0"/>
      <w:r w:rsidRPr="00DE74DF">
        <w:rPr>
          <w:noProof/>
        </w:rPr>
        <w:t>G</w:t>
      </w:r>
      <w:bookmarkEnd w:id="1"/>
      <w:r w:rsidRPr="00DE74DF">
        <w:rPr>
          <w:noProof/>
        </w:rPr>
        <w:tab/>
      </w:r>
      <w:bookmarkStart w:id="2" w:name="ChapterTitle"/>
      <w:r w:rsidRPr="00DE74DF">
        <w:rPr>
          <w:noProof/>
        </w:rPr>
        <w:t>Housing and homelessness sector overview</w:t>
      </w:r>
      <w:bookmarkStart w:id="3" w:name="_GoBack"/>
      <w:bookmarkEnd w:id="2"/>
      <w:bookmarkEnd w:id="3"/>
    </w:p>
    <w:p w:rsidR="005E5169" w:rsidRPr="00AD03A2" w:rsidRDefault="005E5169" w:rsidP="005E5169">
      <w:pPr>
        <w:pStyle w:val="TOC1"/>
      </w:pPr>
      <w:r w:rsidRPr="00AD03A2">
        <w:t>CONTENTs</w:t>
      </w:r>
    </w:p>
    <w:p w:rsidR="007F1A1C" w:rsidRPr="000D6D4B" w:rsidRDefault="007F1A1C">
      <w:pPr>
        <w:pStyle w:val="TOC3"/>
        <w:rPr>
          <w:rStyle w:val="Hyperlink"/>
          <w:b/>
          <w:color w:val="auto"/>
        </w:rPr>
      </w:pPr>
      <w:r w:rsidRPr="006976CB">
        <w:rPr>
          <w:b/>
          <w:noProof/>
        </w:rPr>
        <w:t>Indigenous data in the Housing and homelessness sector overview</w:t>
      </w:r>
      <w:r w:rsidRPr="006976CB">
        <w:rPr>
          <w:b/>
          <w:webHidden/>
        </w:rPr>
        <w:tab/>
      </w:r>
      <w:proofErr w:type="spellStart"/>
      <w:r w:rsidR="00EF02C4" w:rsidRPr="006976CB">
        <w:rPr>
          <w:b/>
          <w:webHidden/>
        </w:rPr>
        <w:t>G.</w:t>
      </w:r>
      <w:r w:rsidRPr="006976CB">
        <w:rPr>
          <w:b/>
          <w:webHidden/>
        </w:rPr>
        <w:t>2</w:t>
      </w:r>
      <w:proofErr w:type="spellEnd"/>
    </w:p>
    <w:p w:rsidR="007F1A1C" w:rsidRPr="000D6D4B" w:rsidRDefault="007F1A1C">
      <w:pPr>
        <w:pStyle w:val="TOC3"/>
        <w:rPr>
          <w:rStyle w:val="Hyperlink"/>
          <w:b/>
          <w:color w:val="auto"/>
        </w:rPr>
      </w:pPr>
      <w:r w:rsidRPr="006976CB">
        <w:rPr>
          <w:b/>
          <w:noProof/>
        </w:rPr>
        <w:t>Sector scope</w:t>
      </w:r>
      <w:r w:rsidRPr="006976CB">
        <w:rPr>
          <w:b/>
          <w:webHidden/>
        </w:rPr>
        <w:tab/>
      </w:r>
      <w:proofErr w:type="spellStart"/>
      <w:r w:rsidR="008949B1" w:rsidRPr="006976CB">
        <w:rPr>
          <w:b/>
          <w:webHidden/>
        </w:rPr>
        <w:t>G.</w:t>
      </w:r>
      <w:r w:rsidRPr="006976CB">
        <w:rPr>
          <w:b/>
          <w:webHidden/>
        </w:rPr>
        <w:t>3</w:t>
      </w:r>
      <w:proofErr w:type="spellEnd"/>
    </w:p>
    <w:p w:rsidR="007F1A1C" w:rsidRPr="000D6D4B" w:rsidRDefault="007F1A1C">
      <w:pPr>
        <w:pStyle w:val="TOC3"/>
        <w:rPr>
          <w:rStyle w:val="Hyperlink"/>
          <w:b/>
          <w:color w:val="auto"/>
        </w:rPr>
      </w:pPr>
      <w:r w:rsidRPr="006976CB">
        <w:rPr>
          <w:b/>
          <w:noProof/>
        </w:rPr>
        <w:t>Profile of the housing and homelessness sector</w:t>
      </w:r>
      <w:r w:rsidRPr="006976CB">
        <w:rPr>
          <w:b/>
          <w:webHidden/>
        </w:rPr>
        <w:tab/>
      </w:r>
      <w:proofErr w:type="spellStart"/>
      <w:r w:rsidR="008949B1" w:rsidRPr="006976CB">
        <w:rPr>
          <w:b/>
          <w:webHidden/>
        </w:rPr>
        <w:t>G.</w:t>
      </w:r>
      <w:r w:rsidRPr="006976CB">
        <w:rPr>
          <w:b/>
          <w:webHidden/>
        </w:rPr>
        <w:t>5</w:t>
      </w:r>
      <w:proofErr w:type="spellEnd"/>
    </w:p>
    <w:p w:rsidR="007F1A1C" w:rsidRPr="000D6D4B" w:rsidRDefault="007F1A1C">
      <w:pPr>
        <w:pStyle w:val="TOC3"/>
        <w:rPr>
          <w:rStyle w:val="Hyperlink"/>
          <w:b/>
          <w:color w:val="auto"/>
        </w:rPr>
      </w:pPr>
      <w:r w:rsidRPr="006976CB">
        <w:rPr>
          <w:b/>
          <w:noProof/>
        </w:rPr>
        <w:t>Government funding and expenditure</w:t>
      </w:r>
      <w:r w:rsidRPr="006976CB">
        <w:rPr>
          <w:b/>
          <w:webHidden/>
        </w:rPr>
        <w:tab/>
      </w:r>
      <w:proofErr w:type="spellStart"/>
      <w:r w:rsidR="008949B1" w:rsidRPr="006976CB">
        <w:rPr>
          <w:b/>
          <w:webHidden/>
        </w:rPr>
        <w:t>G.</w:t>
      </w:r>
      <w:r w:rsidRPr="006976CB">
        <w:rPr>
          <w:b/>
          <w:webHidden/>
        </w:rPr>
        <w:t>5</w:t>
      </w:r>
      <w:proofErr w:type="spellEnd"/>
    </w:p>
    <w:p w:rsidR="007F1A1C" w:rsidRPr="000D6D4B" w:rsidRDefault="007F1A1C">
      <w:pPr>
        <w:pStyle w:val="TOC3"/>
        <w:rPr>
          <w:rStyle w:val="Hyperlink"/>
          <w:b/>
          <w:color w:val="auto"/>
        </w:rPr>
      </w:pPr>
      <w:r w:rsidRPr="006976CB">
        <w:rPr>
          <w:b/>
          <w:noProof/>
        </w:rPr>
        <w:t>Commonwealth Rent Assistance</w:t>
      </w:r>
      <w:r w:rsidRPr="006976CB">
        <w:rPr>
          <w:b/>
          <w:webHidden/>
        </w:rPr>
        <w:tab/>
      </w:r>
      <w:proofErr w:type="spellStart"/>
      <w:r w:rsidR="008949B1" w:rsidRPr="006976CB">
        <w:rPr>
          <w:b/>
          <w:webHidden/>
        </w:rPr>
        <w:t>G.</w:t>
      </w:r>
      <w:r w:rsidRPr="006976CB">
        <w:rPr>
          <w:b/>
          <w:webHidden/>
        </w:rPr>
        <w:t>6</w:t>
      </w:r>
      <w:proofErr w:type="spellEnd"/>
    </w:p>
    <w:p w:rsidR="007F1A1C" w:rsidRPr="000D6D4B" w:rsidRDefault="007F1A1C">
      <w:pPr>
        <w:pStyle w:val="TOC3"/>
        <w:rPr>
          <w:rStyle w:val="Hyperlink"/>
          <w:b/>
          <w:color w:val="auto"/>
        </w:rPr>
      </w:pPr>
      <w:r w:rsidRPr="006976CB">
        <w:rPr>
          <w:b/>
          <w:noProof/>
        </w:rPr>
        <w:t>Social and economic factors affecting demand for services</w:t>
      </w:r>
      <w:r w:rsidRPr="006976CB">
        <w:rPr>
          <w:b/>
          <w:webHidden/>
        </w:rPr>
        <w:tab/>
      </w:r>
      <w:proofErr w:type="spellStart"/>
      <w:r w:rsidR="008949B1" w:rsidRPr="006976CB">
        <w:rPr>
          <w:b/>
          <w:webHidden/>
        </w:rPr>
        <w:t>G.</w:t>
      </w:r>
      <w:r w:rsidRPr="006976CB">
        <w:rPr>
          <w:b/>
          <w:webHidden/>
        </w:rPr>
        <w:t>7</w:t>
      </w:r>
      <w:proofErr w:type="spellEnd"/>
    </w:p>
    <w:p w:rsidR="007F1A1C" w:rsidRPr="000D6D4B" w:rsidRDefault="007F1A1C">
      <w:pPr>
        <w:pStyle w:val="TOC3"/>
        <w:rPr>
          <w:rFonts w:asciiTheme="minorHAnsi" w:eastAsiaTheme="minorEastAsia" w:hAnsiTheme="minorHAnsi" w:cstheme="minorBidi"/>
          <w:b/>
          <w:noProof/>
          <w:sz w:val="22"/>
          <w:szCs w:val="22"/>
        </w:rPr>
      </w:pPr>
      <w:r w:rsidRPr="006976CB">
        <w:rPr>
          <w:b/>
          <w:noProof/>
        </w:rPr>
        <w:t>Service-sector objectives</w:t>
      </w:r>
      <w:r w:rsidRPr="006976CB">
        <w:rPr>
          <w:b/>
          <w:webHidden/>
        </w:rPr>
        <w:tab/>
      </w:r>
      <w:proofErr w:type="spellStart"/>
      <w:r w:rsidR="008949B1" w:rsidRPr="006976CB">
        <w:rPr>
          <w:b/>
          <w:webHidden/>
        </w:rPr>
        <w:t>G.</w:t>
      </w:r>
      <w:r w:rsidRPr="006976CB">
        <w:rPr>
          <w:b/>
          <w:webHidden/>
        </w:rPr>
        <w:t>7</w:t>
      </w:r>
      <w:proofErr w:type="spellEnd"/>
    </w:p>
    <w:p w:rsidR="007F1A1C" w:rsidRPr="000D6D4B" w:rsidRDefault="007F1A1C">
      <w:pPr>
        <w:pStyle w:val="TOC3"/>
        <w:rPr>
          <w:rFonts w:asciiTheme="minorHAnsi" w:eastAsiaTheme="minorEastAsia" w:hAnsiTheme="minorHAnsi" w:cstheme="minorBidi"/>
          <w:b/>
          <w:noProof/>
          <w:sz w:val="22"/>
          <w:szCs w:val="22"/>
        </w:rPr>
      </w:pPr>
      <w:r w:rsidRPr="006976CB">
        <w:rPr>
          <w:b/>
          <w:noProof/>
        </w:rPr>
        <w:t>Sector performance indicator framework</w:t>
      </w:r>
      <w:r w:rsidRPr="000D6D4B">
        <w:rPr>
          <w:b/>
          <w:noProof/>
          <w:webHidden/>
        </w:rPr>
        <w:tab/>
      </w:r>
      <w:r w:rsidR="008949B1" w:rsidRPr="008949B1">
        <w:rPr>
          <w:b/>
          <w:noProof/>
          <w:webHidden/>
        </w:rPr>
        <w:t>G.</w:t>
      </w:r>
      <w:r w:rsidRPr="000D6D4B">
        <w:rPr>
          <w:b/>
          <w:noProof/>
          <w:webHidden/>
        </w:rPr>
        <w:t>8</w:t>
      </w:r>
    </w:p>
    <w:p w:rsidR="007F1A1C" w:rsidRPr="000D6D4B" w:rsidRDefault="007F1A1C">
      <w:pPr>
        <w:pStyle w:val="TOC3"/>
        <w:rPr>
          <w:rFonts w:asciiTheme="minorHAnsi" w:eastAsiaTheme="minorEastAsia" w:hAnsiTheme="minorHAnsi" w:cstheme="minorBidi"/>
          <w:b/>
          <w:noProof/>
          <w:sz w:val="22"/>
          <w:szCs w:val="22"/>
        </w:rPr>
      </w:pPr>
      <w:r w:rsidRPr="006976CB">
        <w:rPr>
          <w:b/>
          <w:noProof/>
        </w:rPr>
        <w:t>Sector-wide indicators</w:t>
      </w:r>
      <w:r w:rsidRPr="000D6D4B">
        <w:rPr>
          <w:b/>
          <w:noProof/>
          <w:webHidden/>
        </w:rPr>
        <w:tab/>
      </w:r>
      <w:r w:rsidR="008949B1" w:rsidRPr="008949B1">
        <w:rPr>
          <w:b/>
          <w:noProof/>
          <w:webHidden/>
        </w:rPr>
        <w:t>G.</w:t>
      </w:r>
      <w:r w:rsidRPr="000D6D4B">
        <w:rPr>
          <w:b/>
          <w:noProof/>
          <w:webHidden/>
        </w:rPr>
        <w:t>10</w:t>
      </w:r>
    </w:p>
    <w:p w:rsidR="007F1A1C" w:rsidRPr="000D6D4B" w:rsidRDefault="007F1A1C">
      <w:pPr>
        <w:pStyle w:val="TOC4"/>
        <w:rPr>
          <w:rFonts w:asciiTheme="minorHAnsi" w:eastAsiaTheme="minorEastAsia" w:hAnsiTheme="minorHAnsi" w:cstheme="minorBidi"/>
          <w:b/>
          <w:noProof/>
          <w:sz w:val="22"/>
          <w:szCs w:val="22"/>
        </w:rPr>
      </w:pPr>
      <w:r w:rsidRPr="006976CB">
        <w:rPr>
          <w:b/>
          <w:noProof/>
        </w:rPr>
        <w:t>Appropriateness of Indigenous housing</w:t>
      </w:r>
      <w:r w:rsidRPr="000D6D4B">
        <w:rPr>
          <w:b/>
          <w:noProof/>
          <w:webHidden/>
        </w:rPr>
        <w:tab/>
      </w:r>
      <w:r w:rsidR="008949B1" w:rsidRPr="008949B1">
        <w:rPr>
          <w:b/>
          <w:noProof/>
          <w:webHidden/>
        </w:rPr>
        <w:t>G.</w:t>
      </w:r>
      <w:r w:rsidRPr="000D6D4B">
        <w:rPr>
          <w:b/>
          <w:noProof/>
          <w:webHidden/>
        </w:rPr>
        <w:t>10</w:t>
      </w:r>
    </w:p>
    <w:p w:rsidR="007F1A1C" w:rsidRPr="000D6D4B" w:rsidRDefault="007F1A1C">
      <w:pPr>
        <w:pStyle w:val="TOC3"/>
        <w:rPr>
          <w:rFonts w:asciiTheme="minorHAnsi" w:eastAsiaTheme="minorEastAsia" w:hAnsiTheme="minorHAnsi" w:cstheme="minorBidi"/>
          <w:b/>
          <w:noProof/>
          <w:sz w:val="22"/>
          <w:szCs w:val="22"/>
        </w:rPr>
      </w:pPr>
      <w:r w:rsidRPr="006976CB">
        <w:rPr>
          <w:b/>
          <w:noProof/>
        </w:rPr>
        <w:t>Service-specific performance indicator frameworks</w:t>
      </w:r>
      <w:r w:rsidRPr="000D6D4B">
        <w:rPr>
          <w:b/>
          <w:noProof/>
          <w:webHidden/>
        </w:rPr>
        <w:tab/>
      </w:r>
      <w:r w:rsidR="008949B1" w:rsidRPr="008949B1">
        <w:rPr>
          <w:b/>
          <w:noProof/>
          <w:webHidden/>
        </w:rPr>
        <w:t>G.</w:t>
      </w:r>
      <w:r w:rsidRPr="000D6D4B">
        <w:rPr>
          <w:b/>
          <w:noProof/>
          <w:webHidden/>
        </w:rPr>
        <w:t>13</w:t>
      </w:r>
    </w:p>
    <w:p w:rsidR="007F1A1C" w:rsidRPr="000D6D4B" w:rsidRDefault="007F1A1C">
      <w:pPr>
        <w:pStyle w:val="TOC3"/>
        <w:rPr>
          <w:rFonts w:asciiTheme="minorHAnsi" w:eastAsiaTheme="minorEastAsia" w:hAnsiTheme="minorHAnsi" w:cstheme="minorBidi"/>
          <w:b/>
          <w:noProof/>
          <w:sz w:val="22"/>
          <w:szCs w:val="22"/>
        </w:rPr>
      </w:pPr>
      <w:r w:rsidRPr="006976CB">
        <w:rPr>
          <w:b/>
          <w:noProof/>
        </w:rPr>
        <w:t>List of attachment tables</w:t>
      </w:r>
      <w:r w:rsidRPr="000D6D4B">
        <w:rPr>
          <w:b/>
          <w:noProof/>
          <w:webHidden/>
        </w:rPr>
        <w:tab/>
      </w:r>
      <w:r w:rsidR="008949B1" w:rsidRPr="008949B1">
        <w:rPr>
          <w:b/>
          <w:noProof/>
          <w:webHidden/>
        </w:rPr>
        <w:t>G.</w:t>
      </w:r>
      <w:r w:rsidRPr="000D6D4B">
        <w:rPr>
          <w:b/>
          <w:noProof/>
          <w:webHidden/>
        </w:rPr>
        <w:t>14</w:t>
      </w:r>
    </w:p>
    <w:p w:rsidR="007F1A1C" w:rsidRPr="000D6D4B" w:rsidRDefault="007F1A1C">
      <w:pPr>
        <w:pStyle w:val="TOC3"/>
        <w:rPr>
          <w:rFonts w:asciiTheme="minorHAnsi" w:eastAsiaTheme="minorEastAsia" w:hAnsiTheme="minorHAnsi" w:cstheme="minorBidi"/>
          <w:b/>
          <w:noProof/>
          <w:sz w:val="22"/>
          <w:szCs w:val="22"/>
        </w:rPr>
      </w:pPr>
      <w:r w:rsidRPr="006976CB">
        <w:rPr>
          <w:b/>
          <w:noProof/>
        </w:rPr>
        <w:t>Definitions of key terms</w:t>
      </w:r>
      <w:r w:rsidRPr="000D6D4B">
        <w:rPr>
          <w:b/>
          <w:noProof/>
          <w:webHidden/>
        </w:rPr>
        <w:tab/>
      </w:r>
      <w:r w:rsidR="008949B1" w:rsidRPr="008949B1">
        <w:rPr>
          <w:b/>
          <w:noProof/>
          <w:webHidden/>
        </w:rPr>
        <w:t>G.</w:t>
      </w:r>
      <w:r w:rsidRPr="000D6D4B">
        <w:rPr>
          <w:b/>
          <w:noProof/>
          <w:webHidden/>
        </w:rPr>
        <w:t>15</w:t>
      </w:r>
    </w:p>
    <w:p w:rsidR="007F1A1C" w:rsidRPr="000D6D4B" w:rsidRDefault="007F1A1C">
      <w:pPr>
        <w:pStyle w:val="TOC2"/>
        <w:rPr>
          <w:rFonts w:asciiTheme="minorHAnsi" w:eastAsiaTheme="minorEastAsia" w:hAnsiTheme="minorHAnsi" w:cstheme="minorBidi"/>
          <w:noProof/>
          <w:sz w:val="22"/>
          <w:szCs w:val="22"/>
        </w:rPr>
      </w:pPr>
      <w:r w:rsidRPr="006976CB">
        <w:rPr>
          <w:noProof/>
        </w:rPr>
        <w:t>Appendix – Private housing market contextual information</w:t>
      </w:r>
      <w:r w:rsidRPr="000D6D4B">
        <w:rPr>
          <w:noProof/>
          <w:webHidden/>
        </w:rPr>
        <w:tab/>
      </w:r>
      <w:r w:rsidR="008949B1" w:rsidRPr="008949B1">
        <w:rPr>
          <w:noProof/>
          <w:webHidden/>
        </w:rPr>
        <w:t>G.</w:t>
      </w:r>
      <w:r w:rsidRPr="000D6D4B">
        <w:rPr>
          <w:noProof/>
          <w:webHidden/>
        </w:rPr>
        <w:t>17</w:t>
      </w:r>
    </w:p>
    <w:p w:rsidR="007F1A1C" w:rsidRPr="000D6D4B" w:rsidRDefault="007F1A1C">
      <w:pPr>
        <w:pStyle w:val="TOC3"/>
        <w:rPr>
          <w:rFonts w:asciiTheme="minorHAnsi" w:eastAsiaTheme="minorEastAsia" w:hAnsiTheme="minorHAnsi" w:cstheme="minorBidi"/>
          <w:b/>
          <w:noProof/>
          <w:sz w:val="22"/>
          <w:szCs w:val="22"/>
        </w:rPr>
      </w:pPr>
      <w:r w:rsidRPr="006976CB">
        <w:rPr>
          <w:b/>
          <w:noProof/>
        </w:rPr>
        <w:t>Housing market demand, supply and affordability</w:t>
      </w:r>
      <w:r w:rsidRPr="000D6D4B">
        <w:rPr>
          <w:b/>
          <w:noProof/>
          <w:webHidden/>
        </w:rPr>
        <w:tab/>
      </w:r>
      <w:r w:rsidR="008949B1" w:rsidRPr="008949B1">
        <w:rPr>
          <w:b/>
          <w:noProof/>
          <w:webHidden/>
        </w:rPr>
        <w:t>G.</w:t>
      </w:r>
      <w:r w:rsidRPr="000D6D4B">
        <w:rPr>
          <w:b/>
          <w:noProof/>
          <w:webHidden/>
        </w:rPr>
        <w:t>17</w:t>
      </w:r>
    </w:p>
    <w:p w:rsidR="007F1A1C" w:rsidRPr="000D6D4B" w:rsidRDefault="007F1A1C">
      <w:pPr>
        <w:pStyle w:val="TOC4"/>
        <w:rPr>
          <w:rFonts w:asciiTheme="minorHAnsi" w:eastAsiaTheme="minorEastAsia" w:hAnsiTheme="minorHAnsi" w:cstheme="minorBidi"/>
          <w:b/>
          <w:noProof/>
          <w:sz w:val="22"/>
          <w:szCs w:val="22"/>
        </w:rPr>
      </w:pPr>
      <w:r w:rsidRPr="006976CB">
        <w:rPr>
          <w:b/>
          <w:noProof/>
        </w:rPr>
        <w:t>Housing affordability</w:t>
      </w:r>
      <w:r w:rsidRPr="000D6D4B">
        <w:rPr>
          <w:b/>
          <w:noProof/>
          <w:webHidden/>
        </w:rPr>
        <w:tab/>
      </w:r>
      <w:r w:rsidR="008949B1" w:rsidRPr="008949B1">
        <w:rPr>
          <w:b/>
          <w:noProof/>
          <w:webHidden/>
        </w:rPr>
        <w:t>G.</w:t>
      </w:r>
      <w:r w:rsidRPr="000D6D4B">
        <w:rPr>
          <w:b/>
          <w:noProof/>
          <w:webHidden/>
        </w:rPr>
        <w:t>17</w:t>
      </w:r>
    </w:p>
    <w:p w:rsidR="007F1A1C" w:rsidRPr="000D6D4B" w:rsidRDefault="007F1A1C">
      <w:pPr>
        <w:pStyle w:val="TOC2"/>
        <w:rPr>
          <w:rFonts w:asciiTheme="minorHAnsi" w:eastAsiaTheme="minorEastAsia" w:hAnsiTheme="minorHAnsi" w:cstheme="minorBidi"/>
          <w:noProof/>
          <w:sz w:val="22"/>
          <w:szCs w:val="22"/>
        </w:rPr>
      </w:pPr>
      <w:r w:rsidRPr="006976CB">
        <w:rPr>
          <w:noProof/>
        </w:rPr>
        <w:t>References</w:t>
      </w:r>
      <w:r w:rsidRPr="000D6D4B">
        <w:rPr>
          <w:noProof/>
          <w:webHidden/>
        </w:rPr>
        <w:tab/>
      </w:r>
      <w:r w:rsidR="008949B1" w:rsidRPr="008949B1">
        <w:rPr>
          <w:noProof/>
          <w:webHidden/>
        </w:rPr>
        <w:t>G.</w:t>
      </w:r>
      <w:r w:rsidRPr="000D6D4B">
        <w:rPr>
          <w:noProof/>
          <w:webHidden/>
        </w:rPr>
        <w:t>19</w:t>
      </w:r>
    </w:p>
    <w:p w:rsidR="00B949D4" w:rsidRPr="00DE74DF" w:rsidRDefault="00B949D4" w:rsidP="002E779A">
      <w:pPr>
        <w:pStyle w:val="TOC2"/>
        <w:rPr>
          <w:b w:val="0"/>
          <w:caps/>
          <w:highlight w:val="yellow"/>
        </w:rPr>
      </w:pPr>
      <w:bookmarkStart w:id="4" w:name="_Toc346613412"/>
      <w:bookmarkEnd w:id="4"/>
    </w:p>
    <w:p w:rsidR="0038168D" w:rsidRPr="00DE74DF" w:rsidRDefault="0038168D" w:rsidP="0038168D">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8168D" w:rsidRPr="00DE74DF" w:rsidTr="005E00A4">
        <w:tc>
          <w:tcPr>
            <w:tcW w:w="8771" w:type="dxa"/>
            <w:tcBorders>
              <w:top w:val="single" w:sz="6" w:space="0" w:color="auto"/>
              <w:bottom w:val="nil"/>
            </w:tcBorders>
            <w:shd w:val="clear" w:color="auto" w:fill="E0E0E0"/>
          </w:tcPr>
          <w:p w:rsidR="0038168D" w:rsidRPr="00DE74DF" w:rsidRDefault="0038168D" w:rsidP="005E00A4">
            <w:pPr>
              <w:keepNext/>
              <w:keepLines/>
              <w:spacing w:before="120" w:line="280" w:lineRule="exact"/>
              <w:ind w:left="1304" w:hanging="1304"/>
              <w:rPr>
                <w:rFonts w:ascii="Arial" w:hAnsi="Arial"/>
                <w:b/>
              </w:rPr>
            </w:pPr>
            <w:r w:rsidRPr="00DE74DF">
              <w:rPr>
                <w:rFonts w:ascii="Arial" w:hAnsi="Arial"/>
                <w:b/>
              </w:rPr>
              <w:t>Attachment tables</w:t>
            </w:r>
          </w:p>
        </w:tc>
      </w:tr>
      <w:tr w:rsidR="0038168D" w:rsidRPr="00DE74DF" w:rsidTr="005E00A4">
        <w:trPr>
          <w:cantSplit/>
        </w:trPr>
        <w:tc>
          <w:tcPr>
            <w:tcW w:w="8771" w:type="dxa"/>
            <w:tcBorders>
              <w:top w:val="nil"/>
              <w:left w:val="single" w:sz="6" w:space="0" w:color="auto"/>
              <w:bottom w:val="nil"/>
              <w:right w:val="single" w:sz="6" w:space="0" w:color="auto"/>
            </w:tcBorders>
            <w:shd w:val="clear" w:color="auto" w:fill="E0E0E0"/>
          </w:tcPr>
          <w:p w:rsidR="0038168D" w:rsidRPr="00DE74DF" w:rsidRDefault="0038168D" w:rsidP="006474AB">
            <w:pPr>
              <w:pStyle w:val="Box"/>
            </w:pPr>
            <w:r w:rsidRPr="00DE74DF">
              <w:t>Attachment tables are identified in references throughout this Indigenous Compendium by an ‘A’ prefix (for example, in this sector overview, table GA.1). As the data are directly sourced from the 201</w:t>
            </w:r>
            <w:r w:rsidR="006474AB" w:rsidRPr="00DE74DF">
              <w:t>4</w:t>
            </w:r>
            <w:r w:rsidRPr="00DE74DF">
              <w:t xml:space="preserve"> Report, the Compendium also notes where the original table, figure or text in the 201</w:t>
            </w:r>
            <w:r w:rsidR="006474AB" w:rsidRPr="00DE74DF">
              <w:t>4</w:t>
            </w:r>
            <w:r w:rsidRPr="00DE74DF">
              <w:t xml:space="preserve"> Report can be found. For example, where the Compendium refers to ‘201</w:t>
            </w:r>
            <w:r w:rsidR="006474AB" w:rsidRPr="00DE74DF">
              <w:t>4</w:t>
            </w:r>
            <w:r w:rsidRPr="00DE74DF">
              <w:t xml:space="preserve"> Report, p. G.1’, this is page 1 of the Housing and homelessness services sector overview of the 201</w:t>
            </w:r>
            <w:r w:rsidR="006474AB" w:rsidRPr="00DE74DF">
              <w:t>4</w:t>
            </w:r>
            <w:r w:rsidRPr="00DE74DF">
              <w:t xml:space="preserve"> Report, and ‘201</w:t>
            </w:r>
            <w:r w:rsidR="006474AB" w:rsidRPr="00DE74DF">
              <w:t>4</w:t>
            </w:r>
            <w:r w:rsidRPr="00DE74DF">
              <w:t xml:space="preserve"> Report, </w:t>
            </w:r>
            <w:r w:rsidRPr="00DE74DF">
              <w:br/>
              <w:t xml:space="preserve">table GA.1’ is table 1 of attachment </w:t>
            </w:r>
            <w:r w:rsidR="00FE309E" w:rsidRPr="00DE74DF">
              <w:t>GA of the 201</w:t>
            </w:r>
            <w:r w:rsidR="006474AB" w:rsidRPr="00DE74DF">
              <w:t>4</w:t>
            </w:r>
            <w:r w:rsidR="00FE309E" w:rsidRPr="00DE74DF">
              <w:t xml:space="preserve"> Report. A </w:t>
            </w:r>
            <w:r w:rsidRPr="00DE74DF">
              <w:t xml:space="preserve">list of attachment tables referred to in the Compendium is provided at the end of this chapter, and the </w:t>
            </w:r>
            <w:r w:rsidR="00FE309E" w:rsidRPr="00DE74DF">
              <w:t xml:space="preserve">full </w:t>
            </w:r>
            <w:r w:rsidRPr="00DE74DF">
              <w:t>attachment tables are available from the Review website at www.pc.gov.au/gsp.</w:t>
            </w:r>
          </w:p>
        </w:tc>
      </w:tr>
      <w:tr w:rsidR="0038168D" w:rsidRPr="00DE74DF" w:rsidTr="005E00A4">
        <w:trPr>
          <w:cantSplit/>
        </w:trPr>
        <w:tc>
          <w:tcPr>
            <w:tcW w:w="8771" w:type="dxa"/>
            <w:tcBorders>
              <w:top w:val="nil"/>
              <w:left w:val="single" w:sz="6" w:space="0" w:color="auto"/>
              <w:bottom w:val="single" w:sz="6" w:space="0" w:color="auto"/>
              <w:right w:val="single" w:sz="6" w:space="0" w:color="auto"/>
            </w:tcBorders>
            <w:shd w:val="clear" w:color="auto" w:fill="E0E0E0"/>
          </w:tcPr>
          <w:p w:rsidR="0038168D" w:rsidRPr="00DE74DF" w:rsidRDefault="0038168D" w:rsidP="005E00A4">
            <w:pPr>
              <w:keepNext/>
              <w:spacing w:line="120" w:lineRule="exact"/>
              <w:jc w:val="both"/>
              <w:rPr>
                <w:rFonts w:ascii="Arial" w:hAnsi="Arial"/>
                <w:sz w:val="22"/>
                <w:szCs w:val="20"/>
              </w:rPr>
            </w:pPr>
          </w:p>
        </w:tc>
      </w:tr>
      <w:tr w:rsidR="0038168D" w:rsidRPr="00DE74DF" w:rsidTr="005E00A4">
        <w:tc>
          <w:tcPr>
            <w:tcW w:w="8771" w:type="dxa"/>
            <w:tcBorders>
              <w:top w:val="nil"/>
              <w:left w:val="nil"/>
              <w:bottom w:val="nil"/>
              <w:right w:val="nil"/>
            </w:tcBorders>
          </w:tcPr>
          <w:p w:rsidR="0038168D" w:rsidRPr="00DE74DF" w:rsidRDefault="0038168D" w:rsidP="005E00A4">
            <w:pPr>
              <w:spacing w:before="60" w:after="60" w:line="80" w:lineRule="exact"/>
              <w:jc w:val="both"/>
              <w:rPr>
                <w:rFonts w:ascii="Arial" w:hAnsi="Arial"/>
                <w:b/>
                <w:color w:val="FF00FF"/>
                <w:sz w:val="14"/>
                <w:szCs w:val="20"/>
              </w:rPr>
            </w:pPr>
          </w:p>
        </w:tc>
      </w:tr>
    </w:tbl>
    <w:p w:rsidR="00BD01F9" w:rsidRPr="00B616E3" w:rsidRDefault="00BD01F9" w:rsidP="00BD01F9">
      <w:pPr>
        <w:pStyle w:val="BodyText"/>
      </w:pPr>
      <w:r w:rsidRPr="00B616E3">
        <w:t xml:space="preserve">The Housing and homelessness services sector </w:t>
      </w:r>
      <w:r w:rsidR="007969D3" w:rsidRPr="00B616E3">
        <w:t>overview</w:t>
      </w:r>
      <w:r w:rsidRPr="00B616E3">
        <w:t xml:space="preserve"> in the </w:t>
      </w:r>
      <w:r w:rsidRPr="00B616E3">
        <w:rPr>
          <w:i/>
        </w:rPr>
        <w:t>Report on Government Services 201</w:t>
      </w:r>
      <w:r w:rsidR="00A31A81" w:rsidRPr="00B616E3">
        <w:rPr>
          <w:i/>
        </w:rPr>
        <w:t>4</w:t>
      </w:r>
      <w:r w:rsidRPr="00B616E3">
        <w:t xml:space="preserve"> (201</w:t>
      </w:r>
      <w:r w:rsidR="00A31A81" w:rsidRPr="00B616E3">
        <w:t xml:space="preserve">4 </w:t>
      </w:r>
      <w:r w:rsidRPr="00B616E3">
        <w:t xml:space="preserve">Report) reports on the Housing and homelessness services in each Australian state and territory. Data are reported for Indigenous </w:t>
      </w:r>
      <w:r w:rsidR="004C039C" w:rsidRPr="00B616E3">
        <w:t>Australians</w:t>
      </w:r>
      <w:r w:rsidRPr="00B616E3">
        <w:t xml:space="preserve"> for a subset of the performance indicators reported in that chapter — those data are compiled and presented here.</w:t>
      </w:r>
    </w:p>
    <w:p w:rsidR="00A31A81" w:rsidRPr="00B616E3" w:rsidRDefault="00A31A81" w:rsidP="00A31A81">
      <w:pPr>
        <w:pStyle w:val="BodyText"/>
      </w:pPr>
      <w:r w:rsidRPr="00B616E3">
        <w:t>This sector overview provides an introduction to the ‘Housing’ (chapter 17) and ‘Homelessness services’ (chapter 18) chapters of this Report. It provides an overview of the housing and homelessness sector, presenting both contextual information and high level performance information.</w:t>
      </w:r>
    </w:p>
    <w:p w:rsidR="00A31A81" w:rsidRPr="00B616E3" w:rsidRDefault="00A31A81" w:rsidP="00A31A81">
      <w:pPr>
        <w:pStyle w:val="BodyText"/>
        <w:rPr>
          <w:b/>
          <w:color w:val="000000"/>
        </w:rPr>
      </w:pPr>
      <w:r w:rsidRPr="00B616E3">
        <w:rPr>
          <w:color w:val="000000"/>
        </w:rPr>
        <w:t>This sector overview also includes descriptive information on Commonwealth Rent Assistance (CRA).</w:t>
      </w:r>
    </w:p>
    <w:p w:rsidR="00A31A81" w:rsidRPr="00B616E3" w:rsidRDefault="00A31A81" w:rsidP="00A31A81">
      <w:pPr>
        <w:pStyle w:val="BodyText"/>
      </w:pPr>
      <w:r w:rsidRPr="00B616E3">
        <w:t>Major improvements in reporting on housing and homelessness this year are identified in each of the service-specific housing and homelessness chapters.</w:t>
      </w:r>
    </w:p>
    <w:p w:rsidR="00BD01F9" w:rsidRPr="00B616E3" w:rsidRDefault="00BD01F9" w:rsidP="00BD01F9">
      <w:pPr>
        <w:pStyle w:val="Heading3"/>
      </w:pPr>
      <w:bookmarkStart w:id="5" w:name="_Toc320630242"/>
      <w:bookmarkStart w:id="6" w:name="_Toc320630752"/>
      <w:bookmarkStart w:id="7" w:name="_Toc320774655"/>
      <w:bookmarkStart w:id="8" w:name="_Toc348968982"/>
      <w:bookmarkStart w:id="9" w:name="_Toc381085185"/>
      <w:bookmarkStart w:id="10" w:name="_Toc384654187"/>
      <w:r w:rsidRPr="00B616E3">
        <w:t xml:space="preserve">Indigenous data in the Housing and homelessness sector </w:t>
      </w:r>
      <w:bookmarkEnd w:id="5"/>
      <w:bookmarkEnd w:id="6"/>
      <w:bookmarkEnd w:id="7"/>
      <w:bookmarkEnd w:id="8"/>
      <w:r w:rsidR="001529C8" w:rsidRPr="00B616E3">
        <w:t>overview</w:t>
      </w:r>
      <w:bookmarkEnd w:id="9"/>
      <w:bookmarkEnd w:id="10"/>
    </w:p>
    <w:p w:rsidR="00BD01F9" w:rsidRPr="00B616E3" w:rsidRDefault="00BD01F9" w:rsidP="00BD01F9">
      <w:pPr>
        <w:pStyle w:val="BodyText"/>
      </w:pPr>
      <w:r w:rsidRPr="00B616E3">
        <w:t xml:space="preserve">The Housing and homelessness sector </w:t>
      </w:r>
      <w:r w:rsidR="005A64BD" w:rsidRPr="00B616E3">
        <w:t>overview</w:t>
      </w:r>
      <w:r w:rsidRPr="00B616E3">
        <w:t xml:space="preserve"> in the 201</w:t>
      </w:r>
      <w:r w:rsidR="00A31A81" w:rsidRPr="00B616E3">
        <w:t>4</w:t>
      </w:r>
      <w:r w:rsidRPr="00B616E3">
        <w:t xml:space="preserve"> Report contains the following information on Indigenous </w:t>
      </w:r>
      <w:r w:rsidR="004C039C" w:rsidRPr="00B616E3">
        <w:t>Australians</w:t>
      </w:r>
      <w:r w:rsidRPr="00B616E3">
        <w:t>:</w:t>
      </w:r>
    </w:p>
    <w:p w:rsidR="00A31A81" w:rsidRPr="00B616E3" w:rsidRDefault="00A31A81" w:rsidP="00A31A81">
      <w:pPr>
        <w:pStyle w:val="ListBullet"/>
        <w:numPr>
          <w:ilvl w:val="0"/>
          <w:numId w:val="20"/>
        </w:numPr>
      </w:pPr>
      <w:r w:rsidRPr="00B616E3">
        <w:t>Australian Government nominal expenditure relating to the National Affordable Housing Agreement (NAHA)</w:t>
      </w:r>
    </w:p>
    <w:p w:rsidR="00A31A81" w:rsidRPr="00B616E3" w:rsidRDefault="00A31A81" w:rsidP="00A31A81">
      <w:pPr>
        <w:pStyle w:val="ListBullet"/>
        <w:numPr>
          <w:ilvl w:val="0"/>
          <w:numId w:val="20"/>
        </w:numPr>
      </w:pPr>
      <w:r w:rsidRPr="00B616E3">
        <w:t>social housing descriptive statistics, 2011-12</w:t>
      </w:r>
    </w:p>
    <w:p w:rsidR="00BD01F9" w:rsidRPr="00B616E3" w:rsidRDefault="00BD01F9" w:rsidP="00BD01F9">
      <w:pPr>
        <w:pStyle w:val="ListBullet"/>
        <w:numPr>
          <w:ilvl w:val="0"/>
          <w:numId w:val="20"/>
        </w:numPr>
      </w:pPr>
      <w:r w:rsidRPr="00B616E3">
        <w:t>households living in overcrowded conditions</w:t>
      </w:r>
      <w:r w:rsidR="001435AB" w:rsidRPr="00B616E3">
        <w:t>, 201</w:t>
      </w:r>
      <w:r w:rsidR="000A3807" w:rsidRPr="00B616E3">
        <w:t>3</w:t>
      </w:r>
    </w:p>
    <w:p w:rsidR="001435AB" w:rsidRPr="00B616E3" w:rsidRDefault="00BD01F9" w:rsidP="00BD01F9">
      <w:pPr>
        <w:pStyle w:val="ListBullet"/>
        <w:numPr>
          <w:ilvl w:val="0"/>
          <w:numId w:val="20"/>
        </w:numPr>
      </w:pPr>
      <w:r w:rsidRPr="00B616E3">
        <w:t>households living in houses of an acceptable standard</w:t>
      </w:r>
      <w:r w:rsidR="001435AB" w:rsidRPr="00B616E3">
        <w:t>, 2012</w:t>
      </w:r>
    </w:p>
    <w:p w:rsidR="001435AB" w:rsidRPr="00B616E3" w:rsidRDefault="001435AB" w:rsidP="001435AB">
      <w:pPr>
        <w:pStyle w:val="ListBullet"/>
        <w:numPr>
          <w:ilvl w:val="0"/>
          <w:numId w:val="20"/>
        </w:numPr>
      </w:pPr>
      <w:r w:rsidRPr="00B616E3">
        <w:t>income units receiving CRA, by payment type, special needs and geographic location, 201</w:t>
      </w:r>
      <w:r w:rsidR="000A3807" w:rsidRPr="00B616E3">
        <w:t>3</w:t>
      </w:r>
    </w:p>
    <w:p w:rsidR="001435AB" w:rsidRPr="00B616E3" w:rsidRDefault="001435AB" w:rsidP="001435AB">
      <w:pPr>
        <w:pStyle w:val="ListBullet"/>
        <w:numPr>
          <w:ilvl w:val="0"/>
          <w:numId w:val="20"/>
        </w:numPr>
      </w:pPr>
      <w:r w:rsidRPr="00B616E3">
        <w:lastRenderedPageBreak/>
        <w:t xml:space="preserve">proportion of Indigenous income units receiving CRA, paying more than </w:t>
      </w:r>
      <w:r w:rsidR="00B616E3" w:rsidRPr="00B616E3">
        <w:br/>
      </w:r>
      <w:r w:rsidRPr="00B616E3">
        <w:t>30 per cent of income on rent, with and without CRA, by geographic location, 200</w:t>
      </w:r>
      <w:r w:rsidR="000A3807" w:rsidRPr="00B616E3">
        <w:t>9 to 2013</w:t>
      </w:r>
    </w:p>
    <w:p w:rsidR="001435AB" w:rsidRPr="00B616E3" w:rsidRDefault="001435AB" w:rsidP="001435AB">
      <w:pPr>
        <w:pStyle w:val="ListBullet"/>
        <w:numPr>
          <w:ilvl w:val="0"/>
          <w:numId w:val="20"/>
        </w:numPr>
      </w:pPr>
      <w:r w:rsidRPr="00B616E3">
        <w:t xml:space="preserve">proportion of Indigenous income units receiving CRA, paying more than </w:t>
      </w:r>
      <w:r w:rsidR="00B616E3" w:rsidRPr="00B616E3">
        <w:br/>
      </w:r>
      <w:r w:rsidRPr="00B616E3">
        <w:t>30 per cent of income on rent, with and without CRA, 200</w:t>
      </w:r>
      <w:r w:rsidR="000A3807" w:rsidRPr="00B616E3">
        <w:t>9 to 2013</w:t>
      </w:r>
    </w:p>
    <w:p w:rsidR="00BD01F9" w:rsidRPr="00B616E3" w:rsidRDefault="001435AB" w:rsidP="001435AB">
      <w:pPr>
        <w:pStyle w:val="ListBullet"/>
        <w:numPr>
          <w:ilvl w:val="0"/>
          <w:numId w:val="20"/>
        </w:numPr>
      </w:pPr>
      <w:r w:rsidRPr="00B616E3">
        <w:t xml:space="preserve">number and proportion of income units receiving CRA with more than </w:t>
      </w:r>
      <w:r w:rsidR="00B616E3" w:rsidRPr="00B616E3">
        <w:br/>
      </w:r>
      <w:r w:rsidRPr="00B616E3">
        <w:t>50 per cent of income spent on rent, with and without CRA, by special needs and geographic location, 201</w:t>
      </w:r>
      <w:r w:rsidR="000A3807" w:rsidRPr="00B616E3">
        <w:t>3</w:t>
      </w:r>
      <w:r w:rsidR="00BD01F9" w:rsidRPr="00B616E3">
        <w:t>.</w:t>
      </w:r>
    </w:p>
    <w:p w:rsidR="00BD01F9" w:rsidRPr="00B616E3" w:rsidRDefault="00BD01F9" w:rsidP="00BD01F9">
      <w:pPr>
        <w:pStyle w:val="Heading3"/>
      </w:pPr>
      <w:bookmarkStart w:id="11" w:name="_Toc320630753"/>
      <w:bookmarkStart w:id="12" w:name="_Toc320774656"/>
      <w:bookmarkStart w:id="13" w:name="_Toc348968983"/>
      <w:bookmarkStart w:id="14" w:name="_Toc381085186"/>
      <w:bookmarkStart w:id="15" w:name="_Toc384654188"/>
      <w:r w:rsidRPr="00B616E3">
        <w:t>Sector scope</w:t>
      </w:r>
      <w:bookmarkEnd w:id="11"/>
      <w:bookmarkEnd w:id="12"/>
      <w:bookmarkEnd w:id="13"/>
      <w:bookmarkEnd w:id="14"/>
      <w:bookmarkEnd w:id="15"/>
    </w:p>
    <w:p w:rsidR="000A3807" w:rsidRPr="00B616E3" w:rsidRDefault="000A3807" w:rsidP="000A3807">
      <w:pPr>
        <w:pStyle w:val="BodyText"/>
      </w:pPr>
      <w:r w:rsidRPr="00B616E3">
        <w:t>This Report includes detailed information on two specific services: social housing and homelessness services. Social housing broadly encompasses public housing, State owned and managed Indigenous housing (SOMIH), community housing and Indigenous community housing, and is reported in chapter 17 (box G.1).</w:t>
      </w:r>
    </w:p>
    <w:p w:rsidR="00BD01F9" w:rsidRPr="00DE74DF" w:rsidRDefault="00BD01F9" w:rsidP="00BD01F9">
      <w:pPr>
        <w:pStyle w:val="BoxSpace"/>
        <w:rPr>
          <w:highlight w:val="yellow"/>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01F9" w:rsidRPr="00DE74DF" w:rsidTr="008343A4">
        <w:tc>
          <w:tcPr>
            <w:tcW w:w="8771" w:type="dxa"/>
            <w:tcBorders>
              <w:top w:val="single" w:sz="6" w:space="0" w:color="auto"/>
              <w:bottom w:val="nil"/>
            </w:tcBorders>
          </w:tcPr>
          <w:p w:rsidR="00BD01F9" w:rsidRPr="00DE74DF" w:rsidRDefault="00BD01F9" w:rsidP="008343A4">
            <w:pPr>
              <w:pStyle w:val="BoxTitle"/>
              <w:rPr>
                <w:highlight w:val="yellow"/>
              </w:rPr>
            </w:pPr>
            <w:r w:rsidRPr="00B616E3">
              <w:rPr>
                <w:b w:val="0"/>
              </w:rPr>
              <w:t xml:space="preserve">Box </w:t>
            </w:r>
            <w:r w:rsidR="007523F0" w:rsidRPr="00B616E3">
              <w:rPr>
                <w:b w:val="0"/>
              </w:rPr>
              <w:t>G.1</w:t>
            </w:r>
            <w:r w:rsidRPr="00B616E3">
              <w:tab/>
              <w:t>Scope of social housing</w:t>
            </w:r>
          </w:p>
        </w:tc>
      </w:tr>
      <w:tr w:rsidR="00BD01F9" w:rsidRPr="00DE74DF" w:rsidTr="008343A4">
        <w:trPr>
          <w:cantSplit/>
        </w:trPr>
        <w:tc>
          <w:tcPr>
            <w:tcW w:w="8771" w:type="dxa"/>
            <w:tcBorders>
              <w:top w:val="nil"/>
              <w:left w:val="single" w:sz="6" w:space="0" w:color="auto"/>
              <w:bottom w:val="nil"/>
              <w:right w:val="single" w:sz="6" w:space="0" w:color="auto"/>
            </w:tcBorders>
          </w:tcPr>
          <w:p w:rsidR="000A3807" w:rsidRPr="004E3F0E" w:rsidRDefault="000A3807" w:rsidP="000A3807">
            <w:pPr>
              <w:pStyle w:val="Box"/>
            </w:pPr>
            <w:r w:rsidRPr="004E3F0E">
              <w:t>Social housing is rental housing provided by government or non</w:t>
            </w:r>
            <w:r w:rsidRPr="004E3F0E">
              <w:noBreakHyphen/>
              <w:t>government organisations (including not-for-profit) to assist people who are unable to access suitable accommodation in the private rental market (AIHW 2010). The forms of social housing included in this Report are:</w:t>
            </w:r>
          </w:p>
          <w:p w:rsidR="000A3807" w:rsidRPr="004E3F0E" w:rsidRDefault="000A3807" w:rsidP="000A3807">
            <w:pPr>
              <w:pStyle w:val="BoxListBullet"/>
              <w:numPr>
                <w:ilvl w:val="0"/>
                <w:numId w:val="1"/>
              </w:numPr>
            </w:pPr>
            <w:r w:rsidRPr="004E3F0E">
              <w:rPr>
                <w:i/>
              </w:rPr>
              <w:t>Public housing</w:t>
            </w:r>
            <w:r w:rsidRPr="004E3F0E">
              <w:t>: dwellings owned (or leased) and managed by State and Territory housing authorities to provide affordable rental accommodation.</w:t>
            </w:r>
          </w:p>
          <w:p w:rsidR="000A3807" w:rsidRPr="004E3F0E" w:rsidRDefault="000A3807" w:rsidP="000A3807">
            <w:pPr>
              <w:pStyle w:val="BoxListBullet"/>
              <w:numPr>
                <w:ilvl w:val="0"/>
                <w:numId w:val="1"/>
              </w:numPr>
            </w:pPr>
            <w:r w:rsidRPr="004E3F0E">
              <w:rPr>
                <w:i/>
              </w:rPr>
              <w:t>State owned and managed Indigenous housing</w:t>
            </w:r>
            <w:r w:rsidRPr="004E3F0E">
              <w:t>: dwellings owned and managed by State housing authorities that are allocated only to Indigenous households.</w:t>
            </w:r>
          </w:p>
          <w:p w:rsidR="000A3807" w:rsidRPr="00C72922" w:rsidRDefault="000A3807" w:rsidP="000A3807">
            <w:pPr>
              <w:pStyle w:val="BoxListBullet"/>
              <w:numPr>
                <w:ilvl w:val="0"/>
                <w:numId w:val="1"/>
              </w:numPr>
            </w:pPr>
            <w:r w:rsidRPr="004E3F0E">
              <w:rPr>
                <w:i/>
              </w:rPr>
              <w:t>Community housing</w:t>
            </w:r>
            <w:r w:rsidR="00DC3039" w:rsidRPr="004E3F0E">
              <w:t xml:space="preserve">: rental housing provided </w:t>
            </w:r>
            <w:r w:rsidRPr="004E3F0E">
              <w:t xml:space="preserve">low to moderate income or special needs households, managed by community based organisations that lease </w:t>
            </w:r>
            <w:r w:rsidRPr="00C72922">
              <w:t>properties from government or have received a capital or recurrent subsidy from government. Community housing models vary across jurisdictions, and the housing stock may be owned by a variety of groups, including local government.</w:t>
            </w:r>
          </w:p>
          <w:p w:rsidR="000A3807" w:rsidRPr="004E3F0E" w:rsidRDefault="000A3807" w:rsidP="000A3807">
            <w:pPr>
              <w:pStyle w:val="BoxListBullet"/>
              <w:numPr>
                <w:ilvl w:val="0"/>
                <w:numId w:val="1"/>
              </w:numPr>
            </w:pPr>
            <w:r w:rsidRPr="00C72922">
              <w:rPr>
                <w:i/>
              </w:rPr>
              <w:t>Indigenous community housing</w:t>
            </w:r>
            <w:r w:rsidR="004E3F0E" w:rsidRPr="00C72922">
              <w:rPr>
                <w:i/>
              </w:rPr>
              <w:t xml:space="preserve"> (ICH)</w:t>
            </w:r>
            <w:r w:rsidRPr="00C72922">
              <w:t>: dwellings owned or leased and managed by ICH organisations and community councils in major cities, regional areas and remote areas. Indigenous community housing models</w:t>
            </w:r>
            <w:r w:rsidRPr="004E3F0E">
              <w:t xml:space="preserve"> vary across jurisdictions and can also include dwellings funded or registered by government.</w:t>
            </w:r>
          </w:p>
          <w:p w:rsidR="00BD01F9" w:rsidRPr="00DE74DF" w:rsidRDefault="000A3807" w:rsidP="000A3807">
            <w:pPr>
              <w:pStyle w:val="Box"/>
              <w:rPr>
                <w:highlight w:val="yellow"/>
              </w:rPr>
            </w:pPr>
            <w:r w:rsidRPr="004E3F0E">
              <w:rPr>
                <w:i/>
                <w:color w:val="000000" w:themeColor="text1"/>
              </w:rPr>
              <w:t>Crisis and transitional housing</w:t>
            </w:r>
            <w:r w:rsidRPr="004E3F0E">
              <w:rPr>
                <w:color w:val="000000" w:themeColor="text1"/>
              </w:rPr>
              <w:t xml:space="preserve"> is an additional form of social housing, but it is not separately identified in this Report. Crisis and transitional housing might be indirectly reported through the other forms of social housing described above.</w:t>
            </w:r>
          </w:p>
        </w:tc>
      </w:tr>
      <w:tr w:rsidR="00BD01F9" w:rsidRPr="00DE74DF" w:rsidTr="008343A4">
        <w:trPr>
          <w:cantSplit/>
        </w:trPr>
        <w:tc>
          <w:tcPr>
            <w:tcW w:w="8771" w:type="dxa"/>
            <w:tcBorders>
              <w:top w:val="nil"/>
              <w:left w:val="single" w:sz="6" w:space="0" w:color="auto"/>
              <w:bottom w:val="nil"/>
              <w:right w:val="single" w:sz="6" w:space="0" w:color="auto"/>
            </w:tcBorders>
          </w:tcPr>
          <w:p w:rsidR="00BD01F9" w:rsidRPr="00DE74DF" w:rsidRDefault="00BD01F9" w:rsidP="000A3807">
            <w:pPr>
              <w:pStyle w:val="BoxSource"/>
              <w:rPr>
                <w:highlight w:val="yellow"/>
              </w:rPr>
            </w:pPr>
            <w:r w:rsidRPr="00B616E3">
              <w:rPr>
                <w:i/>
              </w:rPr>
              <w:t>Source</w:t>
            </w:r>
            <w:r w:rsidRPr="00B616E3">
              <w:t>: 201</w:t>
            </w:r>
            <w:r w:rsidR="000A3807" w:rsidRPr="00B616E3">
              <w:t>4 Report, Chapter 17</w:t>
            </w:r>
            <w:r w:rsidRPr="00B616E3">
              <w:t>.</w:t>
            </w:r>
          </w:p>
        </w:tc>
      </w:tr>
      <w:tr w:rsidR="00BD01F9" w:rsidRPr="00DE74DF" w:rsidTr="008343A4">
        <w:trPr>
          <w:cantSplit/>
        </w:trPr>
        <w:tc>
          <w:tcPr>
            <w:tcW w:w="8771" w:type="dxa"/>
            <w:tcBorders>
              <w:top w:val="nil"/>
              <w:left w:val="single" w:sz="6" w:space="0" w:color="auto"/>
              <w:bottom w:val="single" w:sz="6" w:space="0" w:color="auto"/>
              <w:right w:val="single" w:sz="6" w:space="0" w:color="auto"/>
            </w:tcBorders>
          </w:tcPr>
          <w:p w:rsidR="00BD01F9" w:rsidRPr="00DE74DF" w:rsidRDefault="00BD01F9" w:rsidP="008343A4">
            <w:pPr>
              <w:pStyle w:val="Box"/>
              <w:spacing w:before="0" w:line="120" w:lineRule="exact"/>
              <w:rPr>
                <w:highlight w:val="yellow"/>
              </w:rPr>
            </w:pPr>
          </w:p>
        </w:tc>
      </w:tr>
      <w:tr w:rsidR="00BD01F9" w:rsidRPr="00DE74DF" w:rsidTr="008343A4">
        <w:tc>
          <w:tcPr>
            <w:tcW w:w="8771" w:type="dxa"/>
            <w:tcBorders>
              <w:top w:val="nil"/>
              <w:left w:val="nil"/>
              <w:bottom w:val="nil"/>
              <w:right w:val="nil"/>
            </w:tcBorders>
          </w:tcPr>
          <w:p w:rsidR="00BD01F9" w:rsidRPr="00DE74DF" w:rsidRDefault="00BD01F9" w:rsidP="008343A4">
            <w:pPr>
              <w:pStyle w:val="Box"/>
              <w:keepNext w:val="0"/>
              <w:spacing w:before="60" w:after="60" w:line="80" w:lineRule="exact"/>
              <w:rPr>
                <w:b/>
                <w:color w:val="FF00FF"/>
                <w:sz w:val="14"/>
                <w:highlight w:val="yellow"/>
              </w:rPr>
            </w:pPr>
          </w:p>
        </w:tc>
      </w:tr>
    </w:tbl>
    <w:p w:rsidR="00C23D2A" w:rsidRPr="00B616E3" w:rsidRDefault="00C23D2A" w:rsidP="00C23D2A">
      <w:pPr>
        <w:pStyle w:val="BodyText"/>
      </w:pPr>
      <w:r w:rsidRPr="00B616E3">
        <w:lastRenderedPageBreak/>
        <w:t>Homelessness services in this Report encompass government funded specialist homelessness services, and are reported in chapter 18 (box G.2).</w:t>
      </w:r>
    </w:p>
    <w:p w:rsidR="00C23D2A" w:rsidRPr="00B616E3" w:rsidRDefault="00C23D2A" w:rsidP="00C23D2A">
      <w:pPr>
        <w:pStyle w:val="BodyText"/>
      </w:pPr>
      <w:r w:rsidRPr="00B616E3">
        <w:t>This report focuses on social housing and homelessness services funded under the National Affordable Housing Specific Purpose Payment (NAH SPP) and related National Partnership Agreements (NPAs), and provided through the framework of the NAHA and the related NPAs which support it.</w:t>
      </w:r>
    </w:p>
    <w:p w:rsidR="00C23D2A" w:rsidRPr="00B616E3" w:rsidRDefault="00C23D2A" w:rsidP="00C23D2A">
      <w:pPr>
        <w:pStyle w:val="BodyText"/>
      </w:pPr>
      <w:r w:rsidRPr="00B616E3">
        <w:t>Governments provide other forms of support for housing and homelessness, including home purchase assistance and private rental assistance, but these are not considered in detail in this Report.</w:t>
      </w:r>
    </w:p>
    <w:p w:rsidR="00C72922" w:rsidRDefault="00C23D2A" w:rsidP="00C23D2A">
      <w:pPr>
        <w:pStyle w:val="BodyText"/>
      </w:pPr>
      <w:r w:rsidRPr="00B616E3">
        <w:t>Housing and homelessness outcomes are influenced by many factors apart from government assistance. Appendix — Private housing market contextual information presents contextual information on some of these factors, including housing affordability, private rental markets and home ownership.</w:t>
      </w:r>
    </w:p>
    <w:p w:rsidR="00C23D2A" w:rsidRPr="00C72922" w:rsidRDefault="00C23D2A" w:rsidP="00C72922">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72922" w:rsidRPr="00C72922" w:rsidTr="007F1A1C">
        <w:tc>
          <w:tcPr>
            <w:tcW w:w="8771" w:type="dxa"/>
            <w:tcBorders>
              <w:top w:val="single" w:sz="6" w:space="0" w:color="auto"/>
              <w:bottom w:val="nil"/>
            </w:tcBorders>
          </w:tcPr>
          <w:p w:rsidR="00C72922" w:rsidRPr="00C72922" w:rsidRDefault="00C72922" w:rsidP="00C72922">
            <w:pPr>
              <w:keepNext/>
              <w:keepLines/>
              <w:spacing w:before="120" w:line="280" w:lineRule="exact"/>
              <w:ind w:left="1304" w:hanging="1304"/>
              <w:rPr>
                <w:rFonts w:ascii="Arial" w:hAnsi="Arial"/>
                <w:b/>
              </w:rPr>
            </w:pPr>
            <w:r>
              <w:rPr>
                <w:rFonts w:ascii="Arial" w:hAnsi="Arial"/>
              </w:rPr>
              <w:t>Box G.2</w:t>
            </w:r>
            <w:r w:rsidRPr="00C72922">
              <w:rPr>
                <w:rFonts w:ascii="Arial" w:hAnsi="Arial"/>
                <w:b/>
              </w:rPr>
              <w:tab/>
              <w:t>Scope of homelessness services</w:t>
            </w:r>
          </w:p>
        </w:tc>
      </w:tr>
      <w:tr w:rsidR="00C72922" w:rsidRPr="00C72922" w:rsidTr="007F1A1C">
        <w:trPr>
          <w:cantSplit/>
        </w:trPr>
        <w:tc>
          <w:tcPr>
            <w:tcW w:w="8771" w:type="dxa"/>
            <w:tcBorders>
              <w:top w:val="nil"/>
              <w:left w:val="single" w:sz="6" w:space="0" w:color="auto"/>
              <w:bottom w:val="nil"/>
              <w:right w:val="single" w:sz="6" w:space="0" w:color="auto"/>
            </w:tcBorders>
          </w:tcPr>
          <w:p w:rsidR="00C72922" w:rsidRPr="00CC6D65" w:rsidRDefault="00C72922" w:rsidP="00C72922">
            <w:pPr>
              <w:pStyle w:val="Box"/>
              <w:rPr>
                <w:color w:val="000000" w:themeColor="text1"/>
              </w:rPr>
            </w:pPr>
            <w:r w:rsidRPr="00CC6D65">
              <w:rPr>
                <w:color w:val="000000" w:themeColor="text1"/>
              </w:rPr>
              <w:t>Under the NAHA, governments have committed to undertake reforms in the housing sector to improve integration between homelessness services and mainstream services, and reduce the rate of homelessness.</w:t>
            </w:r>
          </w:p>
          <w:p w:rsidR="00C72922" w:rsidRPr="00CC6D65" w:rsidRDefault="00C72922" w:rsidP="00C72922">
            <w:pPr>
              <w:pStyle w:val="Box"/>
              <w:rPr>
                <w:color w:val="000000" w:themeColor="text1"/>
              </w:rPr>
            </w:pPr>
            <w:r w:rsidRPr="00CC6D65">
              <w:rPr>
                <w:i/>
                <w:color w:val="000000" w:themeColor="text1"/>
              </w:rPr>
              <w:t>Government funded specialist homelessness services</w:t>
            </w:r>
            <w:r w:rsidRPr="00CC6D65">
              <w:rPr>
                <w:color w:val="000000" w:themeColor="text1"/>
              </w:rPr>
              <w:t xml:space="preserve"> provide assistance to individuals and families who are homeless or at risk of becoming homeless. </w:t>
            </w:r>
          </w:p>
          <w:p w:rsidR="00C72922" w:rsidRDefault="00C72922" w:rsidP="00C72922">
            <w:pPr>
              <w:pStyle w:val="Box"/>
              <w:rPr>
                <w:color w:val="000000" w:themeColor="text1"/>
              </w:rPr>
            </w:pPr>
            <w:r w:rsidRPr="00CC6D65">
              <w:rPr>
                <w:color w:val="000000" w:themeColor="text1"/>
              </w:rPr>
              <w:t>Data reported in Chapter 1</w:t>
            </w:r>
            <w:r>
              <w:rPr>
                <w:color w:val="000000" w:themeColor="text1"/>
              </w:rPr>
              <w:t>8</w:t>
            </w:r>
            <w:r w:rsidRPr="00CC6D65">
              <w:rPr>
                <w:color w:val="000000" w:themeColor="text1"/>
              </w:rPr>
              <w:t xml:space="preserve"> of this Report are for government funded specialist homelessness services delivered under the NAHA and </w:t>
            </w:r>
            <w:r>
              <w:rPr>
                <w:color w:val="000000" w:themeColor="text1"/>
              </w:rPr>
              <w:t xml:space="preserve">the </w:t>
            </w:r>
            <w:r w:rsidRPr="00CC6D65">
              <w:rPr>
                <w:color w:val="000000" w:themeColor="text1"/>
              </w:rPr>
              <w:t>N</w:t>
            </w:r>
            <w:r>
              <w:rPr>
                <w:color w:val="000000" w:themeColor="text1"/>
              </w:rPr>
              <w:t xml:space="preserve">ational Partnership on Homelessness. Data are </w:t>
            </w:r>
            <w:r w:rsidRPr="00CE48BF">
              <w:rPr>
                <w:color w:val="000000" w:themeColor="text1"/>
              </w:rPr>
              <w:t xml:space="preserve">sourced from the Specialist Homelessness Services </w:t>
            </w:r>
            <w:r>
              <w:rPr>
                <w:color w:val="000000" w:themeColor="text1"/>
              </w:rPr>
              <w:t>C</w:t>
            </w:r>
            <w:r w:rsidRPr="00CE48BF">
              <w:rPr>
                <w:color w:val="000000" w:themeColor="text1"/>
              </w:rPr>
              <w:t>ollection (SHSC), which measures the number of clients and the number</w:t>
            </w:r>
            <w:r>
              <w:rPr>
                <w:color w:val="000000" w:themeColor="text1"/>
              </w:rPr>
              <w:t xml:space="preserve"> </w:t>
            </w:r>
            <w:r w:rsidRPr="00CE48BF">
              <w:rPr>
                <w:color w:val="000000" w:themeColor="text1"/>
              </w:rPr>
              <w:t>and types of services provided to clients</w:t>
            </w:r>
            <w:r>
              <w:rPr>
                <w:color w:val="000000" w:themeColor="text1"/>
              </w:rPr>
              <w:t>.</w:t>
            </w:r>
          </w:p>
          <w:p w:rsidR="00C23D2A" w:rsidRPr="00EC0E52" w:rsidRDefault="00C23D2A" w:rsidP="00C23D2A">
            <w:pPr>
              <w:pStyle w:val="Box"/>
              <w:rPr>
                <w:i/>
              </w:rPr>
            </w:pPr>
            <w:r w:rsidRPr="00EC0E52">
              <w:rPr>
                <w:i/>
              </w:rPr>
              <w:t>Definition of homelessness</w:t>
            </w:r>
          </w:p>
          <w:p w:rsidR="00C23D2A" w:rsidRDefault="00C23D2A" w:rsidP="00C23D2A">
            <w:pPr>
              <w:pStyle w:val="Box"/>
              <w:rPr>
                <w:color w:val="000000" w:themeColor="text1"/>
                <w:szCs w:val="24"/>
              </w:rPr>
            </w:pPr>
            <w:r w:rsidRPr="003C5B1E">
              <w:rPr>
                <w:color w:val="000000" w:themeColor="text1"/>
              </w:rPr>
              <w:t>Definitions of homelessness range from objective measures in which homelessness means having ‘no roof’, to broader, more subjective definitions founded on culturally and historically determined ideas of 'home'.</w:t>
            </w:r>
          </w:p>
          <w:p w:rsidR="00C23D2A" w:rsidRPr="00EC0E52" w:rsidRDefault="00C23D2A" w:rsidP="00C23D2A">
            <w:pPr>
              <w:pStyle w:val="Box"/>
              <w:rPr>
                <w:i/>
                <w:color w:val="000000" w:themeColor="text1"/>
              </w:rPr>
            </w:pPr>
            <w:r>
              <w:rPr>
                <w:i/>
                <w:color w:val="000000" w:themeColor="text1"/>
              </w:rPr>
              <w:t>Australian Bureau of Statistics (ABS) definition</w:t>
            </w:r>
          </w:p>
          <w:p w:rsidR="00C23D2A" w:rsidRPr="00C23D2A" w:rsidRDefault="00C23D2A" w:rsidP="00C72922">
            <w:pPr>
              <w:pStyle w:val="Box"/>
              <w:rPr>
                <w:color w:val="000000" w:themeColor="text1"/>
                <w:szCs w:val="24"/>
              </w:rPr>
            </w:pPr>
            <w:r w:rsidRPr="00CC6D65">
              <w:rPr>
                <w:color w:val="000000" w:themeColor="text1"/>
              </w:rPr>
              <w:t>The ABS definition of homelessness is informed by a</w:t>
            </w:r>
            <w:r>
              <w:rPr>
                <w:color w:val="000000" w:themeColor="text1"/>
              </w:rPr>
              <w:t xml:space="preserve"> broader </w:t>
            </w:r>
            <w:r w:rsidRPr="00CC6D65">
              <w:rPr>
                <w:color w:val="000000" w:themeColor="text1"/>
              </w:rPr>
              <w:t xml:space="preserve">understanding of homelessness as </w:t>
            </w:r>
            <w:r>
              <w:rPr>
                <w:color w:val="000000" w:themeColor="text1"/>
              </w:rPr>
              <w:t>‘home’</w:t>
            </w:r>
            <w:r w:rsidRPr="00CC6D65">
              <w:rPr>
                <w:color w:val="000000" w:themeColor="text1"/>
              </w:rPr>
              <w:t xml:space="preserve">lessness, not </w:t>
            </w:r>
            <w:r>
              <w:rPr>
                <w:color w:val="000000" w:themeColor="text1"/>
              </w:rPr>
              <w:t>‘</w:t>
            </w:r>
            <w:r w:rsidRPr="00CC6D65">
              <w:rPr>
                <w:color w:val="000000" w:themeColor="text1"/>
              </w:rPr>
              <w:t>roof</w:t>
            </w:r>
            <w:r>
              <w:rPr>
                <w:color w:val="000000" w:themeColor="text1"/>
              </w:rPr>
              <w:t>’</w:t>
            </w:r>
            <w:r w:rsidRPr="00CC6D65">
              <w:rPr>
                <w:color w:val="000000" w:themeColor="text1"/>
              </w:rPr>
              <w:t xml:space="preserve">lessness. </w:t>
            </w:r>
            <w:r w:rsidRPr="003B0169">
              <w:rPr>
                <w:color w:val="000000" w:themeColor="text1"/>
              </w:rPr>
              <w:t>Data on homelessness from the 2011</w:t>
            </w:r>
            <w:r w:rsidRPr="00140B3D">
              <w:rPr>
                <w:color w:val="000000" w:themeColor="text1"/>
              </w:rPr>
              <w:t>, 2006 and 2001 censuses</w:t>
            </w:r>
            <w:r>
              <w:rPr>
                <w:color w:val="000000" w:themeColor="text1"/>
              </w:rPr>
              <w:t xml:space="preserve"> are based on the ABS methodology (ABS </w:t>
            </w:r>
            <w:r w:rsidRPr="003B0169">
              <w:rPr>
                <w:color w:val="000000" w:themeColor="text1"/>
              </w:rPr>
              <w:t>2012</w:t>
            </w:r>
            <w:r>
              <w:rPr>
                <w:color w:val="000000" w:themeColor="text1"/>
              </w:rPr>
              <w:t>a</w:t>
            </w:r>
            <w:r w:rsidRPr="003B0169">
              <w:rPr>
                <w:color w:val="000000" w:themeColor="text1"/>
              </w:rPr>
              <w:t xml:space="preserve">) and a </w:t>
            </w:r>
            <w:r w:rsidRPr="00140B3D">
              <w:rPr>
                <w:color w:val="000000" w:themeColor="text1"/>
              </w:rPr>
              <w:t>statistical</w:t>
            </w:r>
            <w:r>
              <w:rPr>
                <w:color w:val="000000" w:themeColor="text1"/>
              </w:rPr>
              <w:t xml:space="preserve"> </w:t>
            </w:r>
            <w:r w:rsidRPr="003B0169">
              <w:rPr>
                <w:color w:val="000000" w:themeColor="text1"/>
              </w:rPr>
              <w:t>definition of homelessness (ABS 2012</w:t>
            </w:r>
            <w:r>
              <w:rPr>
                <w:color w:val="000000" w:themeColor="text1"/>
              </w:rPr>
              <w:t>b</w:t>
            </w:r>
            <w:r w:rsidRPr="003B0169">
              <w:rPr>
                <w:color w:val="000000" w:themeColor="text1"/>
              </w:rPr>
              <w:t>), which were both developed following consultation with the homelessness sector.</w:t>
            </w:r>
          </w:p>
        </w:tc>
      </w:tr>
      <w:tr w:rsidR="00C72922" w:rsidRPr="00C72922" w:rsidTr="007F1A1C">
        <w:trPr>
          <w:cantSplit/>
        </w:trPr>
        <w:tc>
          <w:tcPr>
            <w:tcW w:w="8771" w:type="dxa"/>
            <w:tcBorders>
              <w:top w:val="nil"/>
              <w:left w:val="single" w:sz="6" w:space="0" w:color="auto"/>
              <w:bottom w:val="nil"/>
              <w:right w:val="single" w:sz="6" w:space="0" w:color="auto"/>
            </w:tcBorders>
          </w:tcPr>
          <w:p w:rsidR="00C72922" w:rsidRPr="00C72922" w:rsidRDefault="00C72922" w:rsidP="00C72922">
            <w:pPr>
              <w:keepLines/>
              <w:spacing w:before="180" w:line="220" w:lineRule="exact"/>
              <w:jc w:val="right"/>
              <w:rPr>
                <w:rFonts w:ascii="Arial" w:hAnsi="Arial"/>
                <w:sz w:val="18"/>
                <w:szCs w:val="20"/>
              </w:rPr>
            </w:pPr>
            <w:r w:rsidRPr="00C72922">
              <w:rPr>
                <w:rFonts w:ascii="Arial" w:hAnsi="Arial"/>
                <w:sz w:val="18"/>
                <w:szCs w:val="20"/>
              </w:rPr>
              <w:t>(Continued next page)</w:t>
            </w:r>
          </w:p>
        </w:tc>
      </w:tr>
      <w:tr w:rsidR="00C72922" w:rsidRPr="00C72922" w:rsidTr="007F1A1C">
        <w:trPr>
          <w:cantSplit/>
        </w:trPr>
        <w:tc>
          <w:tcPr>
            <w:tcW w:w="8771" w:type="dxa"/>
            <w:tcBorders>
              <w:top w:val="nil"/>
              <w:left w:val="single" w:sz="6" w:space="0" w:color="auto"/>
              <w:bottom w:val="single" w:sz="6" w:space="0" w:color="auto"/>
              <w:right w:val="single" w:sz="6" w:space="0" w:color="auto"/>
            </w:tcBorders>
          </w:tcPr>
          <w:p w:rsidR="00C72922" w:rsidRPr="00C72922" w:rsidRDefault="00C72922" w:rsidP="00C72922">
            <w:pPr>
              <w:keepNext/>
              <w:spacing w:line="120" w:lineRule="exact"/>
              <w:jc w:val="both"/>
              <w:rPr>
                <w:rFonts w:ascii="Arial" w:hAnsi="Arial"/>
                <w:sz w:val="22"/>
                <w:szCs w:val="20"/>
                <w:highlight w:val="yellow"/>
              </w:rPr>
            </w:pPr>
          </w:p>
        </w:tc>
      </w:tr>
      <w:tr w:rsidR="00C72922" w:rsidRPr="00C72922" w:rsidTr="007F1A1C">
        <w:tc>
          <w:tcPr>
            <w:tcW w:w="8771" w:type="dxa"/>
            <w:tcBorders>
              <w:top w:val="nil"/>
              <w:left w:val="nil"/>
              <w:bottom w:val="nil"/>
              <w:right w:val="nil"/>
            </w:tcBorders>
          </w:tcPr>
          <w:p w:rsidR="00C72922" w:rsidRPr="00C72922" w:rsidRDefault="00C72922" w:rsidP="00C72922">
            <w:pPr>
              <w:spacing w:before="60" w:after="60" w:line="80" w:lineRule="exact"/>
              <w:jc w:val="both"/>
              <w:rPr>
                <w:rFonts w:ascii="Arial" w:hAnsi="Arial"/>
                <w:b/>
                <w:color w:val="FF00FF"/>
                <w:sz w:val="14"/>
                <w:szCs w:val="20"/>
                <w:highlight w:val="yellow"/>
              </w:rPr>
            </w:pPr>
          </w:p>
        </w:tc>
      </w:tr>
    </w:tbl>
    <w:p w:rsidR="00C72922" w:rsidRPr="00C72922" w:rsidRDefault="00C72922" w:rsidP="00C72922">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72922" w:rsidRPr="00C72922" w:rsidTr="007F1A1C">
        <w:tc>
          <w:tcPr>
            <w:tcW w:w="8771" w:type="dxa"/>
            <w:tcBorders>
              <w:top w:val="single" w:sz="6" w:space="0" w:color="auto"/>
              <w:bottom w:val="nil"/>
            </w:tcBorders>
          </w:tcPr>
          <w:p w:rsidR="00C72922" w:rsidRPr="00C72922" w:rsidRDefault="00C72922" w:rsidP="00C72922">
            <w:pPr>
              <w:keepNext/>
              <w:keepLines/>
              <w:spacing w:before="120" w:line="280" w:lineRule="exact"/>
              <w:ind w:left="1304" w:hanging="1304"/>
              <w:rPr>
                <w:rFonts w:ascii="Arial" w:hAnsi="Arial"/>
                <w:b/>
                <w:sz w:val="24"/>
              </w:rPr>
            </w:pPr>
            <w:r>
              <w:rPr>
                <w:rFonts w:ascii="Arial" w:hAnsi="Arial"/>
                <w:sz w:val="24"/>
              </w:rPr>
              <w:t>Box G</w:t>
            </w:r>
            <w:r w:rsidRPr="00C72922">
              <w:rPr>
                <w:rFonts w:ascii="Arial" w:hAnsi="Arial"/>
                <w:sz w:val="24"/>
              </w:rPr>
              <w:t>.</w:t>
            </w:r>
            <w:r>
              <w:rPr>
                <w:rFonts w:ascii="Arial" w:hAnsi="Arial"/>
                <w:noProof/>
                <w:sz w:val="24"/>
              </w:rPr>
              <w:t>2</w:t>
            </w:r>
            <w:r w:rsidRPr="00C72922">
              <w:rPr>
                <w:rFonts w:ascii="Arial" w:hAnsi="Arial"/>
                <w:b/>
                <w:sz w:val="24"/>
              </w:rPr>
              <w:tab/>
            </w:r>
            <w:r w:rsidRPr="00C72922">
              <w:rPr>
                <w:rFonts w:ascii="Arial" w:hAnsi="Arial"/>
                <w:b/>
                <w:sz w:val="18"/>
              </w:rPr>
              <w:t>(continued)</w:t>
            </w:r>
          </w:p>
        </w:tc>
      </w:tr>
      <w:tr w:rsidR="00C72922" w:rsidRPr="00C72922" w:rsidTr="007F1A1C">
        <w:trPr>
          <w:cantSplit/>
        </w:trPr>
        <w:tc>
          <w:tcPr>
            <w:tcW w:w="8771" w:type="dxa"/>
            <w:tcBorders>
              <w:top w:val="nil"/>
              <w:left w:val="single" w:sz="6" w:space="0" w:color="auto"/>
              <w:bottom w:val="nil"/>
              <w:right w:val="single" w:sz="6" w:space="0" w:color="auto"/>
            </w:tcBorders>
          </w:tcPr>
          <w:p w:rsidR="00C72922" w:rsidRPr="00CC6D65" w:rsidRDefault="00C72922" w:rsidP="00C72922">
            <w:pPr>
              <w:pStyle w:val="Box"/>
              <w:rPr>
                <w:color w:val="000000" w:themeColor="text1"/>
                <w:szCs w:val="24"/>
              </w:rPr>
            </w:pPr>
            <w:r w:rsidRPr="005E0FBA">
              <w:rPr>
                <w:color w:val="000000" w:themeColor="text1"/>
              </w:rPr>
              <w:t>Data on homeless people are categorised by the ABS (2012</w:t>
            </w:r>
            <w:r>
              <w:rPr>
                <w:color w:val="000000" w:themeColor="text1"/>
              </w:rPr>
              <w:t>b</w:t>
            </w:r>
            <w:r w:rsidRPr="005E0FBA">
              <w:rPr>
                <w:color w:val="000000" w:themeColor="text1"/>
              </w:rPr>
              <w:t>) according to their living situation</w:t>
            </w:r>
            <w:r>
              <w:rPr>
                <w:color w:val="000000" w:themeColor="text1"/>
              </w:rPr>
              <w:t xml:space="preserve">. </w:t>
            </w:r>
            <w:r w:rsidRPr="00604E91">
              <w:rPr>
                <w:color w:val="000000" w:themeColor="text1"/>
              </w:rPr>
              <w:t>When a person does not have suitable accommodation alternatives they are considered homeless if their current living arrangement</w:t>
            </w:r>
            <w:r>
              <w:rPr>
                <w:color w:val="000000" w:themeColor="text1"/>
              </w:rPr>
              <w:t>:</w:t>
            </w:r>
          </w:p>
          <w:p w:rsidR="00C72922" w:rsidRPr="00CC6D65" w:rsidRDefault="00C72922" w:rsidP="00C72922">
            <w:pPr>
              <w:pStyle w:val="BoxListBullet"/>
              <w:numPr>
                <w:ilvl w:val="0"/>
                <w:numId w:val="1"/>
              </w:numPr>
              <w:rPr>
                <w:color w:val="000000" w:themeColor="text1"/>
                <w:szCs w:val="24"/>
              </w:rPr>
            </w:pPr>
            <w:r w:rsidRPr="00CC6D65">
              <w:rPr>
                <w:color w:val="000000" w:themeColor="text1"/>
              </w:rPr>
              <w:t>is in a dwelling that is inadequate</w:t>
            </w:r>
            <w:r>
              <w:rPr>
                <w:color w:val="000000" w:themeColor="text1"/>
              </w:rPr>
              <w:t xml:space="preserve">, or </w:t>
            </w:r>
          </w:p>
          <w:p w:rsidR="00C72922" w:rsidRPr="00CC6D65" w:rsidRDefault="00C72922" w:rsidP="00C72922">
            <w:pPr>
              <w:pStyle w:val="BoxListBullet"/>
              <w:numPr>
                <w:ilvl w:val="0"/>
                <w:numId w:val="1"/>
              </w:numPr>
              <w:rPr>
                <w:color w:val="000000" w:themeColor="text1"/>
                <w:szCs w:val="24"/>
              </w:rPr>
            </w:pPr>
            <w:r w:rsidRPr="00CC6D65">
              <w:rPr>
                <w:color w:val="000000" w:themeColor="text1"/>
              </w:rPr>
              <w:t>has no tenure, or if their initial tenure is short and not extendable</w:t>
            </w:r>
            <w:r>
              <w:rPr>
                <w:color w:val="000000" w:themeColor="text1"/>
              </w:rPr>
              <w:t>, or</w:t>
            </w:r>
          </w:p>
          <w:p w:rsidR="00C72922" w:rsidRPr="00CC6D65" w:rsidRDefault="00C72922" w:rsidP="00C72922">
            <w:pPr>
              <w:pStyle w:val="BoxListBullet"/>
              <w:numPr>
                <w:ilvl w:val="0"/>
                <w:numId w:val="1"/>
              </w:numPr>
              <w:rPr>
                <w:color w:val="000000" w:themeColor="text1"/>
                <w:szCs w:val="24"/>
              </w:rPr>
            </w:pPr>
            <w:r w:rsidRPr="00CC6D65">
              <w:rPr>
                <w:color w:val="000000" w:themeColor="text1"/>
              </w:rPr>
              <w:t>does not allow them to have control of</w:t>
            </w:r>
            <w:r>
              <w:rPr>
                <w:color w:val="000000" w:themeColor="text1"/>
              </w:rPr>
              <w:t>, a</w:t>
            </w:r>
            <w:r w:rsidRPr="00CC6D65">
              <w:rPr>
                <w:color w:val="000000" w:themeColor="text1"/>
              </w:rPr>
              <w:t>nd access to space for social relations.</w:t>
            </w:r>
          </w:p>
          <w:p w:rsidR="00C72922" w:rsidRPr="00CC6D65" w:rsidRDefault="00C72922" w:rsidP="00C72922">
            <w:pPr>
              <w:pStyle w:val="Box"/>
              <w:rPr>
                <w:color w:val="000000" w:themeColor="text1"/>
                <w:szCs w:val="24"/>
              </w:rPr>
            </w:pPr>
            <w:r w:rsidRPr="00CC6D65">
              <w:rPr>
                <w:color w:val="000000" w:themeColor="text1"/>
              </w:rPr>
              <w:t xml:space="preserve">The definition has been constructed from a conceptual framework centred around the following elements: </w:t>
            </w:r>
          </w:p>
          <w:p w:rsidR="00C72922" w:rsidRDefault="00C72922" w:rsidP="00C72922">
            <w:pPr>
              <w:pStyle w:val="BoxListBullet"/>
              <w:numPr>
                <w:ilvl w:val="0"/>
                <w:numId w:val="1"/>
              </w:numPr>
              <w:rPr>
                <w:color w:val="000000" w:themeColor="text1"/>
              </w:rPr>
            </w:pPr>
            <w:r>
              <w:rPr>
                <w:color w:val="000000" w:themeColor="text1"/>
              </w:rPr>
              <w:t>a</w:t>
            </w:r>
            <w:r w:rsidRPr="00CC6D65">
              <w:rPr>
                <w:color w:val="000000" w:themeColor="text1"/>
              </w:rPr>
              <w:t>dequacy of the dwelling</w:t>
            </w:r>
            <w:r>
              <w:rPr>
                <w:color w:val="000000" w:themeColor="text1"/>
              </w:rPr>
              <w:t>; and</w:t>
            </w:r>
          </w:p>
          <w:p w:rsidR="00C72922" w:rsidRPr="003E7246" w:rsidRDefault="00C72922" w:rsidP="00C72922">
            <w:pPr>
              <w:pStyle w:val="BoxListBullet"/>
              <w:numPr>
                <w:ilvl w:val="0"/>
                <w:numId w:val="1"/>
              </w:numPr>
              <w:rPr>
                <w:color w:val="000000" w:themeColor="text1"/>
              </w:rPr>
            </w:pPr>
            <w:r>
              <w:rPr>
                <w:color w:val="000000" w:themeColor="text1"/>
              </w:rPr>
              <w:t>s</w:t>
            </w:r>
            <w:r w:rsidRPr="003E7246">
              <w:rPr>
                <w:color w:val="000000" w:themeColor="text1"/>
              </w:rPr>
              <w:t>ecurity of tenure in the dwelling</w:t>
            </w:r>
            <w:r>
              <w:rPr>
                <w:color w:val="000000" w:themeColor="text1"/>
              </w:rPr>
              <w:t>; and</w:t>
            </w:r>
            <w:r w:rsidRPr="003E7246">
              <w:rPr>
                <w:color w:val="000000" w:themeColor="text1"/>
              </w:rPr>
              <w:t xml:space="preserve"> </w:t>
            </w:r>
          </w:p>
          <w:p w:rsidR="00C72922" w:rsidRPr="00623AA7" w:rsidRDefault="00C72922" w:rsidP="00C72922">
            <w:pPr>
              <w:pStyle w:val="BoxListBullet"/>
              <w:numPr>
                <w:ilvl w:val="0"/>
                <w:numId w:val="1"/>
              </w:numPr>
              <w:rPr>
                <w:color w:val="000000" w:themeColor="text1"/>
                <w:szCs w:val="24"/>
              </w:rPr>
            </w:pPr>
            <w:r>
              <w:rPr>
                <w:color w:val="000000" w:themeColor="text1"/>
              </w:rPr>
              <w:t>c</w:t>
            </w:r>
            <w:r w:rsidRPr="00CC6D65">
              <w:rPr>
                <w:color w:val="000000" w:themeColor="text1"/>
              </w:rPr>
              <w:t>ontrol of, and access to space for social relations.</w:t>
            </w:r>
          </w:p>
          <w:p w:rsidR="00C72922" w:rsidRPr="00EC0E52" w:rsidRDefault="00C72922" w:rsidP="00C72922">
            <w:pPr>
              <w:pStyle w:val="Box"/>
              <w:rPr>
                <w:i/>
                <w:color w:val="000000" w:themeColor="text1"/>
              </w:rPr>
            </w:pPr>
            <w:r>
              <w:rPr>
                <w:i/>
                <w:color w:val="000000" w:themeColor="text1"/>
              </w:rPr>
              <w:t>SHSC definition</w:t>
            </w:r>
          </w:p>
          <w:p w:rsidR="00C72922" w:rsidRPr="00C72922" w:rsidRDefault="00C72922" w:rsidP="00C72922">
            <w:pPr>
              <w:pStyle w:val="Box"/>
              <w:rPr>
                <w:sz w:val="20"/>
              </w:rPr>
            </w:pPr>
            <w:r w:rsidRPr="00623AA7">
              <w:rPr>
                <w:color w:val="000000" w:themeColor="text1"/>
              </w:rPr>
              <w:t xml:space="preserve">All clients of specialist homelessness services are either homeless or at risk of homelessness. </w:t>
            </w:r>
            <w:r>
              <w:rPr>
                <w:color w:val="000000" w:themeColor="text1"/>
              </w:rPr>
              <w:t>‘</w:t>
            </w:r>
            <w:r w:rsidRPr="00623AA7">
              <w:rPr>
                <w:color w:val="000000" w:themeColor="text1"/>
              </w:rPr>
              <w:t>Homeless</w:t>
            </w:r>
            <w:r>
              <w:rPr>
                <w:color w:val="000000" w:themeColor="text1"/>
              </w:rPr>
              <w:t>’</w:t>
            </w:r>
            <w:r w:rsidRPr="00623AA7">
              <w:rPr>
                <w:color w:val="000000" w:themeColor="text1"/>
              </w:rPr>
              <w:t xml:space="preserve"> status is derived for a client based on the client’s housing circumstances at the beginning of their first support period in 2012–13 (or at the beginning of 2012–13 for clients who were existing clients on 1 July 2012). All other clients not meeting these criteria are considered to be at risk of homelessness (excluding clients who did not provide sufficient information to make this assessment).</w:t>
            </w:r>
          </w:p>
        </w:tc>
      </w:tr>
      <w:tr w:rsidR="00C72922" w:rsidRPr="00C72922" w:rsidTr="007F1A1C">
        <w:trPr>
          <w:cantSplit/>
        </w:trPr>
        <w:tc>
          <w:tcPr>
            <w:tcW w:w="8771" w:type="dxa"/>
            <w:tcBorders>
              <w:top w:val="nil"/>
              <w:left w:val="single" w:sz="6" w:space="0" w:color="auto"/>
              <w:bottom w:val="nil"/>
              <w:right w:val="single" w:sz="6" w:space="0" w:color="auto"/>
            </w:tcBorders>
          </w:tcPr>
          <w:p w:rsidR="00C72922" w:rsidRPr="00C72922" w:rsidRDefault="00C72922" w:rsidP="00C72922">
            <w:pPr>
              <w:keepNext/>
              <w:spacing w:before="60" w:line="280" w:lineRule="atLeast"/>
              <w:jc w:val="both"/>
              <w:rPr>
                <w:rFonts w:ascii="Arial" w:hAnsi="Arial"/>
                <w:sz w:val="18"/>
                <w:szCs w:val="18"/>
              </w:rPr>
            </w:pPr>
            <w:r w:rsidRPr="00C72922">
              <w:rPr>
                <w:rFonts w:ascii="Arial" w:hAnsi="Arial"/>
                <w:i/>
                <w:sz w:val="18"/>
                <w:szCs w:val="18"/>
              </w:rPr>
              <w:t>Source</w:t>
            </w:r>
            <w:r w:rsidRPr="00C72922">
              <w:rPr>
                <w:rFonts w:ascii="Arial" w:hAnsi="Arial"/>
                <w:sz w:val="18"/>
                <w:szCs w:val="18"/>
              </w:rPr>
              <w:t>: ABS (2012b); 2014 Report, Chapter 18.</w:t>
            </w:r>
          </w:p>
        </w:tc>
      </w:tr>
      <w:tr w:rsidR="00C72922" w:rsidRPr="00C72922" w:rsidTr="007F1A1C">
        <w:trPr>
          <w:cantSplit/>
        </w:trPr>
        <w:tc>
          <w:tcPr>
            <w:tcW w:w="8771" w:type="dxa"/>
            <w:tcBorders>
              <w:top w:val="nil"/>
              <w:left w:val="single" w:sz="6" w:space="0" w:color="auto"/>
              <w:bottom w:val="single" w:sz="6" w:space="0" w:color="auto"/>
              <w:right w:val="single" w:sz="6" w:space="0" w:color="auto"/>
            </w:tcBorders>
          </w:tcPr>
          <w:p w:rsidR="00C72922" w:rsidRPr="00C72922" w:rsidRDefault="00C72922" w:rsidP="00C72922">
            <w:pPr>
              <w:keepNext/>
              <w:spacing w:line="120" w:lineRule="exact"/>
              <w:jc w:val="both"/>
              <w:rPr>
                <w:rFonts w:ascii="Arial" w:hAnsi="Arial"/>
                <w:sz w:val="22"/>
                <w:szCs w:val="20"/>
              </w:rPr>
            </w:pPr>
          </w:p>
        </w:tc>
      </w:tr>
      <w:tr w:rsidR="00C72922" w:rsidRPr="00C72922" w:rsidTr="007F1A1C">
        <w:tc>
          <w:tcPr>
            <w:tcW w:w="8771" w:type="dxa"/>
            <w:tcBorders>
              <w:top w:val="nil"/>
              <w:left w:val="nil"/>
              <w:bottom w:val="nil"/>
              <w:right w:val="nil"/>
            </w:tcBorders>
          </w:tcPr>
          <w:p w:rsidR="00C72922" w:rsidRPr="00C72922" w:rsidRDefault="00C72922" w:rsidP="00C72922">
            <w:pPr>
              <w:spacing w:before="60" w:after="60" w:line="80" w:lineRule="exact"/>
              <w:jc w:val="both"/>
              <w:rPr>
                <w:rFonts w:ascii="Arial" w:hAnsi="Arial"/>
                <w:b/>
                <w:color w:val="FF00FF"/>
                <w:sz w:val="14"/>
                <w:szCs w:val="20"/>
              </w:rPr>
            </w:pPr>
          </w:p>
        </w:tc>
      </w:tr>
    </w:tbl>
    <w:p w:rsidR="00BD01F9" w:rsidRPr="00B616E3" w:rsidRDefault="00BD01F9" w:rsidP="00BD01F9">
      <w:pPr>
        <w:pStyle w:val="Heading3"/>
      </w:pPr>
      <w:bookmarkStart w:id="16" w:name="_Toc320630754"/>
      <w:bookmarkStart w:id="17" w:name="_Toc320774657"/>
      <w:bookmarkStart w:id="18" w:name="_Toc348968984"/>
      <w:bookmarkStart w:id="19" w:name="_Toc381085187"/>
      <w:bookmarkStart w:id="20" w:name="_Toc384654189"/>
      <w:r w:rsidRPr="00B616E3">
        <w:t>Profile of the housing and homelessness sector</w:t>
      </w:r>
      <w:bookmarkEnd w:id="16"/>
      <w:bookmarkEnd w:id="17"/>
      <w:bookmarkEnd w:id="18"/>
      <w:bookmarkEnd w:id="19"/>
      <w:bookmarkEnd w:id="20"/>
    </w:p>
    <w:p w:rsidR="00432847" w:rsidRPr="00B616E3" w:rsidRDefault="00432847" w:rsidP="00432847">
      <w:pPr>
        <w:pStyle w:val="BodyText"/>
      </w:pPr>
      <w:r w:rsidRPr="00B616E3">
        <w:t>Detailed profiles for the services within the housing and homelessness services sector are reported in chapters 17 and 18, and cover:</w:t>
      </w:r>
    </w:p>
    <w:p w:rsidR="00432847" w:rsidRPr="00B616E3" w:rsidRDefault="00432847" w:rsidP="00432847">
      <w:pPr>
        <w:pStyle w:val="ListBullet"/>
        <w:numPr>
          <w:ilvl w:val="0"/>
          <w:numId w:val="4"/>
        </w:numPr>
      </w:pPr>
      <w:r w:rsidRPr="00B616E3">
        <w:t>size and scope of the individual service types</w:t>
      </w:r>
    </w:p>
    <w:p w:rsidR="00432847" w:rsidRPr="00B616E3" w:rsidRDefault="00432847" w:rsidP="00432847">
      <w:pPr>
        <w:pStyle w:val="ListBullet"/>
        <w:numPr>
          <w:ilvl w:val="0"/>
          <w:numId w:val="4"/>
        </w:numPr>
      </w:pPr>
      <w:r w:rsidRPr="00B616E3">
        <w:t xml:space="preserve">roles and responsibilities of each level of government and non-government organisations </w:t>
      </w:r>
    </w:p>
    <w:p w:rsidR="00432847" w:rsidRPr="00B616E3" w:rsidRDefault="00432847" w:rsidP="00432847">
      <w:pPr>
        <w:pStyle w:val="ListBullet"/>
        <w:numPr>
          <w:ilvl w:val="0"/>
          <w:numId w:val="4"/>
        </w:numPr>
      </w:pPr>
      <w:r w:rsidRPr="00B616E3">
        <w:t>funding and expenditure.</w:t>
      </w:r>
    </w:p>
    <w:p w:rsidR="00BD01F9" w:rsidRPr="00B616E3" w:rsidRDefault="00BD01F9" w:rsidP="00BD01F9">
      <w:pPr>
        <w:pStyle w:val="Heading3"/>
      </w:pPr>
      <w:bookmarkStart w:id="21" w:name="_Toc320630755"/>
      <w:bookmarkStart w:id="22" w:name="_Toc320774658"/>
      <w:bookmarkStart w:id="23" w:name="_Toc348968985"/>
      <w:bookmarkStart w:id="24" w:name="_Toc381085188"/>
      <w:bookmarkStart w:id="25" w:name="_Toc384654190"/>
      <w:r w:rsidRPr="00B616E3">
        <w:t>Government funding and expenditure</w:t>
      </w:r>
      <w:bookmarkEnd w:id="21"/>
      <w:bookmarkEnd w:id="22"/>
      <w:bookmarkEnd w:id="23"/>
      <w:bookmarkEnd w:id="24"/>
      <w:bookmarkEnd w:id="25"/>
    </w:p>
    <w:p w:rsidR="00432847" w:rsidRPr="00B616E3" w:rsidRDefault="00432847" w:rsidP="00432847">
      <w:pPr>
        <w:pStyle w:val="BodyText"/>
      </w:pPr>
      <w:r w:rsidRPr="00B616E3">
        <w:t>Most Australian Government funding for housing and homelessness services is provided through the NAH SPP. This funding is based on outcomes rather than tied to programs, so it is not possible to identify NAH SPP funding used for specific programs.</w:t>
      </w:r>
    </w:p>
    <w:p w:rsidR="00432847" w:rsidRPr="00B616E3" w:rsidRDefault="00432847" w:rsidP="00432847">
      <w:pPr>
        <w:pStyle w:val="BodyText"/>
        <w:rPr>
          <w:color w:val="000000"/>
        </w:rPr>
      </w:pPr>
      <w:r w:rsidRPr="00B616E3">
        <w:rPr>
          <w:color w:val="000000" w:themeColor="text1"/>
        </w:rPr>
        <w:lastRenderedPageBreak/>
        <w:t>In 2012–13, the Australian Government provided $1.7 billion to State and Territory governments for housing and homelessness services through national partnership agreements in support of the NAHA (table GA.1). In addition, the Australian Government provided a further $3.6 billion for CRA in 2012–13 (2014 Report, table GA.12).</w:t>
      </w:r>
    </w:p>
    <w:p w:rsidR="00432847" w:rsidRPr="00B616E3" w:rsidRDefault="00432847" w:rsidP="00432847">
      <w:pPr>
        <w:pStyle w:val="BodyText"/>
      </w:pPr>
      <w:r w:rsidRPr="00B616E3">
        <w:t xml:space="preserve">Australian, State and Territory governments’ total expenditure on social housing and homelessness services was </w:t>
      </w:r>
      <w:r w:rsidRPr="00B616E3">
        <w:rPr>
          <w:color w:val="000000" w:themeColor="text1"/>
        </w:rPr>
        <w:t>$3.9 billion in 2011–12</w:t>
      </w:r>
      <w:r w:rsidRPr="00B616E3">
        <w:t xml:space="preserve"> (table G.1). Other descriptive data for social housing and homelessness services </w:t>
      </w:r>
      <w:r w:rsidRPr="00B616E3">
        <w:rPr>
          <w:color w:val="000000" w:themeColor="text1"/>
        </w:rPr>
        <w:t>for 2011–12 are presented in table G.1, and data for ea</w:t>
      </w:r>
      <w:r w:rsidRPr="00B616E3">
        <w:t>ch jurisdiction are reported in table GA.3 and 2014 Report, table GA.4.</w:t>
      </w:r>
    </w:p>
    <w:p w:rsidR="00432847" w:rsidRPr="00B616E3" w:rsidRDefault="00432847" w:rsidP="00432847">
      <w:pPr>
        <w:pStyle w:val="BodyText"/>
      </w:pPr>
      <w:r w:rsidRPr="00B616E3">
        <w:t xml:space="preserve">Further information, </w:t>
      </w:r>
      <w:r w:rsidRPr="00B616E3">
        <w:rPr>
          <w:color w:val="000000" w:themeColor="text1"/>
        </w:rPr>
        <w:t>including 2011–12 and 2012–13 financial</w:t>
      </w:r>
      <w:r w:rsidRPr="00B616E3">
        <w:t xml:space="preserve"> data for public housing, SOMIH and homelessness services, is presented in chapters 17 and 18.</w:t>
      </w:r>
    </w:p>
    <w:p w:rsidR="00432847" w:rsidRPr="00B616E3" w:rsidRDefault="00432847" w:rsidP="00432847">
      <w:pPr>
        <w:pStyle w:val="TableTitle"/>
        <w:rPr>
          <w:rStyle w:val="NoteLabel"/>
          <w:b/>
          <w:color w:val="000000" w:themeColor="text1"/>
        </w:rPr>
      </w:pPr>
      <w:r w:rsidRPr="00B616E3">
        <w:rPr>
          <w:b w:val="0"/>
        </w:rPr>
        <w:t xml:space="preserve">Table </w:t>
      </w:r>
      <w:bookmarkStart w:id="26" w:name="OLE_LINK2"/>
      <w:r w:rsidRPr="00B616E3">
        <w:rPr>
          <w:b w:val="0"/>
        </w:rPr>
        <w:t>G.</w:t>
      </w:r>
      <w:r w:rsidRPr="00B616E3">
        <w:rPr>
          <w:b w:val="0"/>
          <w:noProof/>
        </w:rPr>
        <w:t>1</w:t>
      </w:r>
      <w:bookmarkEnd w:id="26"/>
      <w:r w:rsidRPr="00B616E3">
        <w:tab/>
        <w:t xml:space="preserve">Housing and </w:t>
      </w:r>
      <w:r w:rsidRPr="00B616E3">
        <w:rPr>
          <w:color w:val="000000" w:themeColor="text1"/>
        </w:rPr>
        <w:t>homelessness services sector, selected descriptive statistics, Australia, 2011–12</w:t>
      </w:r>
      <w:r w:rsidRPr="00B616E3">
        <w:rPr>
          <w:rStyle w:val="NoteLabel"/>
          <w:b/>
          <w:color w:val="000000" w:themeColor="text1"/>
        </w:rPr>
        <w:t>a</w:t>
      </w:r>
    </w:p>
    <w:tbl>
      <w:tblPr>
        <w:tblW w:w="5000" w:type="pct"/>
        <w:tblCellMar>
          <w:left w:w="0" w:type="dxa"/>
          <w:right w:w="0" w:type="dxa"/>
        </w:tblCellMar>
        <w:tblLook w:val="0000" w:firstRow="0" w:lastRow="0" w:firstColumn="0" w:lastColumn="0" w:noHBand="0" w:noVBand="0"/>
      </w:tblPr>
      <w:tblGrid>
        <w:gridCol w:w="360"/>
        <w:gridCol w:w="3155"/>
        <w:gridCol w:w="1758"/>
        <w:gridCol w:w="1758"/>
        <w:gridCol w:w="1758"/>
      </w:tblGrid>
      <w:tr w:rsidR="00432847" w:rsidRPr="00B616E3" w:rsidTr="00432847">
        <w:tc>
          <w:tcPr>
            <w:tcW w:w="205" w:type="pct"/>
            <w:tcBorders>
              <w:top w:val="single" w:sz="6" w:space="0" w:color="auto"/>
              <w:bottom w:val="single" w:sz="6" w:space="0" w:color="auto"/>
            </w:tcBorders>
            <w:shd w:val="clear" w:color="auto" w:fill="auto"/>
          </w:tcPr>
          <w:p w:rsidR="00432847" w:rsidRPr="00B616E3" w:rsidRDefault="00432847" w:rsidP="00432847">
            <w:pPr>
              <w:pStyle w:val="TableColumnHeading"/>
              <w:jc w:val="left"/>
              <w:rPr>
                <w:color w:val="000000" w:themeColor="text1"/>
              </w:rPr>
            </w:pPr>
          </w:p>
        </w:tc>
        <w:tc>
          <w:tcPr>
            <w:tcW w:w="1795" w:type="pct"/>
            <w:tcBorders>
              <w:top w:val="single" w:sz="6" w:space="0" w:color="auto"/>
              <w:bottom w:val="single" w:sz="6" w:space="0" w:color="auto"/>
            </w:tcBorders>
            <w:shd w:val="clear" w:color="auto" w:fill="auto"/>
          </w:tcPr>
          <w:p w:rsidR="00432847" w:rsidRPr="00B616E3" w:rsidRDefault="00432847" w:rsidP="00432847">
            <w:pPr>
              <w:pStyle w:val="TableColumnHeading"/>
              <w:rPr>
                <w:color w:val="000000" w:themeColor="text1"/>
              </w:rPr>
            </w:pPr>
          </w:p>
        </w:tc>
        <w:tc>
          <w:tcPr>
            <w:tcW w:w="1000" w:type="pct"/>
            <w:tcBorders>
              <w:top w:val="single" w:sz="6" w:space="0" w:color="auto"/>
              <w:bottom w:val="single" w:sz="6" w:space="0" w:color="auto"/>
            </w:tcBorders>
            <w:shd w:val="clear" w:color="auto" w:fill="auto"/>
          </w:tcPr>
          <w:p w:rsidR="00432847" w:rsidRPr="00B616E3" w:rsidRDefault="00432847" w:rsidP="00432847">
            <w:pPr>
              <w:pStyle w:val="TableColumnHeading"/>
              <w:rPr>
                <w:color w:val="000000" w:themeColor="text1"/>
              </w:rPr>
            </w:pPr>
            <w:r w:rsidRPr="00B616E3">
              <w:rPr>
                <w:color w:val="000000" w:themeColor="text1"/>
              </w:rPr>
              <w:t>Net recurrent expenditure</w:t>
            </w:r>
          </w:p>
        </w:tc>
        <w:tc>
          <w:tcPr>
            <w:tcW w:w="1000" w:type="pct"/>
            <w:tcBorders>
              <w:top w:val="single" w:sz="6" w:space="0" w:color="auto"/>
              <w:bottom w:val="single" w:sz="6" w:space="0" w:color="auto"/>
            </w:tcBorders>
            <w:shd w:val="clear" w:color="auto" w:fill="auto"/>
          </w:tcPr>
          <w:p w:rsidR="00432847" w:rsidRPr="00B616E3" w:rsidRDefault="00432847" w:rsidP="00432847">
            <w:pPr>
              <w:pStyle w:val="TableColumnHeading"/>
              <w:rPr>
                <w:rStyle w:val="NoteLabel"/>
              </w:rPr>
            </w:pPr>
            <w:r w:rsidRPr="00B616E3">
              <w:rPr>
                <w:color w:val="000000" w:themeColor="text1"/>
              </w:rPr>
              <w:t>Dwellings</w:t>
            </w:r>
            <w:r w:rsidRPr="00B616E3">
              <w:rPr>
                <w:rStyle w:val="NoteLabel"/>
              </w:rPr>
              <w:t>b</w:t>
            </w:r>
          </w:p>
        </w:tc>
        <w:tc>
          <w:tcPr>
            <w:tcW w:w="1000" w:type="pct"/>
            <w:tcBorders>
              <w:top w:val="single" w:sz="6" w:space="0" w:color="auto"/>
              <w:bottom w:val="single" w:sz="6" w:space="0" w:color="auto"/>
            </w:tcBorders>
            <w:shd w:val="clear" w:color="auto" w:fill="auto"/>
          </w:tcPr>
          <w:p w:rsidR="00432847" w:rsidRPr="00B616E3" w:rsidRDefault="00432847" w:rsidP="00432847">
            <w:pPr>
              <w:pStyle w:val="TableColumnHeading"/>
              <w:ind w:right="28"/>
              <w:rPr>
                <w:color w:val="000000" w:themeColor="text1"/>
              </w:rPr>
            </w:pPr>
            <w:r w:rsidRPr="00B616E3">
              <w:rPr>
                <w:color w:val="000000" w:themeColor="text1"/>
              </w:rPr>
              <w:t>Households</w:t>
            </w:r>
          </w:p>
        </w:tc>
      </w:tr>
      <w:tr w:rsidR="00432847" w:rsidRPr="00B616E3" w:rsidTr="00432847">
        <w:tc>
          <w:tcPr>
            <w:tcW w:w="205" w:type="pct"/>
            <w:tcBorders>
              <w:top w:val="single" w:sz="6" w:space="0" w:color="auto"/>
            </w:tcBorders>
          </w:tcPr>
          <w:p w:rsidR="00432847" w:rsidRPr="00B616E3" w:rsidRDefault="00432847" w:rsidP="00432847">
            <w:pPr>
              <w:pStyle w:val="TableUnitsRow"/>
              <w:jc w:val="left"/>
              <w:rPr>
                <w:color w:val="000000" w:themeColor="text1"/>
              </w:rPr>
            </w:pPr>
          </w:p>
        </w:tc>
        <w:tc>
          <w:tcPr>
            <w:tcW w:w="1795" w:type="pct"/>
            <w:tcBorders>
              <w:top w:val="single" w:sz="6" w:space="0" w:color="auto"/>
            </w:tcBorders>
          </w:tcPr>
          <w:p w:rsidR="00432847" w:rsidRPr="00B616E3" w:rsidRDefault="00432847" w:rsidP="00432847">
            <w:pPr>
              <w:pStyle w:val="TableUnitsRow"/>
              <w:rPr>
                <w:color w:val="000000" w:themeColor="text1"/>
              </w:rPr>
            </w:pPr>
          </w:p>
        </w:tc>
        <w:tc>
          <w:tcPr>
            <w:tcW w:w="1000" w:type="pct"/>
            <w:tcBorders>
              <w:top w:val="single" w:sz="6" w:space="0" w:color="auto"/>
            </w:tcBorders>
            <w:shd w:val="clear" w:color="auto" w:fill="auto"/>
          </w:tcPr>
          <w:p w:rsidR="00432847" w:rsidRPr="00B616E3" w:rsidRDefault="00432847" w:rsidP="00432847">
            <w:pPr>
              <w:pStyle w:val="TableUnitsRow"/>
              <w:rPr>
                <w:i/>
                <w:color w:val="000000" w:themeColor="text1"/>
              </w:rPr>
            </w:pPr>
            <w:r w:rsidRPr="00B616E3">
              <w:rPr>
                <w:i/>
                <w:color w:val="000000" w:themeColor="text1"/>
              </w:rPr>
              <w:t>$m</w:t>
            </w:r>
          </w:p>
        </w:tc>
        <w:tc>
          <w:tcPr>
            <w:tcW w:w="1000" w:type="pct"/>
            <w:tcBorders>
              <w:top w:val="single" w:sz="6" w:space="0" w:color="auto"/>
            </w:tcBorders>
            <w:shd w:val="clear" w:color="auto" w:fill="auto"/>
          </w:tcPr>
          <w:p w:rsidR="00432847" w:rsidRPr="00B616E3" w:rsidRDefault="00432847" w:rsidP="00432847">
            <w:pPr>
              <w:pStyle w:val="TableUnitsRow"/>
              <w:rPr>
                <w:i/>
                <w:color w:val="000000" w:themeColor="text1"/>
              </w:rPr>
            </w:pPr>
            <w:r w:rsidRPr="00B616E3">
              <w:rPr>
                <w:i/>
                <w:color w:val="000000" w:themeColor="text1"/>
              </w:rPr>
              <w:t>No.</w:t>
            </w:r>
          </w:p>
        </w:tc>
        <w:tc>
          <w:tcPr>
            <w:tcW w:w="1000" w:type="pct"/>
            <w:tcBorders>
              <w:top w:val="single" w:sz="6" w:space="0" w:color="auto"/>
            </w:tcBorders>
            <w:shd w:val="clear" w:color="auto" w:fill="auto"/>
          </w:tcPr>
          <w:p w:rsidR="00432847" w:rsidRPr="00B616E3" w:rsidRDefault="00432847" w:rsidP="00432847">
            <w:pPr>
              <w:pStyle w:val="TableUnitsRow"/>
              <w:ind w:right="28"/>
              <w:rPr>
                <w:i/>
                <w:color w:val="000000" w:themeColor="text1"/>
              </w:rPr>
            </w:pPr>
            <w:r w:rsidRPr="00B616E3">
              <w:rPr>
                <w:i/>
                <w:color w:val="000000" w:themeColor="text1"/>
              </w:rPr>
              <w:t>No.</w:t>
            </w:r>
          </w:p>
        </w:tc>
      </w:tr>
      <w:tr w:rsidR="00432847" w:rsidRPr="00B616E3" w:rsidTr="00432847">
        <w:tc>
          <w:tcPr>
            <w:tcW w:w="2000" w:type="pct"/>
            <w:gridSpan w:val="2"/>
          </w:tcPr>
          <w:p w:rsidR="00432847" w:rsidRPr="00B616E3" w:rsidRDefault="00432847" w:rsidP="00432847">
            <w:pPr>
              <w:pStyle w:val="TableBodyText"/>
              <w:jc w:val="left"/>
              <w:rPr>
                <w:i/>
                <w:color w:val="000000" w:themeColor="text1"/>
              </w:rPr>
            </w:pPr>
            <w:r w:rsidRPr="00B616E3">
              <w:rPr>
                <w:i/>
                <w:color w:val="000000" w:themeColor="text1"/>
              </w:rPr>
              <w:t>Social housing</w:t>
            </w:r>
          </w:p>
        </w:tc>
        <w:tc>
          <w:tcPr>
            <w:tcW w:w="1000" w:type="pct"/>
            <w:shd w:val="clear" w:color="auto" w:fill="auto"/>
          </w:tcPr>
          <w:p w:rsidR="00432847" w:rsidRPr="00B616E3" w:rsidRDefault="00432847" w:rsidP="00432847">
            <w:pPr>
              <w:pStyle w:val="TableBodyText"/>
              <w:rPr>
                <w:color w:val="000000" w:themeColor="text1"/>
              </w:rPr>
            </w:pPr>
          </w:p>
        </w:tc>
        <w:tc>
          <w:tcPr>
            <w:tcW w:w="1000" w:type="pct"/>
            <w:shd w:val="clear" w:color="auto" w:fill="auto"/>
          </w:tcPr>
          <w:p w:rsidR="00432847" w:rsidRPr="00B616E3" w:rsidRDefault="00432847" w:rsidP="00432847">
            <w:pPr>
              <w:pStyle w:val="TableBodyText"/>
              <w:rPr>
                <w:color w:val="000000" w:themeColor="text1"/>
              </w:rPr>
            </w:pPr>
          </w:p>
        </w:tc>
        <w:tc>
          <w:tcPr>
            <w:tcW w:w="1000" w:type="pct"/>
            <w:shd w:val="clear" w:color="auto" w:fill="auto"/>
          </w:tcPr>
          <w:p w:rsidR="00432847" w:rsidRPr="00B616E3" w:rsidRDefault="00432847" w:rsidP="00432847">
            <w:pPr>
              <w:pStyle w:val="TableBodyText"/>
              <w:ind w:right="28"/>
              <w:rPr>
                <w:color w:val="000000" w:themeColor="text1"/>
              </w:rPr>
            </w:pPr>
          </w:p>
        </w:tc>
      </w:tr>
      <w:tr w:rsidR="00432847" w:rsidRPr="00B616E3" w:rsidTr="00432847">
        <w:tc>
          <w:tcPr>
            <w:tcW w:w="205" w:type="pct"/>
          </w:tcPr>
          <w:p w:rsidR="00432847" w:rsidRPr="00B616E3" w:rsidRDefault="00432847" w:rsidP="00432847">
            <w:pPr>
              <w:pStyle w:val="TableBodyText"/>
              <w:jc w:val="left"/>
              <w:rPr>
                <w:color w:val="000000" w:themeColor="text1"/>
              </w:rPr>
            </w:pPr>
          </w:p>
        </w:tc>
        <w:tc>
          <w:tcPr>
            <w:tcW w:w="1795" w:type="pct"/>
          </w:tcPr>
          <w:p w:rsidR="00432847" w:rsidRPr="00B616E3" w:rsidRDefault="00432847" w:rsidP="00432847">
            <w:pPr>
              <w:pStyle w:val="TableBodyText"/>
              <w:jc w:val="left"/>
              <w:rPr>
                <w:color w:val="000000" w:themeColor="text1"/>
              </w:rPr>
            </w:pPr>
            <w:r w:rsidRPr="00B616E3">
              <w:rPr>
                <w:color w:val="000000" w:themeColor="text1"/>
              </w:rPr>
              <w:t>Public housing</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2 538.0</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330 906</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323 423</w:t>
            </w:r>
          </w:p>
        </w:tc>
      </w:tr>
      <w:tr w:rsidR="00432847" w:rsidRPr="00B616E3" w:rsidTr="00432847">
        <w:tc>
          <w:tcPr>
            <w:tcW w:w="205" w:type="pct"/>
          </w:tcPr>
          <w:p w:rsidR="00432847" w:rsidRPr="00B616E3" w:rsidRDefault="00432847" w:rsidP="00432847">
            <w:pPr>
              <w:pStyle w:val="TableBodyText"/>
              <w:jc w:val="left"/>
            </w:pPr>
          </w:p>
        </w:tc>
        <w:tc>
          <w:tcPr>
            <w:tcW w:w="1795" w:type="pct"/>
          </w:tcPr>
          <w:p w:rsidR="00432847" w:rsidRPr="00B616E3" w:rsidRDefault="00432847" w:rsidP="00432847">
            <w:pPr>
              <w:pStyle w:val="TableBodyText"/>
              <w:jc w:val="left"/>
            </w:pPr>
            <w:r w:rsidRPr="00B616E3">
              <w:t>SOMIH</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107.3</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10 047</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9 692</w:t>
            </w:r>
          </w:p>
        </w:tc>
      </w:tr>
      <w:tr w:rsidR="00432847" w:rsidRPr="00B616E3" w:rsidTr="00432847">
        <w:tc>
          <w:tcPr>
            <w:tcW w:w="205" w:type="pct"/>
          </w:tcPr>
          <w:p w:rsidR="00432847" w:rsidRPr="00B616E3" w:rsidRDefault="00432847" w:rsidP="00432847">
            <w:pPr>
              <w:pStyle w:val="TableBodyText"/>
              <w:jc w:val="left"/>
            </w:pPr>
          </w:p>
        </w:tc>
        <w:tc>
          <w:tcPr>
            <w:tcW w:w="1795" w:type="pct"/>
          </w:tcPr>
          <w:p w:rsidR="00432847" w:rsidRPr="00B616E3" w:rsidRDefault="00432847" w:rsidP="00432847">
            <w:pPr>
              <w:pStyle w:val="TableBodyText"/>
              <w:jc w:val="left"/>
            </w:pPr>
            <w:r w:rsidRPr="00B616E3">
              <w:t>Community housing</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560.1</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61 563</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61 033</w:t>
            </w:r>
          </w:p>
        </w:tc>
      </w:tr>
      <w:tr w:rsidR="00432847" w:rsidRPr="00B616E3" w:rsidTr="00432847">
        <w:tc>
          <w:tcPr>
            <w:tcW w:w="205" w:type="pct"/>
          </w:tcPr>
          <w:p w:rsidR="00432847" w:rsidRPr="00B616E3" w:rsidRDefault="00432847" w:rsidP="00432847">
            <w:pPr>
              <w:pStyle w:val="TableBodyText"/>
              <w:jc w:val="left"/>
            </w:pPr>
          </w:p>
        </w:tc>
        <w:tc>
          <w:tcPr>
            <w:tcW w:w="1795" w:type="pct"/>
          </w:tcPr>
          <w:p w:rsidR="00432847" w:rsidRPr="00B616E3" w:rsidRDefault="00432847" w:rsidP="00432847">
            <w:pPr>
              <w:pStyle w:val="TableBodyText"/>
              <w:jc w:val="left"/>
            </w:pPr>
            <w:r w:rsidRPr="00B616E3">
              <w:t>Indigenous community housing</w:t>
            </w:r>
            <w:r w:rsidRPr="00B616E3">
              <w:rPr>
                <w:rStyle w:val="NoteLabel"/>
              </w:rPr>
              <w:t>c</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90.4</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16 773</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w:t>
            </w:r>
          </w:p>
        </w:tc>
      </w:tr>
      <w:tr w:rsidR="00432847" w:rsidRPr="00B616E3" w:rsidTr="00432847">
        <w:tc>
          <w:tcPr>
            <w:tcW w:w="205" w:type="pct"/>
          </w:tcPr>
          <w:p w:rsidR="00432847" w:rsidRPr="00B616E3" w:rsidRDefault="00432847" w:rsidP="00432847">
            <w:pPr>
              <w:pStyle w:val="TableBodyText"/>
              <w:jc w:val="left"/>
            </w:pPr>
          </w:p>
        </w:tc>
        <w:tc>
          <w:tcPr>
            <w:tcW w:w="1795" w:type="pct"/>
          </w:tcPr>
          <w:p w:rsidR="00432847" w:rsidRPr="00B616E3" w:rsidRDefault="00B616E3" w:rsidP="00432847">
            <w:pPr>
              <w:pStyle w:val="TableBodyText"/>
              <w:jc w:val="left"/>
              <w:rPr>
                <w:b/>
              </w:rPr>
            </w:pPr>
            <w:r w:rsidRPr="00B616E3">
              <w:rPr>
                <w:b/>
              </w:rPr>
              <w:t>Total</w:t>
            </w:r>
          </w:p>
        </w:tc>
        <w:tc>
          <w:tcPr>
            <w:tcW w:w="1000" w:type="pct"/>
            <w:shd w:val="clear" w:color="auto" w:fill="auto"/>
          </w:tcPr>
          <w:p w:rsidR="00432847" w:rsidRPr="00B616E3" w:rsidRDefault="00432847" w:rsidP="00432847">
            <w:pPr>
              <w:pStyle w:val="TableBodyText"/>
              <w:rPr>
                <w:b/>
                <w:color w:val="000000" w:themeColor="text1"/>
              </w:rPr>
            </w:pPr>
            <w:r w:rsidRPr="00B616E3">
              <w:rPr>
                <w:b/>
                <w:color w:val="000000" w:themeColor="text1"/>
              </w:rPr>
              <w:t>3 295.8</w:t>
            </w:r>
          </w:p>
        </w:tc>
        <w:tc>
          <w:tcPr>
            <w:tcW w:w="1000" w:type="pct"/>
            <w:shd w:val="clear" w:color="auto" w:fill="auto"/>
          </w:tcPr>
          <w:p w:rsidR="00432847" w:rsidRPr="00B616E3" w:rsidRDefault="00432847" w:rsidP="00432847">
            <w:pPr>
              <w:pStyle w:val="TableBodyText"/>
              <w:rPr>
                <w:b/>
                <w:color w:val="000000" w:themeColor="text1"/>
              </w:rPr>
            </w:pPr>
            <w:r w:rsidRPr="00B616E3">
              <w:rPr>
                <w:b/>
                <w:color w:val="000000" w:themeColor="text1"/>
              </w:rPr>
              <w:t>419 289</w:t>
            </w:r>
          </w:p>
        </w:tc>
        <w:tc>
          <w:tcPr>
            <w:tcW w:w="1000" w:type="pct"/>
            <w:shd w:val="clear" w:color="auto" w:fill="auto"/>
          </w:tcPr>
          <w:p w:rsidR="00432847" w:rsidRPr="00B616E3" w:rsidRDefault="00432847" w:rsidP="00432847">
            <w:pPr>
              <w:pStyle w:val="TableBodyText"/>
              <w:rPr>
                <w:b/>
                <w:color w:val="000000" w:themeColor="text1"/>
              </w:rPr>
            </w:pPr>
            <w:r w:rsidRPr="00B616E3">
              <w:rPr>
                <w:b/>
                <w:color w:val="000000" w:themeColor="text1"/>
              </w:rPr>
              <w:t>394 148</w:t>
            </w:r>
          </w:p>
        </w:tc>
      </w:tr>
      <w:tr w:rsidR="00432847" w:rsidRPr="00B616E3" w:rsidTr="00432847">
        <w:tc>
          <w:tcPr>
            <w:tcW w:w="205" w:type="pct"/>
          </w:tcPr>
          <w:p w:rsidR="00432847" w:rsidRPr="00B616E3" w:rsidRDefault="00432847" w:rsidP="00432847">
            <w:pPr>
              <w:pStyle w:val="TableBodyText"/>
              <w:jc w:val="left"/>
            </w:pPr>
          </w:p>
        </w:tc>
        <w:tc>
          <w:tcPr>
            <w:tcW w:w="1795" w:type="pct"/>
          </w:tcPr>
          <w:p w:rsidR="00432847" w:rsidRPr="00B616E3" w:rsidRDefault="00432847" w:rsidP="00432847">
            <w:pPr>
              <w:pStyle w:val="TableBodyText"/>
            </w:pPr>
          </w:p>
        </w:tc>
        <w:tc>
          <w:tcPr>
            <w:tcW w:w="1000" w:type="pct"/>
            <w:shd w:val="clear" w:color="auto" w:fill="auto"/>
          </w:tcPr>
          <w:p w:rsidR="00432847" w:rsidRPr="00B616E3" w:rsidRDefault="00432847" w:rsidP="00432847">
            <w:pPr>
              <w:pStyle w:val="TableBodyText"/>
              <w:rPr>
                <w:i/>
                <w:color w:val="000000" w:themeColor="text1"/>
              </w:rPr>
            </w:pPr>
          </w:p>
        </w:tc>
        <w:tc>
          <w:tcPr>
            <w:tcW w:w="1000" w:type="pct"/>
            <w:shd w:val="clear" w:color="auto" w:fill="auto"/>
          </w:tcPr>
          <w:p w:rsidR="00432847" w:rsidRPr="00B616E3" w:rsidRDefault="00432847" w:rsidP="00432847">
            <w:pPr>
              <w:pStyle w:val="TableBodyText"/>
              <w:rPr>
                <w:i/>
                <w:color w:val="000000" w:themeColor="text1"/>
              </w:rPr>
            </w:pPr>
          </w:p>
        </w:tc>
        <w:tc>
          <w:tcPr>
            <w:tcW w:w="1000" w:type="pct"/>
            <w:shd w:val="clear" w:color="auto" w:fill="auto"/>
          </w:tcPr>
          <w:p w:rsidR="00432847" w:rsidRPr="00B616E3" w:rsidRDefault="00432847" w:rsidP="00432847">
            <w:pPr>
              <w:pStyle w:val="TableBodyText"/>
              <w:rPr>
                <w:i/>
                <w:color w:val="000000" w:themeColor="text1"/>
              </w:rPr>
            </w:pPr>
          </w:p>
        </w:tc>
      </w:tr>
      <w:tr w:rsidR="00432847" w:rsidRPr="00B616E3" w:rsidTr="00432847">
        <w:tc>
          <w:tcPr>
            <w:tcW w:w="205" w:type="pct"/>
          </w:tcPr>
          <w:p w:rsidR="00432847" w:rsidRPr="00B616E3" w:rsidRDefault="00432847" w:rsidP="00432847">
            <w:pPr>
              <w:pStyle w:val="TableBodyText"/>
              <w:jc w:val="left"/>
            </w:pPr>
          </w:p>
        </w:tc>
        <w:tc>
          <w:tcPr>
            <w:tcW w:w="1795" w:type="pct"/>
          </w:tcPr>
          <w:p w:rsidR="00432847" w:rsidRPr="00B616E3" w:rsidRDefault="00432847" w:rsidP="00432847">
            <w:pPr>
              <w:pStyle w:val="TableBodyText"/>
            </w:pPr>
          </w:p>
        </w:tc>
        <w:tc>
          <w:tcPr>
            <w:tcW w:w="1000" w:type="pct"/>
            <w:shd w:val="clear" w:color="auto" w:fill="auto"/>
          </w:tcPr>
          <w:p w:rsidR="00432847" w:rsidRPr="00B616E3" w:rsidRDefault="00432847" w:rsidP="00432847">
            <w:pPr>
              <w:pStyle w:val="TableBodyText"/>
              <w:rPr>
                <w:i/>
                <w:color w:val="000000" w:themeColor="text1"/>
              </w:rPr>
            </w:pPr>
          </w:p>
        </w:tc>
        <w:tc>
          <w:tcPr>
            <w:tcW w:w="1000" w:type="pct"/>
            <w:shd w:val="clear" w:color="auto" w:fill="auto"/>
          </w:tcPr>
          <w:p w:rsidR="00432847" w:rsidRPr="00B616E3" w:rsidRDefault="00432847" w:rsidP="00432847">
            <w:pPr>
              <w:pStyle w:val="TableBodyText"/>
              <w:rPr>
                <w:i/>
                <w:color w:val="000000" w:themeColor="text1"/>
              </w:rPr>
            </w:pPr>
            <w:r w:rsidRPr="00B616E3">
              <w:rPr>
                <w:i/>
                <w:color w:val="000000" w:themeColor="text1"/>
              </w:rPr>
              <w:t>Clients (‘000)</w:t>
            </w:r>
          </w:p>
        </w:tc>
        <w:tc>
          <w:tcPr>
            <w:tcW w:w="1000" w:type="pct"/>
            <w:shd w:val="clear" w:color="auto" w:fill="auto"/>
          </w:tcPr>
          <w:p w:rsidR="00432847" w:rsidRPr="00B616E3" w:rsidRDefault="00432847" w:rsidP="00432847">
            <w:pPr>
              <w:pStyle w:val="TableBodyText"/>
              <w:rPr>
                <w:i/>
                <w:color w:val="000000" w:themeColor="text1"/>
              </w:rPr>
            </w:pPr>
          </w:p>
        </w:tc>
      </w:tr>
      <w:tr w:rsidR="00432847" w:rsidRPr="00B616E3" w:rsidTr="00432847">
        <w:tc>
          <w:tcPr>
            <w:tcW w:w="2000" w:type="pct"/>
            <w:gridSpan w:val="2"/>
          </w:tcPr>
          <w:p w:rsidR="00432847" w:rsidRPr="00B616E3" w:rsidRDefault="00432847" w:rsidP="00432847">
            <w:pPr>
              <w:pStyle w:val="TableBodyText"/>
              <w:jc w:val="left"/>
              <w:rPr>
                <w:i/>
              </w:rPr>
            </w:pPr>
            <w:r w:rsidRPr="00B616E3">
              <w:rPr>
                <w:i/>
              </w:rPr>
              <w:t>Homelessness services</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575.9</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236.4</w:t>
            </w:r>
          </w:p>
        </w:tc>
        <w:tc>
          <w:tcPr>
            <w:tcW w:w="1000" w:type="pct"/>
            <w:shd w:val="clear" w:color="auto" w:fill="auto"/>
          </w:tcPr>
          <w:p w:rsidR="00432847" w:rsidRPr="00B616E3" w:rsidRDefault="00432847" w:rsidP="00432847">
            <w:pPr>
              <w:pStyle w:val="TableBodyText"/>
              <w:rPr>
                <w:color w:val="000000" w:themeColor="text1"/>
              </w:rPr>
            </w:pPr>
            <w:r w:rsidRPr="00B616E3">
              <w:rPr>
                <w:color w:val="000000" w:themeColor="text1"/>
              </w:rPr>
              <w:t>..</w:t>
            </w:r>
          </w:p>
        </w:tc>
      </w:tr>
      <w:tr w:rsidR="00432847" w:rsidRPr="00B616E3" w:rsidTr="00432847">
        <w:tc>
          <w:tcPr>
            <w:tcW w:w="2000" w:type="pct"/>
            <w:gridSpan w:val="2"/>
            <w:tcBorders>
              <w:bottom w:val="single" w:sz="6" w:space="0" w:color="auto"/>
            </w:tcBorders>
            <w:shd w:val="clear" w:color="auto" w:fill="auto"/>
          </w:tcPr>
          <w:p w:rsidR="00432847" w:rsidRPr="00B616E3" w:rsidRDefault="00432847" w:rsidP="00432847">
            <w:pPr>
              <w:pStyle w:val="TableBodyText"/>
              <w:jc w:val="left"/>
              <w:rPr>
                <w:b/>
              </w:rPr>
            </w:pPr>
            <w:r w:rsidRPr="00B616E3">
              <w:rPr>
                <w:b/>
              </w:rPr>
              <w:t>Total</w:t>
            </w:r>
          </w:p>
        </w:tc>
        <w:tc>
          <w:tcPr>
            <w:tcW w:w="1000" w:type="pct"/>
            <w:tcBorders>
              <w:bottom w:val="single" w:sz="6" w:space="0" w:color="auto"/>
            </w:tcBorders>
            <w:shd w:val="clear" w:color="auto" w:fill="auto"/>
          </w:tcPr>
          <w:p w:rsidR="00432847" w:rsidRPr="00B616E3" w:rsidRDefault="00432847" w:rsidP="00432847">
            <w:pPr>
              <w:pStyle w:val="TableBodyText"/>
              <w:rPr>
                <w:b/>
                <w:color w:val="000000" w:themeColor="text1"/>
              </w:rPr>
            </w:pPr>
            <w:r w:rsidRPr="00B616E3">
              <w:rPr>
                <w:b/>
                <w:color w:val="000000" w:themeColor="text1"/>
              </w:rPr>
              <w:t>3 871.7</w:t>
            </w:r>
          </w:p>
        </w:tc>
        <w:tc>
          <w:tcPr>
            <w:tcW w:w="1000" w:type="pct"/>
            <w:tcBorders>
              <w:bottom w:val="single" w:sz="6" w:space="0" w:color="auto"/>
            </w:tcBorders>
            <w:shd w:val="clear" w:color="auto" w:fill="auto"/>
          </w:tcPr>
          <w:p w:rsidR="00432847" w:rsidRPr="00B616E3" w:rsidRDefault="00432847" w:rsidP="00432847">
            <w:pPr>
              <w:pStyle w:val="TableBodyText"/>
              <w:rPr>
                <w:color w:val="000000" w:themeColor="text1"/>
              </w:rPr>
            </w:pPr>
            <w:r w:rsidRPr="00B616E3">
              <w:rPr>
                <w:color w:val="000000" w:themeColor="text1"/>
              </w:rPr>
              <w:t>..</w:t>
            </w:r>
          </w:p>
        </w:tc>
        <w:tc>
          <w:tcPr>
            <w:tcW w:w="1000" w:type="pct"/>
            <w:tcBorders>
              <w:bottom w:val="single" w:sz="6" w:space="0" w:color="auto"/>
            </w:tcBorders>
            <w:shd w:val="clear" w:color="auto" w:fill="auto"/>
          </w:tcPr>
          <w:p w:rsidR="00432847" w:rsidRPr="00B616E3" w:rsidRDefault="00432847" w:rsidP="00432847">
            <w:pPr>
              <w:pStyle w:val="TableBodyText"/>
              <w:rPr>
                <w:color w:val="000000" w:themeColor="text1"/>
              </w:rPr>
            </w:pPr>
            <w:r w:rsidRPr="00B616E3">
              <w:rPr>
                <w:color w:val="000000" w:themeColor="text1"/>
              </w:rPr>
              <w:t>..</w:t>
            </w:r>
          </w:p>
        </w:tc>
      </w:tr>
    </w:tbl>
    <w:p w:rsidR="00432847" w:rsidRPr="00B616E3" w:rsidRDefault="00432847" w:rsidP="00432847">
      <w:pPr>
        <w:pStyle w:val="Note"/>
      </w:pPr>
      <w:r w:rsidRPr="00B616E3">
        <w:rPr>
          <w:rStyle w:val="NoteLabel"/>
        </w:rPr>
        <w:t>a </w:t>
      </w:r>
      <w:r w:rsidRPr="00B616E3">
        <w:t xml:space="preserve">Data may not be comparable across jurisdictions or service areas and comparisons could be misleading. Chapters 17 and 18 provide further information. </w:t>
      </w:r>
      <w:r w:rsidRPr="00B616E3">
        <w:rPr>
          <w:rStyle w:val="NoteLabel"/>
        </w:rPr>
        <w:t xml:space="preserve">b </w:t>
      </w:r>
      <w:r w:rsidRPr="00B616E3">
        <w:t>The total number of dwellings at 30 June.</w:t>
      </w:r>
      <w:r w:rsidRPr="00B616E3">
        <w:rPr>
          <w:rStyle w:val="NoteLabel"/>
        </w:rPr>
        <w:t xml:space="preserve"> c </w:t>
      </w:r>
      <w:r w:rsidRPr="00B616E3">
        <w:t xml:space="preserve">Data for ICH are likely to be underestimated because complete data were not available for all jurisdictions. The number of ICH dwellings are ‘funded, permanent dwellings’. </w:t>
      </w:r>
      <w:r w:rsidRPr="00B616E3">
        <w:rPr>
          <w:color w:val="000000" w:themeColor="text1"/>
        </w:rPr>
        <w:t xml:space="preserve">.. </w:t>
      </w:r>
      <w:r w:rsidRPr="00B616E3">
        <w:t>Not applicable.</w:t>
      </w:r>
    </w:p>
    <w:p w:rsidR="00432847" w:rsidRPr="00B616E3" w:rsidRDefault="00432847" w:rsidP="00432847">
      <w:pPr>
        <w:pStyle w:val="Source"/>
      </w:pPr>
      <w:r w:rsidRPr="00B616E3">
        <w:rPr>
          <w:i/>
        </w:rPr>
        <w:t>Source</w:t>
      </w:r>
      <w:r w:rsidRPr="00B616E3">
        <w:t>: Chapters 17 and 18; table GA.2; 2014 Report, table G.1, p. G.6.</w:t>
      </w:r>
    </w:p>
    <w:p w:rsidR="00BD01F9" w:rsidRPr="00B616E3" w:rsidRDefault="00BD01F9" w:rsidP="00BD01F9">
      <w:pPr>
        <w:pStyle w:val="Heading3"/>
      </w:pPr>
      <w:bookmarkStart w:id="27" w:name="_Toc320630756"/>
      <w:bookmarkStart w:id="28" w:name="_Toc320774659"/>
      <w:bookmarkStart w:id="29" w:name="_Toc348968986"/>
      <w:bookmarkStart w:id="30" w:name="_Toc381085189"/>
      <w:bookmarkStart w:id="31" w:name="_Toc384654191"/>
      <w:r w:rsidRPr="00B616E3">
        <w:t>Commonwealth Rent Assistance</w:t>
      </w:r>
      <w:bookmarkEnd w:id="27"/>
      <w:bookmarkEnd w:id="28"/>
      <w:bookmarkEnd w:id="29"/>
      <w:bookmarkEnd w:id="30"/>
      <w:bookmarkEnd w:id="31"/>
    </w:p>
    <w:p w:rsidR="00432847" w:rsidRPr="00B616E3" w:rsidRDefault="00432847" w:rsidP="00432847">
      <w:pPr>
        <w:spacing w:before="240" w:line="320" w:lineRule="atLeast"/>
        <w:jc w:val="both"/>
        <w:rPr>
          <w:szCs w:val="20"/>
        </w:rPr>
      </w:pPr>
      <w:r w:rsidRPr="00B616E3">
        <w:rPr>
          <w:szCs w:val="20"/>
        </w:rPr>
        <w:t>CRA is an Australian Government payment to people on low and moderate incomes who are renting in the private housing market, to assist with the cost of housing. It is a non</w:t>
      </w:r>
      <w:r w:rsidRPr="00B616E3">
        <w:rPr>
          <w:szCs w:val="20"/>
        </w:rPr>
        <w:noBreakHyphen/>
        <w:t>taxable income supplement, paid to income support recipients or people who receive more than the base rate of the Family Tax Benefit Part A, and who rent in the private market. CRA may be payable to people living in SOMIH (in NSW</w:t>
      </w:r>
      <w:r w:rsidRPr="00B616E3">
        <w:rPr>
          <w:szCs w:val="20"/>
          <w:shd w:val="clear" w:color="auto" w:fill="92D050"/>
        </w:rPr>
        <w:t xml:space="preserve"> </w:t>
      </w:r>
      <w:r w:rsidRPr="00B616E3">
        <w:rPr>
          <w:szCs w:val="20"/>
        </w:rPr>
        <w:lastRenderedPageBreak/>
        <w:t>only), community housing or Indigenous community housing but it is not payable to people renting housing from State or Territory housing authorities (that is, people living in public housing, or SOMIH [other than NSW]), as housing authorities separately subsidise rent for eligible tenants.</w:t>
      </w:r>
    </w:p>
    <w:p w:rsidR="00432847" w:rsidRPr="00B616E3" w:rsidRDefault="00432847" w:rsidP="00432847">
      <w:pPr>
        <w:spacing w:before="240" w:line="320" w:lineRule="atLeast"/>
        <w:jc w:val="both"/>
        <w:rPr>
          <w:color w:val="000000" w:themeColor="text1"/>
          <w:szCs w:val="20"/>
        </w:rPr>
      </w:pPr>
      <w:r w:rsidRPr="00B616E3">
        <w:rPr>
          <w:color w:val="000000" w:themeColor="text1"/>
          <w:szCs w:val="20"/>
        </w:rPr>
        <w:t>Tables GA.12–34 in the 2014 Report, present a range of detailed data on CRA, including Australian Government expenditure; CRA recipients, including Indigenous recipients and</w:t>
      </w:r>
      <w:r w:rsidRPr="00B616E3">
        <w:rPr>
          <w:b/>
          <w:color w:val="000000" w:themeColor="text1"/>
          <w:szCs w:val="20"/>
        </w:rPr>
        <w:t xml:space="preserve"> </w:t>
      </w:r>
      <w:r w:rsidRPr="00B616E3">
        <w:rPr>
          <w:color w:val="000000" w:themeColor="text1"/>
          <w:szCs w:val="20"/>
        </w:rPr>
        <w:t>those with special needs; and the amount of rent paid and the proportion of income spent on rent by CRA recipients.</w:t>
      </w:r>
    </w:p>
    <w:p w:rsidR="00BD01F9" w:rsidRPr="00C23D2A" w:rsidRDefault="00BD01F9" w:rsidP="00BD01F9">
      <w:pPr>
        <w:pStyle w:val="Heading3"/>
      </w:pPr>
      <w:bookmarkStart w:id="32" w:name="_Toc320630757"/>
      <w:bookmarkStart w:id="33" w:name="_Toc320774660"/>
      <w:bookmarkStart w:id="34" w:name="_Toc348968987"/>
      <w:bookmarkStart w:id="35" w:name="_Toc381085190"/>
      <w:bookmarkStart w:id="36" w:name="_Toc384654192"/>
      <w:r w:rsidRPr="00C23D2A">
        <w:t>Social and economic factors affecting demand for services</w:t>
      </w:r>
      <w:bookmarkEnd w:id="32"/>
      <w:bookmarkEnd w:id="33"/>
      <w:bookmarkEnd w:id="34"/>
      <w:bookmarkEnd w:id="35"/>
      <w:bookmarkEnd w:id="36"/>
    </w:p>
    <w:p w:rsidR="00432847" w:rsidRPr="00C23D2A" w:rsidRDefault="00432847" w:rsidP="00432847">
      <w:pPr>
        <w:pStyle w:val="BodyText"/>
      </w:pPr>
      <w:bookmarkStart w:id="37" w:name="_Toc320630758"/>
      <w:bookmarkStart w:id="38" w:name="_Toc320774661"/>
      <w:bookmarkStart w:id="39" w:name="_Toc348968988"/>
      <w:r w:rsidRPr="00C23D2A">
        <w:t xml:space="preserve">Research shows the pathways to homelessness are varied and complex. Longitudinal factors (for example, influences from early childhood) can compound with situational factors, leading to homelessness. For young people, factors such as family conflict or abuse, drug use, unstable employment, participating in education and training, combining work and study, and financial pressure (for example, tension between paying rent, food and utility costs) can potentially lead to unstable housing and increase the risk of homelessness (Memmott and Chambers 2010; </w:t>
      </w:r>
      <w:r w:rsidRPr="00C23D2A">
        <w:br/>
        <w:t>CHP 2005).</w:t>
      </w:r>
    </w:p>
    <w:p w:rsidR="00BD01F9" w:rsidRPr="00C23D2A" w:rsidRDefault="00BD01F9" w:rsidP="00BD01F9">
      <w:pPr>
        <w:pStyle w:val="Heading3"/>
      </w:pPr>
      <w:bookmarkStart w:id="40" w:name="_Toc381085191"/>
      <w:bookmarkStart w:id="41" w:name="_Toc384654193"/>
      <w:r w:rsidRPr="00C23D2A">
        <w:t>Service-sector objectives</w:t>
      </w:r>
      <w:bookmarkEnd w:id="37"/>
      <w:bookmarkEnd w:id="38"/>
      <w:bookmarkEnd w:id="39"/>
      <w:bookmarkEnd w:id="40"/>
      <w:bookmarkEnd w:id="41"/>
    </w:p>
    <w:p w:rsidR="00432847" w:rsidRPr="00D92283" w:rsidRDefault="00432847" w:rsidP="00432847">
      <w:pPr>
        <w:pStyle w:val="BodyText"/>
      </w:pPr>
      <w:r w:rsidRPr="00D92283">
        <w:t>The overarching service sector objectives in box G.3 draw together the objectives from each of the specific services (described in chapters 17 and 18), as well as reflecting the objectives set out in the NAHA.</w:t>
      </w:r>
    </w:p>
    <w:p w:rsidR="00BD01F9" w:rsidRPr="00D92283" w:rsidRDefault="00BD01F9" w:rsidP="00BD01F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01F9" w:rsidRPr="00D92283" w:rsidTr="008343A4">
        <w:tc>
          <w:tcPr>
            <w:tcW w:w="8771" w:type="dxa"/>
            <w:tcBorders>
              <w:top w:val="single" w:sz="6" w:space="0" w:color="auto"/>
              <w:bottom w:val="nil"/>
            </w:tcBorders>
          </w:tcPr>
          <w:p w:rsidR="00BD01F9" w:rsidRPr="00D92283" w:rsidRDefault="00BD01F9" w:rsidP="008343A4">
            <w:pPr>
              <w:pStyle w:val="BoxTitle"/>
            </w:pPr>
            <w:r w:rsidRPr="00D92283">
              <w:rPr>
                <w:b w:val="0"/>
              </w:rPr>
              <w:t xml:space="preserve">Box </w:t>
            </w:r>
            <w:r w:rsidR="007523F0" w:rsidRPr="00D92283">
              <w:rPr>
                <w:b w:val="0"/>
              </w:rPr>
              <w:t>G.3</w:t>
            </w:r>
            <w:r w:rsidRPr="00D92283">
              <w:tab/>
              <w:t>Objectives for housing and homelessness services</w:t>
            </w:r>
          </w:p>
        </w:tc>
      </w:tr>
      <w:tr w:rsidR="00BD01F9" w:rsidRPr="00D92283" w:rsidTr="008343A4">
        <w:trPr>
          <w:cantSplit/>
        </w:trPr>
        <w:tc>
          <w:tcPr>
            <w:tcW w:w="8771" w:type="dxa"/>
            <w:tcBorders>
              <w:top w:val="nil"/>
              <w:left w:val="single" w:sz="6" w:space="0" w:color="auto"/>
              <w:bottom w:val="nil"/>
              <w:right w:val="single" w:sz="6" w:space="0" w:color="auto"/>
            </w:tcBorders>
          </w:tcPr>
          <w:p w:rsidR="00432847" w:rsidRPr="00D92283" w:rsidRDefault="00432847" w:rsidP="00432847">
            <w:pPr>
              <w:pStyle w:val="Box"/>
            </w:pPr>
            <w:r w:rsidRPr="00D92283">
              <w:t>The overarching objective of housing and homelessness services is that all Australians have access to affordable, safe and sustainable housing that contributes to social and economic participation. Further, government services are to be provided in a collaborative, equitable and efficient manner.</w:t>
            </w:r>
          </w:p>
          <w:p w:rsidR="00432847" w:rsidRPr="00D92283" w:rsidRDefault="00432847" w:rsidP="00432847">
            <w:pPr>
              <w:pStyle w:val="Box"/>
            </w:pPr>
            <w:r w:rsidRPr="00D92283">
              <w:t>The specific objectives of the services that comprise the housing and homelessness services sector are summarised below:</w:t>
            </w:r>
          </w:p>
          <w:p w:rsidR="00432847" w:rsidRPr="00D92283" w:rsidRDefault="00432847" w:rsidP="00432847">
            <w:pPr>
              <w:pStyle w:val="BoxListBullet"/>
              <w:numPr>
                <w:ilvl w:val="0"/>
                <w:numId w:val="1"/>
              </w:numPr>
            </w:pPr>
            <w:r w:rsidRPr="00D92283">
              <w:rPr>
                <w:i/>
              </w:rPr>
              <w:t>Social housing</w:t>
            </w:r>
            <w:r w:rsidRPr="00D92283">
              <w:t xml:space="preserve"> aims to assist people unable to access alternative suitable housing options, through the delivery of affordable, appropriate, flexible and diverse social housing. Some forms of social housing specifically aim to contribute to Indigenous community wellbeing, by improving housing outcomes for Indigenous people, especially those living in remote communities (chapter 17).</w:t>
            </w:r>
          </w:p>
          <w:p w:rsidR="00BD01F9" w:rsidRPr="00D92283" w:rsidRDefault="00432847" w:rsidP="00432847">
            <w:pPr>
              <w:pStyle w:val="BoxListBullet"/>
              <w:numPr>
                <w:ilvl w:val="0"/>
                <w:numId w:val="1"/>
              </w:numPr>
              <w:spacing w:before="120"/>
            </w:pPr>
            <w:r w:rsidRPr="00D92283">
              <w:rPr>
                <w:i/>
                <w:color w:val="000000" w:themeColor="text1"/>
              </w:rPr>
              <w:t>Government funded specialist homelessness services</w:t>
            </w:r>
            <w:r w:rsidRPr="00D92283">
              <w:rPr>
                <w:color w:val="000000" w:themeColor="text1"/>
              </w:rPr>
              <w:t xml:space="preserve"> aim to provide transitional supported accommodation and a range of related support services, to help people who are homeless or at imminent risk of homelessness to achieve stable and long term independent housing (chapter 18).</w:t>
            </w:r>
          </w:p>
        </w:tc>
      </w:tr>
      <w:tr w:rsidR="00BD01F9" w:rsidRPr="00D92283" w:rsidTr="008343A4">
        <w:trPr>
          <w:cantSplit/>
        </w:trPr>
        <w:tc>
          <w:tcPr>
            <w:tcW w:w="8771" w:type="dxa"/>
            <w:tcBorders>
              <w:top w:val="nil"/>
              <w:left w:val="single" w:sz="6" w:space="0" w:color="auto"/>
              <w:bottom w:val="nil"/>
              <w:right w:val="single" w:sz="6" w:space="0" w:color="auto"/>
            </w:tcBorders>
          </w:tcPr>
          <w:p w:rsidR="00BD01F9" w:rsidRPr="00D92283" w:rsidRDefault="00BD01F9" w:rsidP="00432847">
            <w:pPr>
              <w:pStyle w:val="BoxSource"/>
            </w:pPr>
            <w:r w:rsidRPr="00D92283">
              <w:rPr>
                <w:i/>
              </w:rPr>
              <w:t>Source</w:t>
            </w:r>
            <w:r w:rsidRPr="00D92283">
              <w:t>: COAG (2008), Chapters 1</w:t>
            </w:r>
            <w:r w:rsidR="00432847" w:rsidRPr="00D92283">
              <w:t>7</w:t>
            </w:r>
            <w:r w:rsidRPr="00D92283">
              <w:t xml:space="preserve"> and 1</w:t>
            </w:r>
            <w:r w:rsidR="00432847" w:rsidRPr="00D92283">
              <w:t>8</w:t>
            </w:r>
            <w:r w:rsidRPr="00D92283">
              <w:t>.</w:t>
            </w:r>
          </w:p>
        </w:tc>
      </w:tr>
      <w:tr w:rsidR="00BD01F9" w:rsidRPr="00D92283" w:rsidTr="008343A4">
        <w:trPr>
          <w:cantSplit/>
        </w:trPr>
        <w:tc>
          <w:tcPr>
            <w:tcW w:w="8771" w:type="dxa"/>
            <w:tcBorders>
              <w:top w:val="nil"/>
              <w:left w:val="single" w:sz="6" w:space="0" w:color="auto"/>
              <w:bottom w:val="single" w:sz="6" w:space="0" w:color="auto"/>
              <w:right w:val="single" w:sz="6" w:space="0" w:color="auto"/>
            </w:tcBorders>
          </w:tcPr>
          <w:p w:rsidR="00BD01F9" w:rsidRPr="00D92283" w:rsidRDefault="00BD01F9" w:rsidP="008343A4">
            <w:pPr>
              <w:pStyle w:val="Box"/>
              <w:spacing w:before="0" w:line="120" w:lineRule="exact"/>
            </w:pPr>
          </w:p>
        </w:tc>
      </w:tr>
      <w:tr w:rsidR="00BD01F9" w:rsidRPr="00D92283" w:rsidTr="008343A4">
        <w:tc>
          <w:tcPr>
            <w:tcW w:w="8771" w:type="dxa"/>
            <w:tcBorders>
              <w:top w:val="nil"/>
              <w:left w:val="nil"/>
              <w:bottom w:val="nil"/>
              <w:right w:val="nil"/>
            </w:tcBorders>
          </w:tcPr>
          <w:p w:rsidR="00BD01F9" w:rsidRPr="00D92283" w:rsidRDefault="00BD01F9" w:rsidP="008343A4">
            <w:pPr>
              <w:pStyle w:val="Box"/>
              <w:keepNext w:val="0"/>
              <w:spacing w:before="60" w:after="60" w:line="80" w:lineRule="exact"/>
              <w:rPr>
                <w:b/>
                <w:color w:val="FF00FF"/>
                <w:sz w:val="14"/>
              </w:rPr>
            </w:pPr>
          </w:p>
        </w:tc>
      </w:tr>
    </w:tbl>
    <w:p w:rsidR="00BD01F9" w:rsidRPr="00D92283" w:rsidRDefault="00BD01F9" w:rsidP="00BD01F9">
      <w:pPr>
        <w:pStyle w:val="Heading3"/>
      </w:pPr>
      <w:bookmarkStart w:id="42" w:name="_Toc320630759"/>
      <w:bookmarkStart w:id="43" w:name="_Toc320774662"/>
      <w:bookmarkStart w:id="44" w:name="_Toc348968989"/>
      <w:bookmarkStart w:id="45" w:name="_Toc381085192"/>
      <w:bookmarkStart w:id="46" w:name="_Toc384654194"/>
      <w:r w:rsidRPr="00D92283">
        <w:t>Sector performance indicator framework</w:t>
      </w:r>
      <w:bookmarkEnd w:id="42"/>
      <w:bookmarkEnd w:id="43"/>
      <w:bookmarkEnd w:id="44"/>
      <w:bookmarkEnd w:id="45"/>
      <w:bookmarkEnd w:id="46"/>
    </w:p>
    <w:p w:rsidR="00432847" w:rsidRPr="00D92283" w:rsidRDefault="00432847" w:rsidP="00432847">
      <w:pPr>
        <w:pStyle w:val="BodyText"/>
      </w:pPr>
      <w:r w:rsidRPr="00D92283">
        <w:t xml:space="preserve">This sector overview is based on a sector performance indicator framework </w:t>
      </w:r>
      <w:r w:rsidRPr="00D92283">
        <w:br/>
        <w:t>(figure G.1). This framework is made up of the following elements:</w:t>
      </w:r>
    </w:p>
    <w:p w:rsidR="00432847" w:rsidRPr="00D92283" w:rsidRDefault="00432847" w:rsidP="00432847">
      <w:pPr>
        <w:pStyle w:val="ListBullet"/>
        <w:numPr>
          <w:ilvl w:val="0"/>
          <w:numId w:val="4"/>
        </w:numPr>
      </w:pPr>
      <w:r w:rsidRPr="00D92283">
        <w:t xml:space="preserve">Sector objectives — three sector objectives are a précis of the key objectives of housing and homelessness services and reflect the outcomes in the NAHA </w:t>
      </w:r>
      <w:r w:rsidRPr="00D92283">
        <w:br/>
        <w:t>(box G.3).</w:t>
      </w:r>
    </w:p>
    <w:p w:rsidR="00432847" w:rsidRPr="00D92283" w:rsidRDefault="00432847" w:rsidP="00432847">
      <w:pPr>
        <w:pStyle w:val="ListBullet"/>
        <w:numPr>
          <w:ilvl w:val="0"/>
          <w:numId w:val="4"/>
        </w:numPr>
      </w:pPr>
      <w:r w:rsidRPr="00D92283">
        <w:t>Sector-wide indicators — three sector-wide indicators relate to the overarching service sector objectives.</w:t>
      </w:r>
    </w:p>
    <w:p w:rsidR="00432847" w:rsidRPr="00D92283" w:rsidRDefault="00432847" w:rsidP="00432847">
      <w:pPr>
        <w:pStyle w:val="FigureTitle"/>
        <w:spacing w:after="120" w:line="240" w:lineRule="auto"/>
      </w:pPr>
      <w:r w:rsidRPr="00D92283">
        <w:rPr>
          <w:b w:val="0"/>
        </w:rPr>
        <w:lastRenderedPageBreak/>
        <w:t>Figure G.1</w:t>
      </w:r>
      <w:r w:rsidRPr="00D92283">
        <w:tab/>
      </w:r>
      <w:bookmarkStart w:id="47" w:name="FigureTitle"/>
      <w:r w:rsidRPr="00D92283">
        <w:t>Housing and homelessness services sector performance indicator framework</w:t>
      </w:r>
      <w:bookmarkEnd w:id="47"/>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32847" w:rsidRPr="00D92283" w:rsidTr="00432847">
        <w:trPr>
          <w:trHeight w:val="10715"/>
        </w:trPr>
        <w:tc>
          <w:tcPr>
            <w:tcW w:w="8777" w:type="dxa"/>
          </w:tcPr>
          <w:p w:rsidR="00432847" w:rsidRPr="00D92283" w:rsidRDefault="00432847" w:rsidP="00432847">
            <w:pPr>
              <w:pStyle w:val="Figure"/>
              <w:rPr>
                <w:sz w:val="20"/>
              </w:rPr>
            </w:pPr>
            <w:r w:rsidRPr="00D92283">
              <w:rPr>
                <w:noProof/>
                <w:sz w:val="20"/>
              </w:rPr>
              <w:drawing>
                <wp:inline distT="0" distB="0" distL="0" distR="0" wp14:anchorId="1F53D5E8" wp14:editId="6E41E8B7">
                  <wp:extent cx="5457825" cy="7639050"/>
                  <wp:effectExtent l="0" t="0" r="9525" b="0"/>
                  <wp:docPr id="6" name="Picture 6" descr="Figure G.1 Housing and homelessness services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57825" cy="7639050"/>
                          </a:xfrm>
                          <a:prstGeom prst="rect">
                            <a:avLst/>
                          </a:prstGeom>
                          <a:noFill/>
                          <a:ln>
                            <a:noFill/>
                          </a:ln>
                        </pic:spPr>
                      </pic:pic>
                    </a:graphicData>
                  </a:graphic>
                </wp:inline>
              </w:drawing>
            </w:r>
          </w:p>
        </w:tc>
      </w:tr>
    </w:tbl>
    <w:p w:rsidR="002148D0" w:rsidRPr="00D92283" w:rsidRDefault="002148D0" w:rsidP="002148D0">
      <w:pPr>
        <w:pStyle w:val="Source"/>
      </w:pPr>
      <w:r w:rsidRPr="00D92283">
        <w:rPr>
          <w:i/>
        </w:rPr>
        <w:t>Source</w:t>
      </w:r>
      <w:r w:rsidRPr="00D92283">
        <w:t>: 2014 Report, figure G.1, p. G.11.</w:t>
      </w:r>
    </w:p>
    <w:p w:rsidR="00BD01F9" w:rsidRPr="00D92283" w:rsidRDefault="00BD01F9" w:rsidP="00BD01F9">
      <w:pPr>
        <w:pStyle w:val="Heading3"/>
      </w:pPr>
      <w:bookmarkStart w:id="48" w:name="_Toc320630760"/>
      <w:bookmarkStart w:id="49" w:name="_Toc320774663"/>
      <w:bookmarkStart w:id="50" w:name="_Toc348968990"/>
      <w:bookmarkStart w:id="51" w:name="_Toc381085193"/>
      <w:bookmarkStart w:id="52" w:name="_Toc384654195"/>
      <w:r w:rsidRPr="00D92283">
        <w:lastRenderedPageBreak/>
        <w:t>Sector-wide indicators</w:t>
      </w:r>
      <w:bookmarkEnd w:id="48"/>
      <w:bookmarkEnd w:id="49"/>
      <w:bookmarkEnd w:id="50"/>
      <w:bookmarkEnd w:id="51"/>
      <w:bookmarkEnd w:id="52"/>
    </w:p>
    <w:p w:rsidR="002148D0" w:rsidRPr="00D92283" w:rsidRDefault="002148D0" w:rsidP="002148D0">
      <w:pPr>
        <w:pStyle w:val="BodyText"/>
      </w:pPr>
      <w:bookmarkStart w:id="53" w:name="_Toc320630761"/>
      <w:bookmarkStart w:id="54" w:name="_Toc320774664"/>
      <w:r w:rsidRPr="00D92283">
        <w:t>This section includes high level indicators of housing and homelessness outcomes. Many factors are likely to influence these outcomes — not solely the performance of government services. However, these outcomes inform the development of appropriate policies and the delivery of government services.</w:t>
      </w:r>
    </w:p>
    <w:p w:rsidR="00BD01F9" w:rsidRPr="00D92283" w:rsidRDefault="00BD01F9" w:rsidP="00BD01F9">
      <w:pPr>
        <w:pStyle w:val="Heading4"/>
      </w:pPr>
      <w:bookmarkStart w:id="55" w:name="_Toc348968991"/>
      <w:bookmarkStart w:id="56" w:name="_Toc381085194"/>
      <w:bookmarkStart w:id="57" w:name="_Toc384654196"/>
      <w:r w:rsidRPr="00D92283">
        <w:t>Appropriateness of Indigenous housing</w:t>
      </w:r>
      <w:bookmarkEnd w:id="53"/>
      <w:bookmarkEnd w:id="54"/>
      <w:bookmarkEnd w:id="55"/>
      <w:bookmarkEnd w:id="56"/>
      <w:bookmarkEnd w:id="57"/>
    </w:p>
    <w:p w:rsidR="00C30EF6" w:rsidRPr="00D92283" w:rsidRDefault="00C30EF6" w:rsidP="00C30EF6">
      <w:pPr>
        <w:pStyle w:val="BodyText"/>
      </w:pPr>
      <w:r w:rsidRPr="00D92283">
        <w:t>‘Appropriateness of Indigenous housing’ is an indicator of governments’ objective to ensure all Australians have access to affordable, safe, appropriate and sustainable housing (box G.4). Governments have a specific interest in improving amenity and reducing overcrowding for Indigenous people, particularly those living in remote and discrete communities (COAG 2008).</w:t>
      </w:r>
    </w:p>
    <w:p w:rsidR="00BD01F9" w:rsidRPr="00D92283" w:rsidRDefault="00BD01F9" w:rsidP="00BD01F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01F9" w:rsidRPr="00D92283" w:rsidTr="008343A4">
        <w:tc>
          <w:tcPr>
            <w:tcW w:w="8771" w:type="dxa"/>
            <w:tcBorders>
              <w:top w:val="single" w:sz="6" w:space="0" w:color="auto"/>
              <w:bottom w:val="nil"/>
            </w:tcBorders>
          </w:tcPr>
          <w:p w:rsidR="00BD01F9" w:rsidRPr="00D92283" w:rsidRDefault="00BD01F9" w:rsidP="007752E4">
            <w:pPr>
              <w:pStyle w:val="BoxTitle"/>
            </w:pPr>
            <w:r w:rsidRPr="00D92283">
              <w:rPr>
                <w:b w:val="0"/>
              </w:rPr>
              <w:t xml:space="preserve">Box </w:t>
            </w:r>
            <w:r w:rsidR="007523F0" w:rsidRPr="00D92283">
              <w:rPr>
                <w:b w:val="0"/>
              </w:rPr>
              <w:t>G.4</w:t>
            </w:r>
            <w:r w:rsidRPr="00D92283">
              <w:tab/>
              <w:t>Appropriateness of Indigenous housing</w:t>
            </w:r>
          </w:p>
        </w:tc>
      </w:tr>
      <w:tr w:rsidR="00C30EF6" w:rsidRPr="00D92283" w:rsidTr="008343A4">
        <w:trPr>
          <w:cantSplit/>
        </w:trPr>
        <w:tc>
          <w:tcPr>
            <w:tcW w:w="8771" w:type="dxa"/>
            <w:tcBorders>
              <w:top w:val="nil"/>
              <w:left w:val="single" w:sz="6" w:space="0" w:color="auto"/>
              <w:bottom w:val="nil"/>
              <w:right w:val="single" w:sz="6" w:space="0" w:color="auto"/>
            </w:tcBorders>
          </w:tcPr>
          <w:p w:rsidR="00C30EF6" w:rsidRPr="00D92283" w:rsidRDefault="00C30EF6" w:rsidP="007F1A1C">
            <w:pPr>
              <w:pStyle w:val="Box"/>
            </w:pPr>
            <w:r w:rsidRPr="00D92283">
              <w:t>‘Appropriateness of Indigenous housing’ is an indicator of the effectiveness and quality of Indigenous housing. Two measures are reported:</w:t>
            </w:r>
          </w:p>
          <w:p w:rsidR="00C30EF6" w:rsidRPr="00D92283" w:rsidRDefault="00C30EF6" w:rsidP="00C30EF6">
            <w:pPr>
              <w:pStyle w:val="BoxListBullet"/>
              <w:numPr>
                <w:ilvl w:val="0"/>
                <w:numId w:val="1"/>
              </w:numPr>
            </w:pPr>
            <w:r w:rsidRPr="00D92283">
              <w:t>proportion of Indigenous households l</w:t>
            </w:r>
            <w:r w:rsidR="00D92283" w:rsidRPr="00D92283">
              <w:t>iving in overcrowded conditions</w:t>
            </w:r>
          </w:p>
          <w:p w:rsidR="00C30EF6" w:rsidRPr="00D92283" w:rsidRDefault="00C30EF6" w:rsidP="00C30EF6">
            <w:pPr>
              <w:pStyle w:val="BoxListBullet"/>
              <w:numPr>
                <w:ilvl w:val="0"/>
                <w:numId w:val="1"/>
              </w:numPr>
            </w:pPr>
            <w:r w:rsidRPr="00D92283">
              <w:t>proportion of Indigenous households living in dwellings of an acceptable standard.</w:t>
            </w:r>
          </w:p>
          <w:p w:rsidR="00C30EF6" w:rsidRPr="00D92283" w:rsidRDefault="00C30EF6" w:rsidP="007F1A1C">
            <w:pPr>
              <w:pStyle w:val="Box"/>
            </w:pPr>
            <w:r w:rsidRPr="00D92283">
              <w:t>Overcrowding is defined and measured using the Canadian National Occupancy Standard (CNOS) under which overcrowding is deemed to have occurred if one or more additional bedrooms are required to meet the standard.</w:t>
            </w:r>
          </w:p>
          <w:p w:rsidR="00C30EF6" w:rsidRPr="00D92283" w:rsidRDefault="00C30EF6" w:rsidP="007F1A1C">
            <w:pPr>
              <w:pStyle w:val="Box"/>
            </w:pPr>
            <w:r w:rsidRPr="00D92283">
              <w:t>For all housing tenures, acceptable standard is defined as a dwelling with four working facilities (for washing people, for washing clothes/bedding, for storing/preparing food, and sewerage) and not more than two major structural problems.</w:t>
            </w:r>
          </w:p>
          <w:p w:rsidR="00C30EF6" w:rsidRPr="00D92283" w:rsidRDefault="00C30EF6" w:rsidP="007F1A1C">
            <w:pPr>
              <w:pStyle w:val="Box"/>
            </w:pPr>
            <w:r w:rsidRPr="00D92283">
              <w:t>A low proportion of households living in overcrowded conditions is desirable. A high proportion of Indigenous households living in dwellings of an acceptable standard is desirable.</w:t>
            </w:r>
          </w:p>
          <w:p w:rsidR="00C30EF6" w:rsidRPr="00D92283" w:rsidRDefault="00C30EF6" w:rsidP="007F1A1C">
            <w:pPr>
              <w:pStyle w:val="Box"/>
            </w:pPr>
            <w:r w:rsidRPr="00D92283">
              <w:t>Data comparability and completeness vary for this indicator. Data reported are:</w:t>
            </w:r>
          </w:p>
          <w:p w:rsidR="00C30EF6" w:rsidRPr="00D92283" w:rsidRDefault="00C30EF6" w:rsidP="007F1A1C">
            <w:pPr>
              <w:pStyle w:val="Box"/>
              <w:rPr>
                <w:rStyle w:val="DraftingNote"/>
                <w:b w:val="0"/>
                <w:i/>
                <w:color w:val="auto"/>
                <w:sz w:val="22"/>
                <w:u w:val="none"/>
              </w:rPr>
            </w:pPr>
            <w:r w:rsidRPr="00D92283">
              <w:rPr>
                <w:rStyle w:val="DraftingNote"/>
                <w:b w:val="0"/>
                <w:i/>
                <w:color w:val="auto"/>
                <w:sz w:val="22"/>
                <w:u w:val="none"/>
              </w:rPr>
              <w:t>Overcrowding</w:t>
            </w:r>
          </w:p>
          <w:p w:rsidR="00C30EF6" w:rsidRPr="00D92283" w:rsidRDefault="00C30EF6" w:rsidP="00C30EF6">
            <w:pPr>
              <w:pStyle w:val="BoxListBullet"/>
              <w:numPr>
                <w:ilvl w:val="0"/>
                <w:numId w:val="1"/>
              </w:numPr>
              <w:rPr>
                <w:rStyle w:val="DraftingNote"/>
                <w:b w:val="0"/>
                <w:color w:val="auto"/>
                <w:sz w:val="22"/>
                <w:u w:val="none"/>
              </w:rPr>
            </w:pPr>
            <w:r w:rsidRPr="00D92283">
              <w:rPr>
                <w:rStyle w:val="DraftingNote"/>
                <w:b w:val="0"/>
                <w:color w:val="auto"/>
                <w:sz w:val="22"/>
                <w:u w:val="none"/>
              </w:rPr>
              <w:t>for public housing and SOMIH, comparable (subject to caveats) across jurisdictions but a break in series means that data for 2009–10 onward are not comparable to data for earlier years</w:t>
            </w:r>
          </w:p>
          <w:p w:rsidR="00C30EF6" w:rsidRPr="00D92283" w:rsidRDefault="00C30EF6" w:rsidP="00C30EF6">
            <w:pPr>
              <w:pStyle w:val="BoxListBullet"/>
              <w:numPr>
                <w:ilvl w:val="0"/>
                <w:numId w:val="1"/>
              </w:numPr>
              <w:rPr>
                <w:rStyle w:val="DraftingNote"/>
                <w:b w:val="0"/>
                <w:color w:val="auto"/>
                <w:sz w:val="22"/>
                <w:u w:val="none"/>
              </w:rPr>
            </w:pPr>
            <w:r w:rsidRPr="00D92283">
              <w:rPr>
                <w:rStyle w:val="DraftingNote"/>
                <w:b w:val="0"/>
                <w:color w:val="auto"/>
                <w:sz w:val="22"/>
                <w:u w:val="none"/>
              </w:rPr>
              <w:t>not comparable across public housing, SOMIH, community housing and Indigenous community housing</w:t>
            </w:r>
          </w:p>
          <w:p w:rsidR="00C30EF6" w:rsidRPr="00D92283" w:rsidRDefault="00C30EF6" w:rsidP="00C30EF6">
            <w:pPr>
              <w:pStyle w:val="BoxListBullet"/>
              <w:numPr>
                <w:ilvl w:val="0"/>
                <w:numId w:val="1"/>
              </w:numPr>
              <w:rPr>
                <w:rStyle w:val="DraftingNote"/>
                <w:b w:val="0"/>
                <w:color w:val="000000" w:themeColor="text1"/>
                <w:sz w:val="22"/>
                <w:u w:val="none"/>
              </w:rPr>
            </w:pPr>
            <w:r w:rsidRPr="00D92283">
              <w:rPr>
                <w:rStyle w:val="DraftingNote"/>
                <w:b w:val="0"/>
                <w:color w:val="auto"/>
                <w:sz w:val="22"/>
                <w:u w:val="none"/>
              </w:rPr>
              <w:t xml:space="preserve">complete for public housing and SOMIH for the current reporting period (subject to </w:t>
            </w:r>
            <w:r w:rsidRPr="00D92283">
              <w:rPr>
                <w:rStyle w:val="DraftingNote"/>
                <w:b w:val="0"/>
                <w:color w:val="000000" w:themeColor="text1"/>
                <w:sz w:val="22"/>
                <w:u w:val="none"/>
              </w:rPr>
              <w:t>caveats). All required 2012–13 data are available for all jurisdictions providing the service</w:t>
            </w:r>
          </w:p>
          <w:p w:rsidR="00C30EF6" w:rsidRPr="00D92283" w:rsidRDefault="00C30EF6" w:rsidP="00C30EF6">
            <w:pPr>
              <w:pStyle w:val="BoxListBullet"/>
              <w:numPr>
                <w:ilvl w:val="0"/>
                <w:numId w:val="1"/>
              </w:numPr>
              <w:rPr>
                <w:rStyle w:val="DraftingNote"/>
                <w:b w:val="0"/>
                <w:color w:val="000000" w:themeColor="text1"/>
                <w:sz w:val="22"/>
                <w:u w:val="none"/>
              </w:rPr>
            </w:pPr>
            <w:r w:rsidRPr="00D92283">
              <w:rPr>
                <w:rStyle w:val="DraftingNote"/>
                <w:b w:val="0"/>
                <w:color w:val="000000" w:themeColor="text1"/>
                <w:sz w:val="22"/>
                <w:u w:val="none"/>
              </w:rPr>
              <w:t>incomplete for community housing. All required data were not available for the Northern Territory</w:t>
            </w:r>
          </w:p>
          <w:p w:rsidR="00C30EF6" w:rsidRPr="00D92283" w:rsidRDefault="00C30EF6" w:rsidP="00C30EF6">
            <w:pPr>
              <w:pStyle w:val="BoxListBullet"/>
              <w:numPr>
                <w:ilvl w:val="0"/>
                <w:numId w:val="1"/>
              </w:numPr>
              <w:rPr>
                <w:rStyle w:val="DraftingNote"/>
                <w:b w:val="0"/>
                <w:color w:val="000000" w:themeColor="text1"/>
                <w:sz w:val="22"/>
                <w:szCs w:val="22"/>
              </w:rPr>
            </w:pPr>
            <w:r w:rsidRPr="00D92283">
              <w:rPr>
                <w:rStyle w:val="DraftingNote"/>
                <w:b w:val="0"/>
                <w:color w:val="000000" w:themeColor="text1"/>
                <w:sz w:val="22"/>
                <w:u w:val="none"/>
              </w:rPr>
              <w:t>incomplete for Indigenous community housing. All required data were not available for NSW, Tasmania, the ACT, NT and Australia</w:t>
            </w:r>
            <w:r w:rsidRPr="00D92283">
              <w:rPr>
                <w:color w:val="000000" w:themeColor="text1"/>
              </w:rPr>
              <w:t>.</w:t>
            </w:r>
          </w:p>
          <w:p w:rsidR="00C30EF6" w:rsidRPr="00D92283" w:rsidRDefault="00C30EF6" w:rsidP="007F1A1C">
            <w:pPr>
              <w:pStyle w:val="Box"/>
              <w:rPr>
                <w:rStyle w:val="DraftingNote"/>
                <w:b w:val="0"/>
                <w:i/>
                <w:color w:val="000000" w:themeColor="text1"/>
                <w:sz w:val="22"/>
                <w:u w:val="none"/>
              </w:rPr>
            </w:pPr>
            <w:r w:rsidRPr="00D92283">
              <w:rPr>
                <w:rStyle w:val="DraftingNote"/>
                <w:b w:val="0"/>
                <w:i/>
                <w:color w:val="000000" w:themeColor="text1"/>
                <w:sz w:val="22"/>
                <w:u w:val="none"/>
              </w:rPr>
              <w:t>Dwellings of an acceptable standard</w:t>
            </w:r>
          </w:p>
          <w:p w:rsidR="00C30EF6" w:rsidRPr="00D92283" w:rsidRDefault="00C30EF6" w:rsidP="00C30EF6">
            <w:pPr>
              <w:pStyle w:val="BoxListBullet"/>
              <w:numPr>
                <w:ilvl w:val="0"/>
                <w:numId w:val="1"/>
              </w:numPr>
              <w:rPr>
                <w:rStyle w:val="DraftingNote"/>
                <w:b w:val="0"/>
                <w:color w:val="000000" w:themeColor="text1"/>
                <w:sz w:val="22"/>
                <w:u w:val="none"/>
              </w:rPr>
            </w:pPr>
            <w:r w:rsidRPr="00D92283">
              <w:rPr>
                <w:rStyle w:val="DraftingNote"/>
                <w:b w:val="0"/>
                <w:color w:val="000000" w:themeColor="text1"/>
                <w:sz w:val="22"/>
                <w:u w:val="none"/>
              </w:rPr>
              <w:t>comparable (subject to caveats) across jurisdictions for the current reporting period</w:t>
            </w:r>
          </w:p>
          <w:p w:rsidR="00C30EF6" w:rsidRPr="00D92283" w:rsidRDefault="00C30EF6" w:rsidP="00C30EF6">
            <w:pPr>
              <w:pStyle w:val="BoxListBullet"/>
              <w:numPr>
                <w:ilvl w:val="0"/>
                <w:numId w:val="1"/>
              </w:numPr>
              <w:rPr>
                <w:color w:val="000000" w:themeColor="text1"/>
              </w:rPr>
            </w:pPr>
            <w:r w:rsidRPr="00D92283">
              <w:rPr>
                <w:color w:val="000000" w:themeColor="text1"/>
              </w:rPr>
              <w:t>incomplete for community housing. All required data were not available for the Northern Territory.</w:t>
            </w:r>
          </w:p>
          <w:p w:rsidR="00C30EF6" w:rsidRPr="00D92283" w:rsidRDefault="00C30EF6" w:rsidP="007F1A1C">
            <w:pPr>
              <w:pStyle w:val="Box"/>
            </w:pPr>
            <w:r w:rsidRPr="00D92283">
              <w:t xml:space="preserve">Related information on the appropriateness of social housing is presented for the outcome indicators ‘match of dwelling to household size’ ‘and amenity/location’ in chapter 17. </w:t>
            </w:r>
          </w:p>
          <w:p w:rsidR="00C30EF6" w:rsidRPr="00D92283" w:rsidRDefault="00C30EF6" w:rsidP="007F1A1C">
            <w:pPr>
              <w:pStyle w:val="Box"/>
            </w:pPr>
            <w:r w:rsidRPr="00D92283">
              <w:t>Data quality information for this indicator is at www.pc.gov.au/gsp/reports/rogs/2014.</w:t>
            </w:r>
          </w:p>
        </w:tc>
      </w:tr>
      <w:tr w:rsidR="00BD01F9" w:rsidRPr="00D92283" w:rsidTr="008343A4">
        <w:trPr>
          <w:cantSplit/>
        </w:trPr>
        <w:tc>
          <w:tcPr>
            <w:tcW w:w="8771" w:type="dxa"/>
            <w:tcBorders>
              <w:top w:val="nil"/>
              <w:left w:val="single" w:sz="6" w:space="0" w:color="auto"/>
              <w:bottom w:val="single" w:sz="6" w:space="0" w:color="auto"/>
              <w:right w:val="single" w:sz="6" w:space="0" w:color="auto"/>
            </w:tcBorders>
          </w:tcPr>
          <w:p w:rsidR="00BD01F9" w:rsidRPr="00D92283" w:rsidRDefault="00BD01F9" w:rsidP="008343A4">
            <w:pPr>
              <w:pStyle w:val="Box"/>
              <w:spacing w:before="0" w:line="120" w:lineRule="exact"/>
            </w:pPr>
          </w:p>
        </w:tc>
      </w:tr>
      <w:tr w:rsidR="00BD01F9" w:rsidRPr="00D92283" w:rsidTr="008343A4">
        <w:tc>
          <w:tcPr>
            <w:tcW w:w="8771" w:type="dxa"/>
            <w:tcBorders>
              <w:top w:val="nil"/>
              <w:left w:val="nil"/>
              <w:bottom w:val="nil"/>
              <w:right w:val="nil"/>
            </w:tcBorders>
          </w:tcPr>
          <w:p w:rsidR="00BD01F9" w:rsidRPr="00D92283" w:rsidRDefault="00BD01F9" w:rsidP="008343A4">
            <w:pPr>
              <w:pStyle w:val="Box"/>
              <w:keepNext w:val="0"/>
              <w:spacing w:before="60" w:after="60" w:line="80" w:lineRule="exact"/>
              <w:rPr>
                <w:b/>
                <w:color w:val="FF00FF"/>
                <w:sz w:val="14"/>
              </w:rPr>
            </w:pPr>
          </w:p>
        </w:tc>
      </w:tr>
    </w:tbl>
    <w:p w:rsidR="00B36A26" w:rsidRPr="00D92283" w:rsidRDefault="00B36A26" w:rsidP="00B36A26">
      <w:pPr>
        <w:keepNext/>
        <w:spacing w:before="480" w:line="320" w:lineRule="exact"/>
        <w:outlineLvl w:val="4"/>
        <w:rPr>
          <w:i/>
          <w:szCs w:val="20"/>
        </w:rPr>
      </w:pPr>
      <w:r w:rsidRPr="00D92283">
        <w:rPr>
          <w:i/>
          <w:szCs w:val="20"/>
        </w:rPr>
        <w:lastRenderedPageBreak/>
        <w:t>Indigenous households living in overcrowded conditions</w:t>
      </w:r>
    </w:p>
    <w:p w:rsidR="001F2586" w:rsidRPr="00D92283" w:rsidRDefault="001F2586" w:rsidP="001F2586">
      <w:pPr>
        <w:pStyle w:val="BodyText"/>
        <w:rPr>
          <w:color w:val="000000" w:themeColor="text1"/>
        </w:rPr>
      </w:pPr>
      <w:r w:rsidRPr="00D92283">
        <w:rPr>
          <w:color w:val="000000" w:themeColor="text1"/>
        </w:rPr>
        <w:t>Overcrowding is deemed to occur if one or more bedrooms are required to meet the Canadian National Occupancy Standard (see 2014 Report, chapter 17 for more detail). Overcrowding is a significant issue for many Indigenous people.</w:t>
      </w:r>
    </w:p>
    <w:p w:rsidR="001F2586" w:rsidRPr="00D92283" w:rsidRDefault="001F2586" w:rsidP="001F2586">
      <w:pPr>
        <w:pStyle w:val="BodyText"/>
      </w:pPr>
      <w:r w:rsidRPr="00D92283">
        <w:t xml:space="preserve">The proportion of Indigenous households living in overcrowded conditions varied across jurisdictions </w:t>
      </w:r>
      <w:r w:rsidRPr="00D92283">
        <w:rPr>
          <w:color w:val="000000" w:themeColor="text1"/>
        </w:rPr>
        <w:t xml:space="preserve">in 2013 </w:t>
      </w:r>
      <w:r w:rsidRPr="00D92283">
        <w:t>(figure G.2).</w:t>
      </w:r>
    </w:p>
    <w:p w:rsidR="001F2586" w:rsidRPr="00D92283" w:rsidRDefault="001F2586" w:rsidP="001F2586">
      <w:pPr>
        <w:pStyle w:val="FigureTitle"/>
        <w:rPr>
          <w:rStyle w:val="NoteLabel"/>
          <w:color w:val="000000" w:themeColor="text1"/>
        </w:rPr>
      </w:pPr>
      <w:r w:rsidRPr="00D92283">
        <w:rPr>
          <w:b w:val="0"/>
          <w:color w:val="000000" w:themeColor="text1"/>
        </w:rPr>
        <w:t xml:space="preserve">Figure </w:t>
      </w:r>
      <w:bookmarkStart w:id="58" w:name="OLE_LINK7"/>
      <w:r w:rsidRPr="00D92283">
        <w:rPr>
          <w:b w:val="0"/>
          <w:color w:val="000000" w:themeColor="text1"/>
        </w:rPr>
        <w:t>G.</w:t>
      </w:r>
      <w:bookmarkEnd w:id="58"/>
      <w:r w:rsidRPr="00D92283">
        <w:rPr>
          <w:b w:val="0"/>
          <w:noProof/>
          <w:color w:val="000000" w:themeColor="text1"/>
        </w:rPr>
        <w:t>2</w:t>
      </w:r>
      <w:r w:rsidRPr="00D92283">
        <w:rPr>
          <w:color w:val="000000" w:themeColor="text1"/>
        </w:rPr>
        <w:tab/>
        <w:t>Proportion of Indigenous households living in overcrowded conditions, at 30 June 2013</w:t>
      </w:r>
      <w:r w:rsidRPr="00D92283">
        <w:rPr>
          <w:rStyle w:val="NoteLabel"/>
          <w:b/>
          <w:color w:val="000000" w:themeColor="text1"/>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F2586" w:rsidRPr="00D92283" w:rsidTr="007F1A1C">
        <w:tc>
          <w:tcPr>
            <w:tcW w:w="8777" w:type="dxa"/>
          </w:tcPr>
          <w:p w:rsidR="001F2586" w:rsidRPr="00D92283" w:rsidRDefault="001F2586" w:rsidP="007F1A1C">
            <w:pPr>
              <w:pStyle w:val="Figure"/>
              <w:rPr>
                <w:rFonts w:ascii="Arial" w:hAnsi="Arial" w:cs="Arial"/>
                <w:b/>
                <w:color w:val="000000" w:themeColor="text1"/>
                <w:sz w:val="16"/>
                <w:szCs w:val="16"/>
              </w:rPr>
            </w:pPr>
            <w:r w:rsidRPr="00D92283">
              <w:rPr>
                <w:rFonts w:ascii="Arial" w:hAnsi="Arial" w:cs="Arial"/>
                <w:b/>
                <w:noProof/>
                <w:color w:val="000000" w:themeColor="text1"/>
                <w:sz w:val="16"/>
                <w:szCs w:val="16"/>
              </w:rPr>
              <w:drawing>
                <wp:inline distT="0" distB="0" distL="0" distR="0" wp14:anchorId="7189A099" wp14:editId="47E311FB">
                  <wp:extent cx="5372100" cy="2695575"/>
                  <wp:effectExtent l="0" t="0" r="0" b="9525"/>
                  <wp:docPr id="7" name="Picture 7" descr="Figure G.2 Proportion of Indigenous households living in overcrowded conditions, at 30 Jun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2100" cy="2695575"/>
                          </a:xfrm>
                          <a:prstGeom prst="rect">
                            <a:avLst/>
                          </a:prstGeom>
                          <a:noFill/>
                          <a:ln>
                            <a:noFill/>
                          </a:ln>
                        </pic:spPr>
                      </pic:pic>
                    </a:graphicData>
                  </a:graphic>
                </wp:inline>
              </w:drawing>
            </w:r>
          </w:p>
        </w:tc>
      </w:tr>
    </w:tbl>
    <w:p w:rsidR="001F2586" w:rsidRPr="00D92283" w:rsidRDefault="001F2586" w:rsidP="001F2586">
      <w:pPr>
        <w:pStyle w:val="Note"/>
        <w:rPr>
          <w:rStyle w:val="NoteLabel"/>
          <w:b w:val="0"/>
          <w:color w:val="000000" w:themeColor="text1"/>
        </w:rPr>
      </w:pPr>
      <w:r w:rsidRPr="00D92283">
        <w:rPr>
          <w:rStyle w:val="NoteLabel"/>
          <w:color w:val="000000" w:themeColor="text1"/>
        </w:rPr>
        <w:t>a</w:t>
      </w:r>
      <w:r w:rsidRPr="00D92283">
        <w:rPr>
          <w:rStyle w:val="NoteLabel"/>
          <w:b w:val="0"/>
          <w:color w:val="000000" w:themeColor="text1"/>
        </w:rPr>
        <w:t xml:space="preserve"> </w:t>
      </w:r>
      <w:r w:rsidRPr="00D92283">
        <w:rPr>
          <w:color w:val="000000" w:themeColor="text1"/>
        </w:rPr>
        <w:t xml:space="preserve">There are no SOMIH data reported for Victoria, WA, the ACT or the NT as the SOMIH program does not exist in these jurisdictions. </w:t>
      </w:r>
      <w:r w:rsidRPr="00D92283">
        <w:rPr>
          <w:rStyle w:val="NoteLabel"/>
          <w:color w:val="000000" w:themeColor="text1"/>
        </w:rPr>
        <w:t>b</w:t>
      </w:r>
      <w:r w:rsidRPr="00D92283">
        <w:rPr>
          <w:rStyle w:val="NoteLabel"/>
          <w:b w:val="0"/>
          <w:color w:val="000000" w:themeColor="text1"/>
        </w:rPr>
        <w:t xml:space="preserve"> </w:t>
      </w:r>
      <w:r w:rsidRPr="00D92283">
        <w:rPr>
          <w:color w:val="000000" w:themeColor="text1"/>
        </w:rPr>
        <w:t xml:space="preserve">Community housing data are not available for NSW, Qld and the NT. </w:t>
      </w:r>
      <w:r w:rsidRPr="00D92283">
        <w:rPr>
          <w:rStyle w:val="NoteLabel"/>
          <w:color w:val="000000" w:themeColor="text1"/>
        </w:rPr>
        <w:t>c </w:t>
      </w:r>
      <w:r w:rsidRPr="00D92283">
        <w:rPr>
          <w:color w:val="000000" w:themeColor="text1"/>
        </w:rPr>
        <w:t>Community housing data for Tasmania and the ACT is nil or rounded to zero.</w:t>
      </w:r>
    </w:p>
    <w:p w:rsidR="001F2586" w:rsidRPr="00D92283" w:rsidRDefault="001F2586" w:rsidP="001F2586">
      <w:pPr>
        <w:pStyle w:val="Note"/>
        <w:rPr>
          <w:color w:val="000000" w:themeColor="text1"/>
        </w:rPr>
      </w:pPr>
      <w:r w:rsidRPr="00D92283">
        <w:rPr>
          <w:i/>
          <w:color w:val="000000" w:themeColor="text1"/>
        </w:rPr>
        <w:t>Source</w:t>
      </w:r>
      <w:r w:rsidRPr="00D92283">
        <w:rPr>
          <w:color w:val="000000" w:themeColor="text1"/>
        </w:rPr>
        <w:t xml:space="preserve">: AIHW (unpublished) Public Rental Housing data; AIHW (unpublished) The National Housing Assistance Data Repository; </w:t>
      </w:r>
      <w:r w:rsidRPr="00D92283">
        <w:rPr>
          <w:i/>
          <w:color w:val="000000" w:themeColor="text1"/>
        </w:rPr>
        <w:t>Housing Assistance in Australia</w:t>
      </w:r>
      <w:r w:rsidRPr="00D92283">
        <w:rPr>
          <w:color w:val="000000" w:themeColor="text1"/>
        </w:rPr>
        <w:t xml:space="preserve"> 2011, Cat. No. HOU 271, AIHW, Canberra; </w:t>
      </w:r>
      <w:r w:rsidRPr="00D92283">
        <w:rPr>
          <w:color w:val="000000" w:themeColor="text1"/>
        </w:rPr>
        <w:br/>
        <w:t>table GA.6</w:t>
      </w:r>
      <w:r w:rsidRPr="00D92283">
        <w:t>; 2014 Report, figure G.3, p. G.15.</w:t>
      </w:r>
    </w:p>
    <w:p w:rsidR="006F411B" w:rsidRPr="00D92283" w:rsidRDefault="006F411B" w:rsidP="006F411B">
      <w:pPr>
        <w:pStyle w:val="BodyText"/>
      </w:pPr>
      <w:r w:rsidRPr="00D92283">
        <w:t>Data for Indigenous community housing are presented in table GA.6.</w:t>
      </w:r>
    </w:p>
    <w:p w:rsidR="00BD01F9" w:rsidRPr="00D92283" w:rsidRDefault="00BD01F9" w:rsidP="00BD01F9">
      <w:pPr>
        <w:pStyle w:val="Heading5"/>
      </w:pPr>
      <w:r w:rsidRPr="00D92283">
        <w:t>Indigenous households living in houses of an acceptable standard</w:t>
      </w:r>
    </w:p>
    <w:p w:rsidR="006F411B" w:rsidRPr="00D92283" w:rsidRDefault="006F411B" w:rsidP="006F411B">
      <w:pPr>
        <w:pStyle w:val="BodyText"/>
      </w:pPr>
      <w:r w:rsidRPr="00D92283">
        <w:t>Data for this measure are sourced from the National Social Housing Survey (NSHS) for public housing, SOMIH and community housing. To date, Indigenous community housing tenants have not been surveyed in the NSHS.</w:t>
      </w:r>
    </w:p>
    <w:p w:rsidR="006F411B" w:rsidRPr="00D92283" w:rsidRDefault="006F411B" w:rsidP="006F411B">
      <w:pPr>
        <w:pStyle w:val="BodyText"/>
      </w:pPr>
      <w:r w:rsidRPr="00D92283">
        <w:rPr>
          <w:color w:val="000000"/>
        </w:rPr>
        <w:t xml:space="preserve">Nationally in 2012, the NSHS </w:t>
      </w:r>
      <w:r w:rsidRPr="00D92283">
        <w:t>found that:</w:t>
      </w:r>
    </w:p>
    <w:p w:rsidR="006F411B" w:rsidRPr="00D92283" w:rsidRDefault="006F411B" w:rsidP="006F411B">
      <w:pPr>
        <w:pStyle w:val="ListBullet"/>
        <w:numPr>
          <w:ilvl w:val="0"/>
          <w:numId w:val="4"/>
        </w:numPr>
      </w:pPr>
      <w:r w:rsidRPr="00D92283">
        <w:t>for public housing, 61.3 per cent of Indigenous households were living in dwellings of an acceptable standard</w:t>
      </w:r>
    </w:p>
    <w:p w:rsidR="006F411B" w:rsidRPr="00D92283" w:rsidRDefault="006F411B" w:rsidP="006F411B">
      <w:pPr>
        <w:pStyle w:val="ListBullet"/>
        <w:numPr>
          <w:ilvl w:val="0"/>
          <w:numId w:val="4"/>
        </w:numPr>
      </w:pPr>
      <w:r w:rsidRPr="00D92283">
        <w:lastRenderedPageBreak/>
        <w:t>for SOMIH, 61.4 per cent of Indigenous households were living in dwellings of an acceptable standard</w:t>
      </w:r>
    </w:p>
    <w:p w:rsidR="006F411B" w:rsidRPr="00D92283" w:rsidRDefault="006F411B" w:rsidP="00B36A26">
      <w:pPr>
        <w:pStyle w:val="ListBullet"/>
        <w:numPr>
          <w:ilvl w:val="0"/>
          <w:numId w:val="4"/>
        </w:numPr>
      </w:pPr>
      <w:r w:rsidRPr="00D92283">
        <w:t>for community housing, 71.5 per cent of Indigenous households were living in dwellings of an acceptable standard (figure G.3).</w:t>
      </w:r>
    </w:p>
    <w:p w:rsidR="006F411B" w:rsidRPr="00D92283" w:rsidRDefault="006F411B" w:rsidP="006F411B">
      <w:pPr>
        <w:pStyle w:val="FigureTitle"/>
      </w:pPr>
      <w:r w:rsidRPr="00D92283">
        <w:rPr>
          <w:b w:val="0"/>
        </w:rPr>
        <w:t xml:space="preserve">Figure </w:t>
      </w:r>
      <w:bookmarkStart w:id="59" w:name="OLE_LINK9"/>
      <w:r w:rsidRPr="00D92283">
        <w:rPr>
          <w:b w:val="0"/>
        </w:rPr>
        <w:t>G.</w:t>
      </w:r>
      <w:bookmarkEnd w:id="59"/>
      <w:r w:rsidRPr="00D92283">
        <w:rPr>
          <w:b w:val="0"/>
          <w:noProof/>
        </w:rPr>
        <w:t>3</w:t>
      </w:r>
      <w:r w:rsidRPr="00D92283">
        <w:tab/>
        <w:t>Proportion of Indigenous households living in dwellings of an acceptable standard, 2012</w:t>
      </w:r>
      <w:r w:rsidRPr="00D92283">
        <w:rPr>
          <w:rStyle w:val="NoteLabel"/>
          <w:b/>
        </w:rPr>
        <w:t>a, 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F411B" w:rsidRPr="00D92283" w:rsidTr="007F1A1C">
        <w:tc>
          <w:tcPr>
            <w:tcW w:w="8777" w:type="dxa"/>
          </w:tcPr>
          <w:p w:rsidR="006F411B" w:rsidRPr="00D92283" w:rsidRDefault="006F411B" w:rsidP="007F1A1C">
            <w:pPr>
              <w:pStyle w:val="Figure"/>
            </w:pPr>
            <w:r w:rsidRPr="00D92283">
              <w:rPr>
                <w:noProof/>
              </w:rPr>
              <w:drawing>
                <wp:inline distT="0" distB="0" distL="0" distR="0" wp14:anchorId="6D35A286" wp14:editId="3DA8CE70">
                  <wp:extent cx="5394960" cy="2689860"/>
                  <wp:effectExtent l="0" t="0" r="0" b="0"/>
                  <wp:docPr id="5" name="Picture 5" descr="Figure G.3 Proportion of Indigenous households living in houses of an acceptable standard,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4960" cy="2689860"/>
                          </a:xfrm>
                          <a:prstGeom prst="rect">
                            <a:avLst/>
                          </a:prstGeom>
                          <a:noFill/>
                          <a:ln>
                            <a:noFill/>
                          </a:ln>
                        </pic:spPr>
                      </pic:pic>
                    </a:graphicData>
                  </a:graphic>
                </wp:inline>
              </w:drawing>
            </w:r>
          </w:p>
        </w:tc>
      </w:tr>
    </w:tbl>
    <w:p w:rsidR="006F411B" w:rsidRPr="00D92283" w:rsidRDefault="006F411B" w:rsidP="006F411B">
      <w:pPr>
        <w:pStyle w:val="Note"/>
      </w:pPr>
      <w:r w:rsidRPr="00D92283">
        <w:rPr>
          <w:rStyle w:val="NoteLabel"/>
        </w:rPr>
        <w:t xml:space="preserve">a </w:t>
      </w:r>
      <w:r w:rsidRPr="00D92283">
        <w:t xml:space="preserve">Error bars represent the 95 per cent confidence intervals associated with each point estimate. </w:t>
      </w:r>
      <w:r w:rsidRPr="00D92283">
        <w:rPr>
          <w:rStyle w:val="NoteLabel"/>
        </w:rPr>
        <w:t xml:space="preserve">b </w:t>
      </w:r>
      <w:r w:rsidRPr="00D92283">
        <w:t>There are no SOMIH data reported for Victoria, WA, the ACT or the NT as the SOMIH program does not exist in these jurisdictions</w:t>
      </w:r>
      <w:r w:rsidRPr="00D92283">
        <w:rPr>
          <w:rStyle w:val="NoteLabel"/>
          <w:b w:val="0"/>
        </w:rPr>
        <w:t xml:space="preserve">. </w:t>
      </w:r>
      <w:r w:rsidRPr="00D92283">
        <w:rPr>
          <w:rStyle w:val="NoteLabel"/>
        </w:rPr>
        <w:t>c</w:t>
      </w:r>
      <w:r w:rsidRPr="00D92283">
        <w:rPr>
          <w:rStyle w:val="NoteLabel"/>
          <w:b w:val="0"/>
        </w:rPr>
        <w:t xml:space="preserve"> </w:t>
      </w:r>
      <w:r w:rsidRPr="00D92283">
        <w:t>Public housing and community housing data are not published for Victoria, WA, SA and the ACT.</w:t>
      </w:r>
      <w:r w:rsidRPr="00D92283">
        <w:rPr>
          <w:rStyle w:val="NoteLabel"/>
          <w:b w:val="0"/>
        </w:rPr>
        <w:t xml:space="preserve"> </w:t>
      </w:r>
      <w:r w:rsidRPr="00D92283">
        <w:rPr>
          <w:rStyle w:val="NoteLabel"/>
        </w:rPr>
        <w:t>d</w:t>
      </w:r>
      <w:r w:rsidRPr="00D92283">
        <w:rPr>
          <w:rStyle w:val="NoteLabel"/>
          <w:b w:val="0"/>
        </w:rPr>
        <w:t xml:space="preserve"> </w:t>
      </w:r>
      <w:r w:rsidRPr="00D92283">
        <w:t xml:space="preserve">Community housing data are not published for Tasmania. </w:t>
      </w:r>
      <w:r w:rsidRPr="00D92283">
        <w:rPr>
          <w:rStyle w:val="NoteLabel"/>
        </w:rPr>
        <w:t>e</w:t>
      </w:r>
      <w:r w:rsidRPr="00D92283">
        <w:t xml:space="preserve"> Community housing data are not available for the NT.</w:t>
      </w:r>
    </w:p>
    <w:p w:rsidR="006F411B" w:rsidRPr="00D92283" w:rsidRDefault="006F411B" w:rsidP="006F411B">
      <w:pPr>
        <w:pStyle w:val="Note"/>
      </w:pPr>
      <w:r w:rsidRPr="00D92283">
        <w:rPr>
          <w:i/>
        </w:rPr>
        <w:t>Source</w:t>
      </w:r>
      <w:r w:rsidRPr="00D92283">
        <w:t xml:space="preserve">: AIHW (unpublished) </w:t>
      </w:r>
      <w:r w:rsidRPr="00D92283">
        <w:rPr>
          <w:i/>
        </w:rPr>
        <w:t>National Social Housing Survey</w:t>
      </w:r>
      <w:r w:rsidRPr="00D92283">
        <w:t xml:space="preserve"> 2012; table GA.7; 2014 Report, figure G.4, </w:t>
      </w:r>
      <w:r w:rsidRPr="00D92283">
        <w:br/>
        <w:t>p. G.16.</w:t>
      </w:r>
    </w:p>
    <w:p w:rsidR="00BD01F9" w:rsidRPr="00D92283" w:rsidRDefault="00BD01F9" w:rsidP="00BD01F9">
      <w:pPr>
        <w:pStyle w:val="Heading3"/>
      </w:pPr>
      <w:bookmarkStart w:id="60" w:name="_Toc320630762"/>
      <w:bookmarkStart w:id="61" w:name="_Toc320774665"/>
      <w:bookmarkStart w:id="62" w:name="_Toc348968992"/>
      <w:bookmarkStart w:id="63" w:name="_Toc381085195"/>
      <w:bookmarkStart w:id="64" w:name="_Toc384654197"/>
      <w:r w:rsidRPr="00D92283">
        <w:t>Service-specific performance indicator frameworks</w:t>
      </w:r>
      <w:bookmarkEnd w:id="60"/>
      <w:bookmarkEnd w:id="61"/>
      <w:bookmarkEnd w:id="62"/>
      <w:bookmarkEnd w:id="63"/>
      <w:bookmarkEnd w:id="64"/>
    </w:p>
    <w:p w:rsidR="006F411B" w:rsidRPr="00D92283" w:rsidRDefault="006F411B" w:rsidP="006F411B">
      <w:pPr>
        <w:pStyle w:val="BodyText"/>
      </w:pPr>
      <w:r w:rsidRPr="00D92283">
        <w:t>This section summarises information from the performance indicator frameworks for housing (chapter 17) and government funded specialist homelessness services (chapter 18). Additional information is available to assist the interpretation of these results, such as, additional measures and further disaggregation of reported measures (for example, by Indigenous status, remoteness, disability and age data (chapter 17 and attachment 17A; chapter 18 and attachment 18A).</w:t>
      </w:r>
    </w:p>
    <w:p w:rsidR="006F411B" w:rsidRPr="00D92283" w:rsidRDefault="006F411B" w:rsidP="006F411B">
      <w:pPr>
        <w:pStyle w:val="BodyText"/>
      </w:pPr>
      <w:r w:rsidRPr="00D92283">
        <w:t xml:space="preserve">An overview of the performance indicator results for the most recent reporting period is presented in 2014 Report, table G.2. Results are reported separately for public housing, SOMIH, community housing and Indigenous community housing. Data for Indigenous community housing are not reported for a number of </w:t>
      </w:r>
      <w:r w:rsidRPr="00D92283">
        <w:lastRenderedPageBreak/>
        <w:t>performance indicators due to issues with data quality and availability. Information to assist the interpretation of these data can be found in the indicator interpretation boxes in chapter 17 and in the footnotes in attachment 17A.</w:t>
      </w:r>
    </w:p>
    <w:p w:rsidR="00BD01F9" w:rsidRPr="00D92283" w:rsidRDefault="00BD01F9" w:rsidP="00BD01F9">
      <w:pPr>
        <w:pStyle w:val="Heading3"/>
      </w:pPr>
      <w:bookmarkStart w:id="65" w:name="_Toc317582810"/>
      <w:bookmarkStart w:id="66" w:name="_Toc320630763"/>
      <w:bookmarkStart w:id="67" w:name="_Toc320774666"/>
      <w:bookmarkStart w:id="68" w:name="_Toc348968994"/>
      <w:bookmarkStart w:id="69" w:name="_Toc381085196"/>
      <w:bookmarkStart w:id="70" w:name="_Toc384654198"/>
      <w:r w:rsidRPr="00D92283">
        <w:t>List of attachment tables</w:t>
      </w:r>
      <w:bookmarkEnd w:id="65"/>
      <w:bookmarkEnd w:id="66"/>
      <w:bookmarkEnd w:id="67"/>
      <w:bookmarkEnd w:id="68"/>
      <w:bookmarkEnd w:id="69"/>
      <w:bookmarkEnd w:id="70"/>
    </w:p>
    <w:p w:rsidR="00BD01F9" w:rsidRPr="00D92283" w:rsidRDefault="00BD01F9" w:rsidP="00BD01F9">
      <w:pPr>
        <w:pStyle w:val="BodyText"/>
      </w:pPr>
      <w:r w:rsidRPr="00D92283">
        <w:t xml:space="preserve">Attachment tables for data within this sector </w:t>
      </w:r>
      <w:r w:rsidR="001529C8" w:rsidRPr="00D92283">
        <w:t xml:space="preserve">overview </w:t>
      </w:r>
      <w:r w:rsidRPr="00D92283">
        <w:t xml:space="preserve">are contained in the attachment to the Compendium. These tables are identified in references throughout this chapter by a ‘GA’ prefix (for example, table GA.1 is table 1 in the Housing and homelessness </w:t>
      </w:r>
      <w:r w:rsidR="001529C8" w:rsidRPr="00D92283">
        <w:t xml:space="preserve">overview </w:t>
      </w:r>
      <w:r w:rsidRPr="00D92283">
        <w:t>attachment). Attachment tables are on the Review website (</w:t>
      </w:r>
      <w:r w:rsidR="006F411B" w:rsidRPr="00D92283">
        <w:t>www.pc.gov.au/gsp</w:t>
      </w:r>
      <w:r w:rsidRPr="00D92283">
        <w:t>).</w:t>
      </w:r>
    </w:p>
    <w:p w:rsidR="006F411B" w:rsidRPr="00D92283" w:rsidRDefault="006F411B" w:rsidP="00BD01F9">
      <w:pPr>
        <w:pStyle w:val="BodyText"/>
      </w:pPr>
    </w:p>
    <w:tbl>
      <w:tblPr>
        <w:tblW w:w="8860" w:type="dxa"/>
        <w:tblInd w:w="93" w:type="dxa"/>
        <w:tblLook w:val="04A0" w:firstRow="1" w:lastRow="0" w:firstColumn="1" w:lastColumn="0" w:noHBand="0" w:noVBand="1"/>
      </w:tblPr>
      <w:tblGrid>
        <w:gridCol w:w="1440"/>
        <w:gridCol w:w="7420"/>
      </w:tblGrid>
      <w:tr w:rsidR="006F411B" w:rsidRPr="00D92283" w:rsidTr="006F411B">
        <w:trPr>
          <w:trHeight w:val="612"/>
        </w:trPr>
        <w:tc>
          <w:tcPr>
            <w:tcW w:w="1440" w:type="dxa"/>
            <w:tcBorders>
              <w:top w:val="nil"/>
              <w:left w:val="nil"/>
              <w:bottom w:val="nil"/>
              <w:right w:val="nil"/>
            </w:tcBorders>
            <w:shd w:val="clear" w:color="000000" w:fill="FFFFFF"/>
            <w:noWrap/>
            <w:hideMark/>
          </w:tcPr>
          <w:p w:rsidR="006F411B" w:rsidRPr="00D92283" w:rsidRDefault="006F411B" w:rsidP="006F411B">
            <w:pPr>
              <w:rPr>
                <w:rFonts w:ascii="Arial" w:hAnsi="Arial" w:cs="Arial"/>
                <w:b/>
                <w:bCs/>
                <w:sz w:val="20"/>
                <w:szCs w:val="20"/>
              </w:rPr>
            </w:pPr>
            <w:r w:rsidRPr="00D92283">
              <w:rPr>
                <w:rFonts w:ascii="Arial" w:hAnsi="Arial" w:cs="Arial"/>
                <w:b/>
                <w:bCs/>
                <w:sz w:val="20"/>
                <w:szCs w:val="20"/>
              </w:rPr>
              <w:t>Table GA.1</w:t>
            </w:r>
          </w:p>
        </w:tc>
        <w:tc>
          <w:tcPr>
            <w:tcW w:w="7420" w:type="dxa"/>
            <w:tcBorders>
              <w:top w:val="nil"/>
              <w:left w:val="nil"/>
              <w:bottom w:val="nil"/>
              <w:right w:val="nil"/>
            </w:tcBorders>
            <w:shd w:val="clear" w:color="000000" w:fill="FFFFFF"/>
            <w:hideMark/>
          </w:tcPr>
          <w:p w:rsidR="006F411B" w:rsidRPr="00D92283" w:rsidRDefault="006F411B" w:rsidP="006F411B">
            <w:pPr>
              <w:jc w:val="both"/>
              <w:rPr>
                <w:rFonts w:ascii="Arial" w:hAnsi="Arial" w:cs="Arial"/>
                <w:sz w:val="20"/>
                <w:szCs w:val="20"/>
              </w:rPr>
            </w:pPr>
            <w:r w:rsidRPr="00D92283">
              <w:rPr>
                <w:rFonts w:ascii="Arial" w:hAnsi="Arial" w:cs="Arial"/>
                <w:sz w:val="20"/>
                <w:szCs w:val="20"/>
              </w:rPr>
              <w:t>Australian Government nominal expenditure relating to the National Affordable Housing Agreement (NAHA) ($million)</w:t>
            </w:r>
          </w:p>
        </w:tc>
      </w:tr>
      <w:tr w:rsidR="006F411B" w:rsidRPr="00D92283" w:rsidTr="006F411B">
        <w:trPr>
          <w:trHeight w:val="612"/>
        </w:trPr>
        <w:tc>
          <w:tcPr>
            <w:tcW w:w="1440" w:type="dxa"/>
            <w:tcBorders>
              <w:top w:val="nil"/>
              <w:left w:val="nil"/>
              <w:bottom w:val="nil"/>
              <w:right w:val="nil"/>
            </w:tcBorders>
            <w:shd w:val="clear" w:color="000000" w:fill="FFFFFF"/>
            <w:noWrap/>
            <w:hideMark/>
          </w:tcPr>
          <w:p w:rsidR="006F411B" w:rsidRPr="00D92283" w:rsidRDefault="006F411B" w:rsidP="006F411B">
            <w:pPr>
              <w:rPr>
                <w:rFonts w:ascii="Arial" w:hAnsi="Arial" w:cs="Arial"/>
                <w:b/>
                <w:bCs/>
                <w:sz w:val="20"/>
                <w:szCs w:val="20"/>
              </w:rPr>
            </w:pPr>
            <w:r w:rsidRPr="00D92283">
              <w:rPr>
                <w:rFonts w:ascii="Arial" w:hAnsi="Arial" w:cs="Arial"/>
                <w:b/>
                <w:bCs/>
                <w:sz w:val="20"/>
                <w:szCs w:val="20"/>
              </w:rPr>
              <w:t>Table GA.2</w:t>
            </w:r>
          </w:p>
        </w:tc>
        <w:tc>
          <w:tcPr>
            <w:tcW w:w="7420" w:type="dxa"/>
            <w:tcBorders>
              <w:top w:val="nil"/>
              <w:left w:val="nil"/>
              <w:bottom w:val="nil"/>
              <w:right w:val="nil"/>
            </w:tcBorders>
            <w:shd w:val="clear" w:color="000000" w:fill="FFFFFF"/>
            <w:hideMark/>
          </w:tcPr>
          <w:p w:rsidR="006F411B" w:rsidRPr="00D92283" w:rsidRDefault="006F411B" w:rsidP="006F411B">
            <w:pPr>
              <w:jc w:val="both"/>
              <w:rPr>
                <w:rFonts w:ascii="Arial" w:hAnsi="Arial" w:cs="Arial"/>
                <w:sz w:val="20"/>
                <w:szCs w:val="20"/>
              </w:rPr>
            </w:pPr>
            <w:r w:rsidRPr="00D92283">
              <w:rPr>
                <w:rFonts w:ascii="Arial" w:hAnsi="Arial" w:cs="Arial"/>
                <w:sz w:val="20"/>
                <w:szCs w:val="20"/>
              </w:rPr>
              <w:t xml:space="preserve">Housing and homelessness services sector, descriptive statistics, Australia, 2011-12 </w:t>
            </w:r>
          </w:p>
        </w:tc>
      </w:tr>
      <w:tr w:rsidR="006F411B" w:rsidRPr="00D92283" w:rsidTr="006F411B">
        <w:trPr>
          <w:trHeight w:val="357"/>
        </w:trPr>
        <w:tc>
          <w:tcPr>
            <w:tcW w:w="1440" w:type="dxa"/>
            <w:tcBorders>
              <w:top w:val="nil"/>
              <w:left w:val="nil"/>
              <w:bottom w:val="nil"/>
              <w:right w:val="nil"/>
            </w:tcBorders>
            <w:shd w:val="clear" w:color="000000" w:fill="FFFFFF"/>
            <w:noWrap/>
            <w:hideMark/>
          </w:tcPr>
          <w:p w:rsidR="006F411B" w:rsidRPr="00D92283" w:rsidRDefault="006F411B" w:rsidP="006F411B">
            <w:pPr>
              <w:rPr>
                <w:rFonts w:ascii="Arial" w:hAnsi="Arial" w:cs="Arial"/>
                <w:b/>
                <w:bCs/>
                <w:sz w:val="20"/>
                <w:szCs w:val="20"/>
              </w:rPr>
            </w:pPr>
            <w:r w:rsidRPr="00D92283">
              <w:rPr>
                <w:rFonts w:ascii="Arial" w:hAnsi="Arial" w:cs="Arial"/>
                <w:b/>
                <w:bCs/>
                <w:sz w:val="20"/>
                <w:szCs w:val="20"/>
              </w:rPr>
              <w:t>Table GA.3</w:t>
            </w:r>
          </w:p>
        </w:tc>
        <w:tc>
          <w:tcPr>
            <w:tcW w:w="7420" w:type="dxa"/>
            <w:tcBorders>
              <w:top w:val="nil"/>
              <w:left w:val="nil"/>
              <w:bottom w:val="nil"/>
              <w:right w:val="nil"/>
            </w:tcBorders>
            <w:shd w:val="clear" w:color="000000" w:fill="FFFFFF"/>
            <w:hideMark/>
          </w:tcPr>
          <w:p w:rsidR="006F411B" w:rsidRPr="00D92283" w:rsidRDefault="006F411B" w:rsidP="006F411B">
            <w:pPr>
              <w:jc w:val="both"/>
              <w:rPr>
                <w:rFonts w:ascii="Arial" w:hAnsi="Arial" w:cs="Arial"/>
                <w:sz w:val="20"/>
                <w:szCs w:val="20"/>
              </w:rPr>
            </w:pPr>
            <w:r w:rsidRPr="00D92283">
              <w:rPr>
                <w:rFonts w:ascii="Arial" w:hAnsi="Arial" w:cs="Arial"/>
                <w:sz w:val="20"/>
                <w:szCs w:val="20"/>
              </w:rPr>
              <w:t xml:space="preserve">Social housing descriptive statistics, 2011-12 </w:t>
            </w:r>
          </w:p>
        </w:tc>
      </w:tr>
      <w:tr w:rsidR="006F411B" w:rsidRPr="00D92283" w:rsidTr="006F411B">
        <w:trPr>
          <w:trHeight w:val="357"/>
        </w:trPr>
        <w:tc>
          <w:tcPr>
            <w:tcW w:w="1440" w:type="dxa"/>
            <w:tcBorders>
              <w:top w:val="nil"/>
              <w:left w:val="nil"/>
              <w:bottom w:val="nil"/>
              <w:right w:val="nil"/>
            </w:tcBorders>
            <w:shd w:val="clear" w:color="000000" w:fill="FFFFFF"/>
            <w:noWrap/>
            <w:hideMark/>
          </w:tcPr>
          <w:p w:rsidR="006F411B" w:rsidRPr="00D92283" w:rsidRDefault="006F411B" w:rsidP="006F411B">
            <w:pPr>
              <w:rPr>
                <w:rFonts w:ascii="Arial" w:hAnsi="Arial" w:cs="Arial"/>
                <w:b/>
                <w:bCs/>
                <w:sz w:val="20"/>
                <w:szCs w:val="20"/>
              </w:rPr>
            </w:pPr>
            <w:r w:rsidRPr="00D92283">
              <w:rPr>
                <w:rFonts w:ascii="Arial" w:hAnsi="Arial" w:cs="Arial"/>
                <w:b/>
                <w:bCs/>
                <w:sz w:val="20"/>
                <w:szCs w:val="20"/>
              </w:rPr>
              <w:t>Table GA.6</w:t>
            </w:r>
          </w:p>
        </w:tc>
        <w:tc>
          <w:tcPr>
            <w:tcW w:w="7420" w:type="dxa"/>
            <w:tcBorders>
              <w:top w:val="nil"/>
              <w:left w:val="nil"/>
              <w:bottom w:val="nil"/>
              <w:right w:val="nil"/>
            </w:tcBorders>
            <w:shd w:val="clear" w:color="000000" w:fill="FFFFFF"/>
            <w:hideMark/>
          </w:tcPr>
          <w:p w:rsidR="006F411B" w:rsidRPr="00D92283" w:rsidRDefault="006F411B" w:rsidP="006F411B">
            <w:pPr>
              <w:jc w:val="both"/>
              <w:rPr>
                <w:rFonts w:ascii="Arial" w:hAnsi="Arial" w:cs="Arial"/>
                <w:sz w:val="20"/>
                <w:szCs w:val="20"/>
              </w:rPr>
            </w:pPr>
            <w:r w:rsidRPr="00D92283">
              <w:rPr>
                <w:rFonts w:ascii="Arial" w:hAnsi="Arial" w:cs="Arial"/>
                <w:sz w:val="20"/>
                <w:szCs w:val="20"/>
              </w:rPr>
              <w:t xml:space="preserve">Proportion of Indigenous households living in overcrowded conditions </w:t>
            </w:r>
          </w:p>
        </w:tc>
      </w:tr>
      <w:tr w:rsidR="006F411B" w:rsidRPr="00D92283" w:rsidTr="006F411B">
        <w:trPr>
          <w:trHeight w:val="612"/>
        </w:trPr>
        <w:tc>
          <w:tcPr>
            <w:tcW w:w="1440" w:type="dxa"/>
            <w:tcBorders>
              <w:top w:val="nil"/>
              <w:left w:val="nil"/>
              <w:bottom w:val="nil"/>
              <w:right w:val="nil"/>
            </w:tcBorders>
            <w:shd w:val="clear" w:color="000000" w:fill="FFFFFF"/>
            <w:noWrap/>
            <w:hideMark/>
          </w:tcPr>
          <w:p w:rsidR="006F411B" w:rsidRPr="00D92283" w:rsidRDefault="006F411B" w:rsidP="006F411B">
            <w:pPr>
              <w:rPr>
                <w:rFonts w:ascii="Arial" w:hAnsi="Arial" w:cs="Arial"/>
                <w:b/>
                <w:bCs/>
                <w:sz w:val="20"/>
                <w:szCs w:val="20"/>
              </w:rPr>
            </w:pPr>
            <w:r w:rsidRPr="00D92283">
              <w:rPr>
                <w:rFonts w:ascii="Arial" w:hAnsi="Arial" w:cs="Arial"/>
                <w:b/>
                <w:bCs/>
                <w:sz w:val="20"/>
                <w:szCs w:val="20"/>
              </w:rPr>
              <w:t>Table GA.7</w:t>
            </w:r>
          </w:p>
        </w:tc>
        <w:tc>
          <w:tcPr>
            <w:tcW w:w="7420" w:type="dxa"/>
            <w:tcBorders>
              <w:top w:val="nil"/>
              <w:left w:val="nil"/>
              <w:bottom w:val="nil"/>
              <w:right w:val="nil"/>
            </w:tcBorders>
            <w:shd w:val="clear" w:color="000000" w:fill="FFFFFF"/>
            <w:hideMark/>
          </w:tcPr>
          <w:p w:rsidR="006F411B" w:rsidRPr="00D92283" w:rsidRDefault="006F411B" w:rsidP="006F411B">
            <w:pPr>
              <w:jc w:val="both"/>
              <w:rPr>
                <w:rFonts w:ascii="Arial" w:hAnsi="Arial" w:cs="Arial"/>
                <w:sz w:val="20"/>
                <w:szCs w:val="20"/>
              </w:rPr>
            </w:pPr>
            <w:r w:rsidRPr="00D92283">
              <w:rPr>
                <w:rFonts w:ascii="Arial" w:hAnsi="Arial" w:cs="Arial"/>
                <w:sz w:val="20"/>
                <w:szCs w:val="20"/>
              </w:rPr>
              <w:t xml:space="preserve">Proportion of Indigenous households living in dwellings of an acceptable standard, 2012   </w:t>
            </w:r>
          </w:p>
        </w:tc>
      </w:tr>
      <w:tr w:rsidR="006F411B" w:rsidRPr="00D92283" w:rsidTr="006F411B">
        <w:trPr>
          <w:trHeight w:val="357"/>
        </w:trPr>
        <w:tc>
          <w:tcPr>
            <w:tcW w:w="1440" w:type="dxa"/>
            <w:tcBorders>
              <w:top w:val="nil"/>
              <w:left w:val="nil"/>
              <w:bottom w:val="nil"/>
              <w:right w:val="nil"/>
            </w:tcBorders>
            <w:shd w:val="clear" w:color="000000" w:fill="FFFFFF"/>
            <w:noWrap/>
            <w:hideMark/>
          </w:tcPr>
          <w:p w:rsidR="006F411B" w:rsidRPr="00D92283" w:rsidRDefault="006F411B" w:rsidP="006F411B">
            <w:pPr>
              <w:rPr>
                <w:rFonts w:ascii="Arial" w:hAnsi="Arial" w:cs="Arial"/>
                <w:b/>
                <w:bCs/>
                <w:sz w:val="20"/>
                <w:szCs w:val="20"/>
              </w:rPr>
            </w:pPr>
            <w:proofErr w:type="spellStart"/>
            <w:r w:rsidRPr="00D92283">
              <w:rPr>
                <w:rFonts w:ascii="Arial" w:hAnsi="Arial" w:cs="Arial"/>
                <w:b/>
                <w:bCs/>
                <w:sz w:val="20"/>
                <w:szCs w:val="20"/>
              </w:rPr>
              <w:t>CRA</w:t>
            </w:r>
            <w:proofErr w:type="spellEnd"/>
          </w:p>
        </w:tc>
        <w:tc>
          <w:tcPr>
            <w:tcW w:w="7420" w:type="dxa"/>
            <w:tcBorders>
              <w:top w:val="nil"/>
              <w:left w:val="nil"/>
              <w:bottom w:val="nil"/>
              <w:right w:val="nil"/>
            </w:tcBorders>
            <w:shd w:val="clear" w:color="000000" w:fill="FFFFFF"/>
            <w:hideMark/>
          </w:tcPr>
          <w:p w:rsidR="006F411B" w:rsidRPr="00D92283" w:rsidRDefault="006F411B" w:rsidP="006F411B">
            <w:pPr>
              <w:jc w:val="both"/>
              <w:rPr>
                <w:rFonts w:ascii="Arial" w:hAnsi="Arial" w:cs="Arial"/>
                <w:sz w:val="20"/>
                <w:szCs w:val="20"/>
              </w:rPr>
            </w:pPr>
            <w:r w:rsidRPr="00D92283">
              <w:rPr>
                <w:rFonts w:ascii="Arial" w:hAnsi="Arial" w:cs="Arial"/>
                <w:sz w:val="20"/>
                <w:szCs w:val="20"/>
              </w:rPr>
              <w:t> </w:t>
            </w:r>
          </w:p>
        </w:tc>
      </w:tr>
      <w:tr w:rsidR="006F411B" w:rsidRPr="00D92283" w:rsidTr="006F411B">
        <w:trPr>
          <w:trHeight w:val="357"/>
        </w:trPr>
        <w:tc>
          <w:tcPr>
            <w:tcW w:w="1440" w:type="dxa"/>
            <w:tcBorders>
              <w:top w:val="nil"/>
              <w:left w:val="nil"/>
              <w:bottom w:val="nil"/>
              <w:right w:val="nil"/>
            </w:tcBorders>
            <w:shd w:val="clear" w:color="000000" w:fill="FFFFFF"/>
            <w:noWrap/>
            <w:hideMark/>
          </w:tcPr>
          <w:p w:rsidR="006F411B" w:rsidRPr="00D92283" w:rsidRDefault="006F411B" w:rsidP="006F411B">
            <w:pPr>
              <w:rPr>
                <w:rFonts w:ascii="Arial" w:hAnsi="Arial" w:cs="Arial"/>
                <w:b/>
                <w:bCs/>
                <w:sz w:val="20"/>
                <w:szCs w:val="20"/>
              </w:rPr>
            </w:pPr>
            <w:r w:rsidRPr="00D92283">
              <w:rPr>
                <w:rFonts w:ascii="Arial" w:hAnsi="Arial" w:cs="Arial"/>
                <w:b/>
                <w:bCs/>
                <w:sz w:val="20"/>
                <w:szCs w:val="20"/>
              </w:rPr>
              <w:t>Table GA.17</w:t>
            </w:r>
          </w:p>
        </w:tc>
        <w:tc>
          <w:tcPr>
            <w:tcW w:w="7420" w:type="dxa"/>
            <w:tcBorders>
              <w:top w:val="nil"/>
              <w:left w:val="nil"/>
              <w:bottom w:val="nil"/>
              <w:right w:val="nil"/>
            </w:tcBorders>
            <w:shd w:val="clear" w:color="000000" w:fill="FFFFFF"/>
            <w:hideMark/>
          </w:tcPr>
          <w:p w:rsidR="006F411B" w:rsidRPr="00D92283" w:rsidRDefault="006F411B" w:rsidP="006F411B">
            <w:pPr>
              <w:jc w:val="both"/>
              <w:rPr>
                <w:rFonts w:ascii="Arial" w:hAnsi="Arial" w:cs="Arial"/>
                <w:sz w:val="20"/>
                <w:szCs w:val="20"/>
              </w:rPr>
            </w:pPr>
            <w:r w:rsidRPr="00D92283">
              <w:rPr>
                <w:rFonts w:ascii="Arial" w:hAnsi="Arial" w:cs="Arial"/>
                <w:sz w:val="20"/>
                <w:szCs w:val="20"/>
              </w:rPr>
              <w:t xml:space="preserve">Indigenous income units receiving CRA, 2013   </w:t>
            </w:r>
          </w:p>
        </w:tc>
      </w:tr>
      <w:tr w:rsidR="006F411B" w:rsidRPr="00D92283" w:rsidTr="006F411B">
        <w:trPr>
          <w:trHeight w:val="357"/>
        </w:trPr>
        <w:tc>
          <w:tcPr>
            <w:tcW w:w="1440" w:type="dxa"/>
            <w:tcBorders>
              <w:top w:val="nil"/>
              <w:left w:val="nil"/>
              <w:bottom w:val="nil"/>
              <w:right w:val="nil"/>
            </w:tcBorders>
            <w:shd w:val="clear" w:color="000000" w:fill="FFFFFF"/>
            <w:noWrap/>
            <w:hideMark/>
          </w:tcPr>
          <w:p w:rsidR="006F411B" w:rsidRPr="00D92283" w:rsidRDefault="006F411B" w:rsidP="006F411B">
            <w:pPr>
              <w:rPr>
                <w:rFonts w:ascii="Arial" w:hAnsi="Arial" w:cs="Arial"/>
                <w:b/>
                <w:bCs/>
                <w:sz w:val="20"/>
                <w:szCs w:val="20"/>
              </w:rPr>
            </w:pPr>
            <w:r w:rsidRPr="00D92283">
              <w:rPr>
                <w:rFonts w:ascii="Arial" w:hAnsi="Arial" w:cs="Arial"/>
                <w:b/>
                <w:bCs/>
                <w:sz w:val="20"/>
                <w:szCs w:val="20"/>
              </w:rPr>
              <w:t>Table GA.19</w:t>
            </w:r>
          </w:p>
        </w:tc>
        <w:tc>
          <w:tcPr>
            <w:tcW w:w="7420" w:type="dxa"/>
            <w:tcBorders>
              <w:top w:val="nil"/>
              <w:left w:val="nil"/>
              <w:bottom w:val="nil"/>
              <w:right w:val="nil"/>
            </w:tcBorders>
            <w:shd w:val="clear" w:color="000000" w:fill="FFFFFF"/>
            <w:hideMark/>
          </w:tcPr>
          <w:p w:rsidR="006F411B" w:rsidRPr="00D92283" w:rsidRDefault="006F411B" w:rsidP="00E55532">
            <w:pPr>
              <w:jc w:val="both"/>
              <w:rPr>
                <w:rFonts w:ascii="Arial" w:hAnsi="Arial" w:cs="Arial"/>
                <w:sz w:val="20"/>
                <w:szCs w:val="20"/>
              </w:rPr>
            </w:pPr>
            <w:r w:rsidRPr="00D92283">
              <w:rPr>
                <w:rFonts w:ascii="Arial" w:hAnsi="Arial" w:cs="Arial"/>
                <w:sz w:val="20"/>
                <w:szCs w:val="20"/>
              </w:rPr>
              <w:t xml:space="preserve">Indigenous CRA recipients, by payment type, 2013 </w:t>
            </w:r>
          </w:p>
        </w:tc>
      </w:tr>
      <w:tr w:rsidR="006F411B" w:rsidRPr="00D92283" w:rsidTr="006F411B">
        <w:trPr>
          <w:trHeight w:val="357"/>
        </w:trPr>
        <w:tc>
          <w:tcPr>
            <w:tcW w:w="1440" w:type="dxa"/>
            <w:tcBorders>
              <w:top w:val="nil"/>
              <w:left w:val="nil"/>
              <w:bottom w:val="nil"/>
              <w:right w:val="nil"/>
            </w:tcBorders>
            <w:shd w:val="clear" w:color="000000" w:fill="FFFFFF"/>
            <w:noWrap/>
            <w:hideMark/>
          </w:tcPr>
          <w:p w:rsidR="006F411B" w:rsidRPr="00D92283" w:rsidRDefault="006F411B" w:rsidP="006F411B">
            <w:pPr>
              <w:rPr>
                <w:rFonts w:ascii="Arial" w:hAnsi="Arial" w:cs="Arial"/>
                <w:b/>
                <w:bCs/>
                <w:sz w:val="20"/>
                <w:szCs w:val="20"/>
              </w:rPr>
            </w:pPr>
            <w:r w:rsidRPr="00D92283">
              <w:rPr>
                <w:rFonts w:ascii="Arial" w:hAnsi="Arial" w:cs="Arial"/>
                <w:b/>
                <w:bCs/>
                <w:sz w:val="20"/>
                <w:szCs w:val="20"/>
              </w:rPr>
              <w:t>Table GA.21</w:t>
            </w:r>
          </w:p>
        </w:tc>
        <w:tc>
          <w:tcPr>
            <w:tcW w:w="7420" w:type="dxa"/>
            <w:tcBorders>
              <w:top w:val="nil"/>
              <w:left w:val="nil"/>
              <w:bottom w:val="nil"/>
              <w:right w:val="nil"/>
            </w:tcBorders>
            <w:shd w:val="clear" w:color="000000" w:fill="FFFFFF"/>
            <w:hideMark/>
          </w:tcPr>
          <w:p w:rsidR="006F411B" w:rsidRPr="00D92283" w:rsidRDefault="006F411B" w:rsidP="006F411B">
            <w:pPr>
              <w:jc w:val="both"/>
              <w:rPr>
                <w:rFonts w:ascii="Arial" w:hAnsi="Arial" w:cs="Arial"/>
                <w:sz w:val="20"/>
                <w:szCs w:val="20"/>
              </w:rPr>
            </w:pPr>
            <w:r w:rsidRPr="00D92283">
              <w:rPr>
                <w:rFonts w:ascii="Arial" w:hAnsi="Arial" w:cs="Arial"/>
                <w:sz w:val="20"/>
                <w:szCs w:val="20"/>
              </w:rPr>
              <w:t xml:space="preserve">Income units receiving CRA, by special needs and geographic location, 2013  </w:t>
            </w:r>
          </w:p>
        </w:tc>
      </w:tr>
      <w:tr w:rsidR="006F411B" w:rsidRPr="00D92283" w:rsidTr="006F411B">
        <w:trPr>
          <w:trHeight w:val="867"/>
        </w:trPr>
        <w:tc>
          <w:tcPr>
            <w:tcW w:w="1440" w:type="dxa"/>
            <w:tcBorders>
              <w:top w:val="nil"/>
              <w:left w:val="nil"/>
              <w:bottom w:val="nil"/>
              <w:right w:val="nil"/>
            </w:tcBorders>
            <w:shd w:val="clear" w:color="000000" w:fill="FFFFFF"/>
            <w:noWrap/>
            <w:hideMark/>
          </w:tcPr>
          <w:p w:rsidR="006F411B" w:rsidRPr="00D92283" w:rsidRDefault="006F411B" w:rsidP="006F411B">
            <w:pPr>
              <w:rPr>
                <w:rFonts w:ascii="Arial" w:hAnsi="Arial" w:cs="Arial"/>
                <w:b/>
                <w:bCs/>
                <w:sz w:val="20"/>
                <w:szCs w:val="20"/>
              </w:rPr>
            </w:pPr>
            <w:r w:rsidRPr="00D92283">
              <w:rPr>
                <w:rFonts w:ascii="Arial" w:hAnsi="Arial" w:cs="Arial"/>
                <w:b/>
                <w:bCs/>
                <w:sz w:val="20"/>
                <w:szCs w:val="20"/>
              </w:rPr>
              <w:t>Table GA.26</w:t>
            </w:r>
          </w:p>
        </w:tc>
        <w:tc>
          <w:tcPr>
            <w:tcW w:w="7420" w:type="dxa"/>
            <w:tcBorders>
              <w:top w:val="nil"/>
              <w:left w:val="nil"/>
              <w:bottom w:val="nil"/>
              <w:right w:val="nil"/>
            </w:tcBorders>
            <w:shd w:val="clear" w:color="000000" w:fill="FFFFFF"/>
            <w:hideMark/>
          </w:tcPr>
          <w:p w:rsidR="006F411B" w:rsidRPr="00D92283" w:rsidRDefault="006F411B" w:rsidP="006F411B">
            <w:pPr>
              <w:jc w:val="both"/>
              <w:rPr>
                <w:rFonts w:ascii="Arial" w:hAnsi="Arial" w:cs="Arial"/>
                <w:sz w:val="20"/>
                <w:szCs w:val="20"/>
              </w:rPr>
            </w:pPr>
            <w:r w:rsidRPr="00D92283">
              <w:rPr>
                <w:rFonts w:ascii="Arial" w:hAnsi="Arial" w:cs="Arial"/>
                <w:sz w:val="20"/>
                <w:szCs w:val="20"/>
              </w:rPr>
              <w:t xml:space="preserve">Proportion of Indigenous income units receiving CRA, paying more than 30 per cent of income on rent, with and without CRA, by geographic location, 2009 to 2013 (per cent)  </w:t>
            </w:r>
          </w:p>
        </w:tc>
      </w:tr>
      <w:tr w:rsidR="006F411B" w:rsidRPr="00D92283" w:rsidTr="006F411B">
        <w:trPr>
          <w:trHeight w:val="612"/>
        </w:trPr>
        <w:tc>
          <w:tcPr>
            <w:tcW w:w="1440" w:type="dxa"/>
            <w:tcBorders>
              <w:top w:val="nil"/>
              <w:left w:val="nil"/>
              <w:bottom w:val="nil"/>
              <w:right w:val="nil"/>
            </w:tcBorders>
            <w:shd w:val="clear" w:color="000000" w:fill="FFFFFF"/>
            <w:noWrap/>
            <w:hideMark/>
          </w:tcPr>
          <w:p w:rsidR="006F411B" w:rsidRPr="00D92283" w:rsidRDefault="006F411B" w:rsidP="006F411B">
            <w:pPr>
              <w:rPr>
                <w:rFonts w:ascii="Arial" w:hAnsi="Arial" w:cs="Arial"/>
                <w:b/>
                <w:bCs/>
                <w:sz w:val="20"/>
                <w:szCs w:val="20"/>
              </w:rPr>
            </w:pPr>
            <w:r w:rsidRPr="00D92283">
              <w:rPr>
                <w:rFonts w:ascii="Arial" w:hAnsi="Arial" w:cs="Arial"/>
                <w:b/>
                <w:bCs/>
                <w:sz w:val="20"/>
                <w:szCs w:val="20"/>
              </w:rPr>
              <w:t>Table GA.27</w:t>
            </w:r>
          </w:p>
        </w:tc>
        <w:tc>
          <w:tcPr>
            <w:tcW w:w="7420" w:type="dxa"/>
            <w:tcBorders>
              <w:top w:val="nil"/>
              <w:left w:val="nil"/>
              <w:bottom w:val="nil"/>
              <w:right w:val="nil"/>
            </w:tcBorders>
            <w:shd w:val="clear" w:color="000000" w:fill="FFFFFF"/>
            <w:hideMark/>
          </w:tcPr>
          <w:p w:rsidR="006F411B" w:rsidRPr="00D92283" w:rsidRDefault="006F411B" w:rsidP="006F411B">
            <w:pPr>
              <w:jc w:val="both"/>
              <w:rPr>
                <w:rFonts w:ascii="Arial" w:hAnsi="Arial" w:cs="Arial"/>
                <w:sz w:val="20"/>
                <w:szCs w:val="20"/>
              </w:rPr>
            </w:pPr>
            <w:r w:rsidRPr="00D92283">
              <w:rPr>
                <w:rFonts w:ascii="Arial" w:hAnsi="Arial" w:cs="Arial"/>
                <w:sz w:val="20"/>
                <w:szCs w:val="20"/>
              </w:rPr>
              <w:t xml:space="preserve">Proportion of Indigenous income units receiving CRA, paying more than 30 per cent of income on rent, with and without CRA, 2009 to 2013 (per cent)  </w:t>
            </w:r>
          </w:p>
        </w:tc>
      </w:tr>
      <w:tr w:rsidR="006F411B" w:rsidRPr="00D92283" w:rsidTr="006F411B">
        <w:trPr>
          <w:trHeight w:val="867"/>
        </w:trPr>
        <w:tc>
          <w:tcPr>
            <w:tcW w:w="1440" w:type="dxa"/>
            <w:tcBorders>
              <w:top w:val="nil"/>
              <w:left w:val="nil"/>
              <w:bottom w:val="nil"/>
              <w:right w:val="nil"/>
            </w:tcBorders>
            <w:shd w:val="clear" w:color="000000" w:fill="FFFFFF"/>
            <w:noWrap/>
            <w:hideMark/>
          </w:tcPr>
          <w:p w:rsidR="006F411B" w:rsidRPr="00D92283" w:rsidRDefault="006F411B" w:rsidP="006F411B">
            <w:pPr>
              <w:rPr>
                <w:rFonts w:ascii="Arial" w:hAnsi="Arial" w:cs="Arial"/>
                <w:b/>
                <w:bCs/>
                <w:sz w:val="20"/>
                <w:szCs w:val="20"/>
              </w:rPr>
            </w:pPr>
            <w:r w:rsidRPr="00D92283">
              <w:rPr>
                <w:rFonts w:ascii="Arial" w:hAnsi="Arial" w:cs="Arial"/>
                <w:b/>
                <w:bCs/>
                <w:sz w:val="20"/>
                <w:szCs w:val="20"/>
              </w:rPr>
              <w:t>Table GA.34</w:t>
            </w:r>
          </w:p>
        </w:tc>
        <w:tc>
          <w:tcPr>
            <w:tcW w:w="7420" w:type="dxa"/>
            <w:tcBorders>
              <w:top w:val="nil"/>
              <w:left w:val="nil"/>
              <w:bottom w:val="nil"/>
              <w:right w:val="nil"/>
            </w:tcBorders>
            <w:shd w:val="clear" w:color="000000" w:fill="FFFFFF"/>
            <w:hideMark/>
          </w:tcPr>
          <w:p w:rsidR="006F411B" w:rsidRPr="00D92283" w:rsidRDefault="006F411B" w:rsidP="006F411B">
            <w:pPr>
              <w:jc w:val="both"/>
              <w:rPr>
                <w:rFonts w:ascii="Arial" w:hAnsi="Arial" w:cs="Arial"/>
                <w:color w:val="000000"/>
                <w:sz w:val="20"/>
                <w:szCs w:val="20"/>
              </w:rPr>
            </w:pPr>
            <w:r w:rsidRPr="00D92283">
              <w:rPr>
                <w:rFonts w:ascii="Arial" w:hAnsi="Arial" w:cs="Arial"/>
                <w:color w:val="000000"/>
                <w:sz w:val="20"/>
                <w:szCs w:val="20"/>
              </w:rPr>
              <w:t xml:space="preserve">Number and proportion of income units receiving CRA with more than 50 per cent of income spent on rent, with and without CRA, by special needs and geographic location, 2013 (per cent)   </w:t>
            </w:r>
          </w:p>
        </w:tc>
      </w:tr>
    </w:tbl>
    <w:p w:rsidR="00925527" w:rsidRPr="00D92283" w:rsidRDefault="00925527" w:rsidP="00EF02C4">
      <w:pPr>
        <w:keepNext/>
        <w:spacing w:before="560" w:line="320" w:lineRule="exact"/>
        <w:outlineLvl w:val="2"/>
        <w:rPr>
          <w:rFonts w:ascii="Arial" w:hAnsi="Arial"/>
          <w:b/>
        </w:rPr>
      </w:pPr>
      <w:bookmarkStart w:id="71" w:name="_Toc316989357"/>
      <w:bookmarkStart w:id="72" w:name="_Toc318383916"/>
      <w:bookmarkStart w:id="73" w:name="_Toc318387692"/>
      <w:bookmarkStart w:id="74" w:name="_Toc319588876"/>
      <w:bookmarkStart w:id="75" w:name="_Toc348432702"/>
      <w:bookmarkStart w:id="76" w:name="_Toc348448924"/>
      <w:bookmarkStart w:id="77" w:name="_Toc348968995"/>
      <w:bookmarkStart w:id="78" w:name="_Toc381085197"/>
      <w:bookmarkStart w:id="79" w:name="_Toc384654199"/>
      <w:bookmarkStart w:id="80" w:name="_Toc320630764"/>
      <w:bookmarkStart w:id="81" w:name="_Toc320774667"/>
      <w:r w:rsidRPr="00D92283">
        <w:rPr>
          <w:rFonts w:ascii="Arial" w:hAnsi="Arial"/>
          <w:b/>
        </w:rPr>
        <w:lastRenderedPageBreak/>
        <w:t>Definitions of key terms</w:t>
      </w:r>
      <w:bookmarkEnd w:id="71"/>
      <w:bookmarkEnd w:id="72"/>
      <w:bookmarkEnd w:id="73"/>
      <w:bookmarkEnd w:id="74"/>
      <w:bookmarkEnd w:id="75"/>
      <w:bookmarkEnd w:id="76"/>
      <w:bookmarkEnd w:id="77"/>
      <w:bookmarkEnd w:id="78"/>
      <w:bookmarkEnd w:id="79"/>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925527" w:rsidRPr="00D92283" w:rsidTr="0071496E">
        <w:tc>
          <w:tcPr>
            <w:tcW w:w="8789" w:type="dxa"/>
            <w:gridSpan w:val="2"/>
          </w:tcPr>
          <w:p w:rsidR="00925527" w:rsidRPr="00EF02C4" w:rsidRDefault="00925527" w:rsidP="00EF02C4">
            <w:pPr>
              <w:keepNext/>
              <w:spacing w:before="240"/>
              <w:rPr>
                <w:rFonts w:ascii="Arial" w:hAnsi="Arial" w:cs="Arial"/>
                <w:b/>
                <w:sz w:val="22"/>
                <w:szCs w:val="22"/>
              </w:rPr>
            </w:pPr>
            <w:bookmarkStart w:id="82" w:name="_Toc348968996"/>
            <w:bookmarkStart w:id="83" w:name="_Toc381085198"/>
            <w:bookmarkStart w:id="84" w:name="_Toc384654200"/>
            <w:r w:rsidRPr="00EF02C4">
              <w:rPr>
                <w:rFonts w:ascii="Arial" w:hAnsi="Arial" w:cs="Arial"/>
                <w:b/>
                <w:sz w:val="22"/>
                <w:szCs w:val="22"/>
              </w:rPr>
              <w:t>Commonwealth Rent Assistance</w:t>
            </w:r>
            <w:bookmarkEnd w:id="82"/>
            <w:bookmarkEnd w:id="83"/>
            <w:bookmarkEnd w:id="84"/>
          </w:p>
        </w:tc>
      </w:tr>
      <w:tr w:rsidR="006F411B" w:rsidRPr="00D92283" w:rsidTr="0071496E">
        <w:tc>
          <w:tcPr>
            <w:tcW w:w="2410" w:type="dxa"/>
          </w:tcPr>
          <w:p w:rsidR="006F411B" w:rsidRPr="00D92283" w:rsidRDefault="006F411B" w:rsidP="006F411B">
            <w:pPr>
              <w:keepNext/>
              <w:keepLines/>
              <w:spacing w:after="40" w:line="220" w:lineRule="atLeast"/>
              <w:ind w:left="6" w:right="113"/>
              <w:rPr>
                <w:rFonts w:ascii="Arial" w:hAnsi="Arial"/>
                <w:b/>
                <w:color w:val="000000"/>
                <w:sz w:val="20"/>
                <w:szCs w:val="20"/>
              </w:rPr>
            </w:pPr>
            <w:r w:rsidRPr="00D92283">
              <w:rPr>
                <w:rFonts w:ascii="Arial" w:hAnsi="Arial"/>
                <w:b/>
                <w:color w:val="000000"/>
                <w:sz w:val="20"/>
                <w:szCs w:val="20"/>
              </w:rPr>
              <w:t>Affordability</w:t>
            </w:r>
          </w:p>
        </w:tc>
        <w:tc>
          <w:tcPr>
            <w:tcW w:w="6379" w:type="dxa"/>
          </w:tcPr>
          <w:p w:rsidR="006F411B" w:rsidRPr="00D92283" w:rsidRDefault="006F411B" w:rsidP="006F411B">
            <w:pPr>
              <w:keepNext/>
              <w:keepLines/>
              <w:spacing w:after="40" w:line="220" w:lineRule="atLeast"/>
              <w:ind w:left="6" w:right="113"/>
              <w:jc w:val="both"/>
              <w:rPr>
                <w:rFonts w:ascii="Arial" w:hAnsi="Arial"/>
                <w:b/>
                <w:color w:val="000000"/>
                <w:sz w:val="20"/>
                <w:szCs w:val="20"/>
              </w:rPr>
            </w:pPr>
            <w:r w:rsidRPr="00D92283">
              <w:rPr>
                <w:rFonts w:ascii="Arial" w:hAnsi="Arial"/>
                <w:color w:val="000000"/>
                <w:sz w:val="20"/>
                <w:szCs w:val="20"/>
              </w:rPr>
              <w:t>Affordability (without CRA) is calculated for all income units receiving CRA by dividing Rent by Total Income from all sources. The CRA entitlement for the reference fortnight in June is included in Total Income from all sources for the calculation of affordability with CRA.</w:t>
            </w:r>
          </w:p>
        </w:tc>
      </w:tr>
      <w:tr w:rsidR="0018788D" w:rsidRPr="00D92283" w:rsidTr="0071496E">
        <w:tc>
          <w:tcPr>
            <w:tcW w:w="2410" w:type="dxa"/>
          </w:tcPr>
          <w:p w:rsidR="0018788D" w:rsidRPr="00D92283" w:rsidRDefault="0018788D" w:rsidP="007F1A1C">
            <w:pPr>
              <w:keepNext/>
              <w:keepLines/>
              <w:spacing w:after="40" w:line="220" w:lineRule="atLeast"/>
              <w:ind w:left="6" w:right="113"/>
              <w:rPr>
                <w:rFonts w:ascii="Arial" w:hAnsi="Arial"/>
                <w:b/>
                <w:color w:val="000000"/>
                <w:sz w:val="20"/>
                <w:szCs w:val="20"/>
              </w:rPr>
            </w:pPr>
            <w:r w:rsidRPr="00D92283">
              <w:rPr>
                <w:rFonts w:ascii="Arial" w:hAnsi="Arial"/>
                <w:b/>
                <w:color w:val="000000"/>
                <w:sz w:val="20"/>
                <w:szCs w:val="20"/>
              </w:rPr>
              <w:t>Commonwealth Rent Assistance (CRA)</w:t>
            </w:r>
          </w:p>
        </w:tc>
        <w:tc>
          <w:tcPr>
            <w:tcW w:w="6379" w:type="dxa"/>
          </w:tcPr>
          <w:p w:rsidR="0018788D" w:rsidRPr="00D92283" w:rsidRDefault="0018788D" w:rsidP="007F1A1C">
            <w:pPr>
              <w:keepNext/>
              <w:keepLines/>
              <w:spacing w:after="40" w:line="220" w:lineRule="atLeast"/>
              <w:ind w:left="6" w:right="113"/>
              <w:jc w:val="both"/>
              <w:rPr>
                <w:rFonts w:ascii="Arial" w:hAnsi="Arial"/>
                <w:color w:val="000000" w:themeColor="text1"/>
                <w:sz w:val="20"/>
                <w:szCs w:val="20"/>
              </w:rPr>
            </w:pPr>
            <w:r w:rsidRPr="00D92283">
              <w:rPr>
                <w:rFonts w:ascii="Arial" w:hAnsi="Arial"/>
                <w:color w:val="000000" w:themeColor="text1"/>
                <w:sz w:val="20"/>
                <w:szCs w:val="20"/>
              </w:rPr>
              <w:t>A fortnightly supplement paid to two types of renter in private and community housing: income support recipients (for example, people receiving the Disability Support Pension), and low- and moderate-income families with children. Payment of CRA continues as long as recipients meet income tests for their primary payment and continue to pay a predetermined amount of rent.</w:t>
            </w:r>
          </w:p>
        </w:tc>
      </w:tr>
      <w:tr w:rsidR="0018788D" w:rsidRPr="00D92283" w:rsidTr="0071496E">
        <w:tc>
          <w:tcPr>
            <w:tcW w:w="2410" w:type="dxa"/>
          </w:tcPr>
          <w:p w:rsidR="0018788D" w:rsidRPr="00D92283" w:rsidRDefault="0018788D" w:rsidP="007F1A1C">
            <w:pPr>
              <w:keepNext/>
              <w:keepLines/>
              <w:spacing w:after="40" w:line="220" w:lineRule="atLeast"/>
              <w:ind w:left="6" w:right="113"/>
              <w:rPr>
                <w:rFonts w:ascii="Arial" w:hAnsi="Arial"/>
                <w:color w:val="000000"/>
                <w:sz w:val="20"/>
                <w:szCs w:val="20"/>
              </w:rPr>
            </w:pPr>
            <w:r w:rsidRPr="00D92283">
              <w:rPr>
                <w:rFonts w:ascii="Arial" w:hAnsi="Arial"/>
                <w:b/>
                <w:color w:val="000000"/>
                <w:sz w:val="20"/>
                <w:szCs w:val="20"/>
              </w:rPr>
              <w:t>Dependent child for CRA</w:t>
            </w:r>
          </w:p>
        </w:tc>
        <w:tc>
          <w:tcPr>
            <w:tcW w:w="6379" w:type="dxa"/>
          </w:tcPr>
          <w:p w:rsidR="0018788D" w:rsidRPr="00D92283" w:rsidRDefault="0018788D" w:rsidP="007F1A1C">
            <w:pPr>
              <w:keepNext/>
              <w:keepLines/>
              <w:spacing w:after="40" w:line="220" w:lineRule="atLeast"/>
              <w:ind w:left="6" w:right="113"/>
              <w:jc w:val="both"/>
              <w:rPr>
                <w:rFonts w:ascii="Arial" w:hAnsi="Arial"/>
                <w:color w:val="000000" w:themeColor="text1"/>
                <w:sz w:val="20"/>
                <w:szCs w:val="20"/>
              </w:rPr>
            </w:pPr>
            <w:r w:rsidRPr="00D92283">
              <w:rPr>
                <w:rFonts w:ascii="Arial" w:hAnsi="Arial"/>
                <w:color w:val="000000" w:themeColor="text1"/>
                <w:sz w:val="20"/>
                <w:szCs w:val="20"/>
              </w:rPr>
              <w:t>Dependent child has a wider meaning under Social Security and Family Assistance law than is used in this chapter in relation to CRA. In this chapter, a dependent child is one in respect of whom an adult member of the income unit receives Family Tax Benefit (FTB) Part A at more than the base rate. Prior to 1 January 2012, children aged 16 or older attracted the base rate of FTB Part A so are not included in the count of dependent children. From January 2012 children aged 16 to 19 years attending secondary school may now receive more than the base rate of FTB Part A. Figures from June 2013 include 16 to 19 years olds who receive more than the base rate of FTB Part A. Some children under 20 years of age attract the base rate of FTB Part A only and may not be eligible to be counted for CRA entitlement.</w:t>
            </w:r>
          </w:p>
        </w:tc>
      </w:tr>
      <w:tr w:rsidR="0018788D" w:rsidRPr="00D92283" w:rsidTr="0071496E">
        <w:tc>
          <w:tcPr>
            <w:tcW w:w="2410" w:type="dxa"/>
          </w:tcPr>
          <w:p w:rsidR="0018788D" w:rsidRPr="00D92283" w:rsidRDefault="0018788D" w:rsidP="007F1A1C">
            <w:pPr>
              <w:keepNext/>
              <w:keepLines/>
              <w:spacing w:after="40" w:line="220" w:lineRule="atLeast"/>
              <w:ind w:left="6" w:right="113"/>
              <w:rPr>
                <w:rFonts w:ascii="Arial" w:hAnsi="Arial"/>
                <w:color w:val="000000"/>
                <w:sz w:val="20"/>
                <w:szCs w:val="20"/>
              </w:rPr>
            </w:pPr>
            <w:r w:rsidRPr="00D92283">
              <w:rPr>
                <w:rFonts w:ascii="Arial" w:hAnsi="Arial"/>
                <w:b/>
                <w:color w:val="000000"/>
                <w:sz w:val="20"/>
                <w:szCs w:val="20"/>
              </w:rPr>
              <w:t>Income support recipient</w:t>
            </w:r>
          </w:p>
        </w:tc>
        <w:tc>
          <w:tcPr>
            <w:tcW w:w="6379" w:type="dxa"/>
          </w:tcPr>
          <w:p w:rsidR="0018788D" w:rsidRPr="00D92283" w:rsidRDefault="0018788D" w:rsidP="007F1A1C">
            <w:pPr>
              <w:keepNext/>
              <w:keepLines/>
              <w:spacing w:after="40" w:line="220" w:lineRule="atLeast"/>
              <w:ind w:left="6" w:right="113"/>
              <w:jc w:val="both"/>
              <w:rPr>
                <w:rFonts w:ascii="Arial" w:hAnsi="Arial"/>
                <w:color w:val="000000"/>
                <w:sz w:val="20"/>
                <w:szCs w:val="20"/>
              </w:rPr>
            </w:pPr>
            <w:r w:rsidRPr="00D92283">
              <w:rPr>
                <w:rFonts w:ascii="Arial" w:hAnsi="Arial"/>
                <w:color w:val="000000"/>
                <w:sz w:val="20"/>
                <w:szCs w:val="20"/>
              </w:rPr>
              <w:t>Recipients in receipt of a payment made under social security law. Under the Machinery of Government changes announced on the 18 September 2013 Income Support Payments administered under social security law are now the responsibility of the Department of Social Services. Family Tax Benefit is paid under family assistance law and is not an income support payment.</w:t>
            </w:r>
          </w:p>
        </w:tc>
      </w:tr>
      <w:tr w:rsidR="0018788D" w:rsidRPr="00D92283" w:rsidTr="0071496E">
        <w:tc>
          <w:tcPr>
            <w:tcW w:w="2410" w:type="dxa"/>
          </w:tcPr>
          <w:p w:rsidR="0018788D" w:rsidRPr="00D92283" w:rsidRDefault="0018788D" w:rsidP="007F1A1C">
            <w:pPr>
              <w:keepNext/>
              <w:keepLines/>
              <w:spacing w:after="40" w:line="220" w:lineRule="atLeast"/>
              <w:ind w:left="6" w:right="113"/>
              <w:rPr>
                <w:color w:val="000000"/>
                <w:sz w:val="20"/>
                <w:szCs w:val="20"/>
              </w:rPr>
            </w:pPr>
            <w:r w:rsidRPr="00D92283">
              <w:rPr>
                <w:color w:val="000000"/>
                <w:sz w:val="20"/>
                <w:szCs w:val="20"/>
              </w:rPr>
              <w:br w:type="page"/>
            </w:r>
            <w:r w:rsidRPr="00D92283">
              <w:rPr>
                <w:rFonts w:ascii="Arial" w:hAnsi="Arial"/>
                <w:b/>
                <w:color w:val="000000"/>
                <w:sz w:val="20"/>
                <w:szCs w:val="20"/>
              </w:rPr>
              <w:t>Income unit</w:t>
            </w:r>
          </w:p>
        </w:tc>
        <w:tc>
          <w:tcPr>
            <w:tcW w:w="6379" w:type="dxa"/>
          </w:tcPr>
          <w:p w:rsidR="0018788D" w:rsidRPr="00D92283" w:rsidRDefault="0018788D" w:rsidP="007F1A1C">
            <w:pPr>
              <w:keepNext/>
              <w:keepLines/>
              <w:spacing w:after="40" w:line="220" w:lineRule="atLeast"/>
              <w:ind w:left="6" w:right="113"/>
              <w:jc w:val="both"/>
              <w:rPr>
                <w:rFonts w:ascii="Arial" w:hAnsi="Arial"/>
                <w:color w:val="000000"/>
                <w:sz w:val="20"/>
                <w:szCs w:val="20"/>
              </w:rPr>
            </w:pPr>
            <w:r w:rsidRPr="00D92283">
              <w:rPr>
                <w:rFonts w:ascii="Arial" w:hAnsi="Arial"/>
                <w:color w:val="000000"/>
                <w:sz w:val="20"/>
                <w:szCs w:val="20"/>
              </w:rPr>
              <w:t>An income unit may consist of:</w:t>
            </w:r>
          </w:p>
          <w:p w:rsidR="0018788D" w:rsidRPr="00D92283" w:rsidRDefault="0018788D" w:rsidP="0018788D">
            <w:pPr>
              <w:keepNext/>
              <w:keepLines/>
              <w:numPr>
                <w:ilvl w:val="0"/>
                <w:numId w:val="10"/>
              </w:numPr>
              <w:spacing w:after="40" w:line="220" w:lineRule="atLeast"/>
              <w:ind w:right="113"/>
              <w:jc w:val="both"/>
              <w:rPr>
                <w:rFonts w:ascii="Arial" w:hAnsi="Arial"/>
                <w:color w:val="000000"/>
                <w:sz w:val="20"/>
                <w:szCs w:val="20"/>
              </w:rPr>
            </w:pPr>
            <w:r w:rsidRPr="00D92283">
              <w:rPr>
                <w:rFonts w:ascii="Arial" w:hAnsi="Arial"/>
                <w:color w:val="000000"/>
                <w:sz w:val="20"/>
                <w:szCs w:val="20"/>
              </w:rPr>
              <w:t>a single person with no dependent children</w:t>
            </w:r>
          </w:p>
          <w:p w:rsidR="0018788D" w:rsidRPr="00D92283" w:rsidRDefault="0018788D" w:rsidP="0018788D">
            <w:pPr>
              <w:keepNext/>
              <w:keepLines/>
              <w:numPr>
                <w:ilvl w:val="0"/>
                <w:numId w:val="10"/>
              </w:numPr>
              <w:spacing w:after="40" w:line="220" w:lineRule="atLeast"/>
              <w:ind w:right="113"/>
              <w:jc w:val="both"/>
              <w:rPr>
                <w:rFonts w:ascii="Arial" w:hAnsi="Arial"/>
                <w:color w:val="000000"/>
                <w:sz w:val="20"/>
                <w:szCs w:val="20"/>
              </w:rPr>
            </w:pPr>
            <w:r w:rsidRPr="00D92283">
              <w:rPr>
                <w:rFonts w:ascii="Arial" w:hAnsi="Arial"/>
                <w:color w:val="000000"/>
                <w:sz w:val="20"/>
                <w:szCs w:val="20"/>
              </w:rPr>
              <w:t>a sole parent with one or more dependent children</w:t>
            </w:r>
          </w:p>
          <w:p w:rsidR="0018788D" w:rsidRPr="00D92283" w:rsidRDefault="0018788D" w:rsidP="0018788D">
            <w:pPr>
              <w:keepNext/>
              <w:keepLines/>
              <w:numPr>
                <w:ilvl w:val="0"/>
                <w:numId w:val="10"/>
              </w:numPr>
              <w:spacing w:after="40" w:line="220" w:lineRule="atLeast"/>
              <w:ind w:right="113"/>
              <w:jc w:val="both"/>
              <w:rPr>
                <w:rFonts w:ascii="Arial" w:hAnsi="Arial"/>
                <w:color w:val="000000"/>
                <w:sz w:val="20"/>
                <w:szCs w:val="20"/>
              </w:rPr>
            </w:pPr>
            <w:r w:rsidRPr="00D92283">
              <w:rPr>
                <w:rFonts w:ascii="Arial" w:hAnsi="Arial"/>
                <w:color w:val="000000"/>
                <w:sz w:val="20"/>
                <w:szCs w:val="20"/>
              </w:rPr>
              <w:t>a couple (married, registered or defacto) with no dependent children</w:t>
            </w:r>
          </w:p>
          <w:p w:rsidR="0018788D" w:rsidRPr="00D92283" w:rsidRDefault="0018788D" w:rsidP="0018788D">
            <w:pPr>
              <w:keepNext/>
              <w:keepLines/>
              <w:numPr>
                <w:ilvl w:val="0"/>
                <w:numId w:val="10"/>
              </w:numPr>
              <w:spacing w:after="40" w:line="220" w:lineRule="atLeast"/>
              <w:ind w:right="113"/>
              <w:jc w:val="both"/>
              <w:rPr>
                <w:rFonts w:ascii="Arial" w:hAnsi="Arial"/>
                <w:color w:val="000000"/>
                <w:sz w:val="20"/>
                <w:szCs w:val="20"/>
              </w:rPr>
            </w:pPr>
            <w:r w:rsidRPr="00D92283">
              <w:rPr>
                <w:rFonts w:ascii="Arial" w:hAnsi="Arial"/>
                <w:color w:val="000000"/>
                <w:sz w:val="20"/>
                <w:szCs w:val="20"/>
              </w:rPr>
              <w:t>a couple (married, registered or defacto) with one or more dependent children.</w:t>
            </w:r>
          </w:p>
          <w:p w:rsidR="0018788D" w:rsidRPr="00D92283" w:rsidRDefault="0018788D" w:rsidP="007F1A1C">
            <w:pPr>
              <w:keepNext/>
              <w:keepLines/>
              <w:spacing w:after="40" w:line="220" w:lineRule="atLeast"/>
              <w:ind w:left="6" w:right="113"/>
              <w:jc w:val="both"/>
              <w:rPr>
                <w:rFonts w:ascii="Arial" w:hAnsi="Arial"/>
                <w:color w:val="000000"/>
                <w:sz w:val="20"/>
                <w:szCs w:val="20"/>
              </w:rPr>
            </w:pPr>
            <w:r w:rsidRPr="00D92283">
              <w:rPr>
                <w:rFonts w:ascii="Arial" w:hAnsi="Arial"/>
                <w:color w:val="000000"/>
                <w:sz w:val="20"/>
                <w:szCs w:val="20"/>
              </w:rPr>
              <w:t>A non-dependent child living at home, including one who is receiving an income support payment in their own right, is regarded as a separate income unit. Similarly, a group of non-related adults sharing accommodation are counted as separate income units.</w:t>
            </w:r>
          </w:p>
        </w:tc>
      </w:tr>
      <w:tr w:rsidR="0018788D" w:rsidRPr="00D92283" w:rsidTr="0071496E">
        <w:tc>
          <w:tcPr>
            <w:tcW w:w="2410" w:type="dxa"/>
          </w:tcPr>
          <w:p w:rsidR="0018788D" w:rsidRPr="00D92283" w:rsidRDefault="0018788D" w:rsidP="007F1A1C">
            <w:pPr>
              <w:keepNext/>
              <w:keepLines/>
              <w:spacing w:after="40" w:line="220" w:lineRule="atLeast"/>
              <w:ind w:left="6" w:right="113"/>
              <w:rPr>
                <w:rFonts w:ascii="Arial" w:hAnsi="Arial"/>
                <w:b/>
                <w:color w:val="000000"/>
                <w:sz w:val="20"/>
                <w:szCs w:val="20"/>
              </w:rPr>
            </w:pPr>
            <w:r w:rsidRPr="00D92283">
              <w:rPr>
                <w:rFonts w:ascii="Arial" w:hAnsi="Arial"/>
                <w:b/>
                <w:color w:val="000000"/>
                <w:sz w:val="20"/>
                <w:szCs w:val="20"/>
              </w:rPr>
              <w:t>Low and moderate incomes</w:t>
            </w:r>
          </w:p>
        </w:tc>
        <w:tc>
          <w:tcPr>
            <w:tcW w:w="6379" w:type="dxa"/>
          </w:tcPr>
          <w:p w:rsidR="0018788D" w:rsidRPr="00D92283" w:rsidRDefault="0018788D" w:rsidP="007F1A1C">
            <w:pPr>
              <w:keepNext/>
              <w:keepLines/>
              <w:spacing w:after="40" w:line="220" w:lineRule="atLeast"/>
              <w:ind w:left="6" w:right="113"/>
              <w:jc w:val="both"/>
              <w:rPr>
                <w:rFonts w:ascii="Arial" w:hAnsi="Arial"/>
                <w:color w:val="000000"/>
                <w:sz w:val="20"/>
                <w:szCs w:val="20"/>
              </w:rPr>
            </w:pPr>
            <w:r w:rsidRPr="00D92283">
              <w:rPr>
                <w:rFonts w:ascii="Arial" w:hAnsi="Arial"/>
                <w:color w:val="000000"/>
                <w:sz w:val="20"/>
                <w:szCs w:val="20"/>
              </w:rPr>
              <w:t>Individuals and families receive CRA with either an income support payment or FTB Part A. While income support recipients are generally thought of as low income, those receiving FTB Part A can have higher incomes and still be eligible for a part rate of Rent Assistance. For this reason, CRA recipients are not defined as those on low incomes.</w:t>
            </w:r>
          </w:p>
        </w:tc>
      </w:tr>
    </w:tbl>
    <w:p w:rsidR="00D92283" w:rsidRDefault="00D92283">
      <w:r>
        <w:br w:type="page"/>
      </w:r>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18788D" w:rsidRPr="00DE74DF" w:rsidTr="0071496E">
        <w:tc>
          <w:tcPr>
            <w:tcW w:w="2410" w:type="dxa"/>
          </w:tcPr>
          <w:p w:rsidR="0018788D" w:rsidRPr="00ED03CB" w:rsidRDefault="0018788D" w:rsidP="007F1A1C">
            <w:pPr>
              <w:keepNext/>
              <w:keepLines/>
              <w:spacing w:after="40" w:line="220" w:lineRule="atLeast"/>
              <w:ind w:left="6" w:right="113"/>
              <w:rPr>
                <w:rFonts w:ascii="Arial" w:hAnsi="Arial"/>
                <w:b/>
                <w:color w:val="000000"/>
                <w:sz w:val="20"/>
                <w:szCs w:val="20"/>
              </w:rPr>
            </w:pPr>
            <w:r w:rsidRPr="00ED03CB">
              <w:rPr>
                <w:rFonts w:ascii="Arial" w:hAnsi="Arial"/>
                <w:b/>
                <w:color w:val="000000"/>
                <w:sz w:val="20"/>
                <w:szCs w:val="20"/>
              </w:rPr>
              <w:lastRenderedPageBreak/>
              <w:t>Machinery of Government Changes</w:t>
            </w:r>
          </w:p>
        </w:tc>
        <w:tc>
          <w:tcPr>
            <w:tcW w:w="6379" w:type="dxa"/>
          </w:tcPr>
          <w:p w:rsidR="0018788D" w:rsidRPr="00ED03CB" w:rsidRDefault="0018788D" w:rsidP="00D92283">
            <w:pPr>
              <w:keepNext/>
              <w:keepLines/>
              <w:spacing w:after="40" w:line="220" w:lineRule="atLeast"/>
              <w:ind w:left="6" w:right="113"/>
              <w:jc w:val="both"/>
              <w:rPr>
                <w:rFonts w:ascii="Arial" w:hAnsi="Arial"/>
                <w:color w:val="000000"/>
                <w:sz w:val="20"/>
                <w:szCs w:val="20"/>
              </w:rPr>
            </w:pPr>
            <w:r w:rsidRPr="00ED03CB">
              <w:rPr>
                <w:rFonts w:ascii="Arial" w:hAnsi="Arial"/>
                <w:color w:val="000000"/>
                <w:sz w:val="20"/>
                <w:szCs w:val="20"/>
              </w:rPr>
              <w:t xml:space="preserve">Prior to the Machinery of Government changes announced on </w:t>
            </w:r>
            <w:r w:rsidR="00D92283" w:rsidRPr="00ED03CB">
              <w:rPr>
                <w:rFonts w:ascii="Arial" w:hAnsi="Arial"/>
                <w:color w:val="000000"/>
                <w:sz w:val="20"/>
                <w:szCs w:val="20"/>
              </w:rPr>
              <w:br/>
            </w:r>
            <w:r w:rsidRPr="00ED03CB">
              <w:rPr>
                <w:rFonts w:ascii="Arial" w:hAnsi="Arial"/>
                <w:color w:val="000000"/>
                <w:sz w:val="20"/>
                <w:szCs w:val="20"/>
              </w:rPr>
              <w:t>18</w:t>
            </w:r>
            <w:r w:rsidR="00D92283" w:rsidRPr="00ED03CB">
              <w:rPr>
                <w:rFonts w:ascii="Arial" w:hAnsi="Arial"/>
                <w:color w:val="000000"/>
                <w:sz w:val="20"/>
                <w:szCs w:val="20"/>
              </w:rPr>
              <w:t xml:space="preserve"> </w:t>
            </w:r>
            <w:r w:rsidRPr="00ED03CB">
              <w:rPr>
                <w:rFonts w:ascii="Arial" w:hAnsi="Arial"/>
                <w:color w:val="000000"/>
                <w:sz w:val="20"/>
                <w:szCs w:val="20"/>
              </w:rPr>
              <w:t>September 2013, the main income support payments administered by the former Department of Families, Housing, Community Services and Indigenous affairs (FaHCSIA) were Age Pension, Disability Support Pension and Carer Payment, while the main income support payments administered by former Department of Education, Employment and Workplace Relations were Newstart Allowance, Youth Allowance (other), Parenting Payment (Single) and Parenting Payment (Partnered). Youth Allowance (student) and Austudy were administered by the former Department of Industry, Innovation, Climate Change, Science, Research and Tertiary Education.</w:t>
            </w:r>
          </w:p>
        </w:tc>
      </w:tr>
      <w:tr w:rsidR="0018788D" w:rsidRPr="00DE74DF" w:rsidTr="0071496E">
        <w:tc>
          <w:tcPr>
            <w:tcW w:w="2410" w:type="dxa"/>
          </w:tcPr>
          <w:p w:rsidR="0018788D" w:rsidRPr="00ED03CB" w:rsidRDefault="0018788D" w:rsidP="007F1A1C">
            <w:pPr>
              <w:keepNext/>
              <w:keepLines/>
              <w:spacing w:after="40" w:line="220" w:lineRule="atLeast"/>
              <w:ind w:left="6" w:right="113"/>
              <w:rPr>
                <w:rFonts w:ascii="Arial" w:hAnsi="Arial"/>
                <w:color w:val="000000"/>
                <w:sz w:val="20"/>
                <w:szCs w:val="20"/>
              </w:rPr>
            </w:pPr>
            <w:r w:rsidRPr="00ED03CB">
              <w:rPr>
                <w:rFonts w:ascii="Arial" w:hAnsi="Arial"/>
                <w:b/>
                <w:color w:val="000000"/>
                <w:sz w:val="20"/>
                <w:szCs w:val="20"/>
              </w:rPr>
              <w:t>Rent</w:t>
            </w:r>
          </w:p>
        </w:tc>
        <w:tc>
          <w:tcPr>
            <w:tcW w:w="6379" w:type="dxa"/>
          </w:tcPr>
          <w:p w:rsidR="0018788D" w:rsidRPr="00ED03CB" w:rsidRDefault="0018788D" w:rsidP="007F1A1C">
            <w:pPr>
              <w:keepNext/>
              <w:keepLines/>
              <w:spacing w:after="40" w:line="220" w:lineRule="atLeast"/>
              <w:ind w:left="6" w:right="113"/>
              <w:jc w:val="both"/>
              <w:rPr>
                <w:rFonts w:ascii="Arial" w:hAnsi="Arial"/>
                <w:color w:val="000000"/>
                <w:sz w:val="20"/>
                <w:szCs w:val="20"/>
              </w:rPr>
            </w:pPr>
            <w:r w:rsidRPr="00ED03CB">
              <w:rPr>
                <w:rFonts w:ascii="Arial" w:hAnsi="Arial"/>
                <w:color w:val="000000"/>
                <w:sz w:val="20"/>
                <w:szCs w:val="20"/>
              </w:rPr>
              <w:t>Amount payable as a condition of occupancy of a person’s home. Rent includes site fees for a caravan, mooring fees and payment for services provided in a retirement village. Rent encompasses not only a formal tenancy agreement, but also informal agreements between family members, including the payment of board or board and lodgings. Where a person pays board and lodgings and cannot separately identify the amount paid for lodgings, two thirds of the payment is deemed to be for rent.</w:t>
            </w:r>
          </w:p>
        </w:tc>
      </w:tr>
      <w:tr w:rsidR="0018788D" w:rsidRPr="00DE74DF" w:rsidTr="0071496E">
        <w:tc>
          <w:tcPr>
            <w:tcW w:w="2410" w:type="dxa"/>
          </w:tcPr>
          <w:p w:rsidR="0018788D" w:rsidRPr="00ED03CB" w:rsidRDefault="0018788D" w:rsidP="007F1A1C">
            <w:pPr>
              <w:keepNext/>
              <w:keepLines/>
              <w:spacing w:after="40" w:line="220" w:lineRule="atLeast"/>
              <w:ind w:left="6" w:right="113"/>
              <w:rPr>
                <w:rFonts w:ascii="Arial" w:hAnsi="Arial"/>
                <w:color w:val="000000"/>
                <w:sz w:val="20"/>
                <w:szCs w:val="20"/>
              </w:rPr>
            </w:pPr>
            <w:r w:rsidRPr="00ED03CB">
              <w:rPr>
                <w:rFonts w:ascii="Arial" w:hAnsi="Arial"/>
                <w:b/>
                <w:color w:val="000000"/>
                <w:sz w:val="20"/>
                <w:szCs w:val="20"/>
              </w:rPr>
              <w:t>Special needs</w:t>
            </w:r>
          </w:p>
        </w:tc>
        <w:tc>
          <w:tcPr>
            <w:tcW w:w="6379" w:type="dxa"/>
          </w:tcPr>
          <w:p w:rsidR="0018788D" w:rsidRPr="00ED03CB" w:rsidRDefault="0018788D" w:rsidP="007F1A1C">
            <w:pPr>
              <w:keepNext/>
              <w:keepLines/>
              <w:spacing w:after="40" w:line="220" w:lineRule="atLeast"/>
              <w:ind w:left="6" w:right="113"/>
              <w:jc w:val="both"/>
              <w:rPr>
                <w:rFonts w:ascii="Arial" w:hAnsi="Arial"/>
                <w:color w:val="000000"/>
                <w:sz w:val="20"/>
                <w:szCs w:val="20"/>
              </w:rPr>
            </w:pPr>
            <w:r w:rsidRPr="00ED03CB">
              <w:rPr>
                <w:rFonts w:ascii="Arial" w:hAnsi="Arial"/>
                <w:color w:val="000000"/>
                <w:sz w:val="20"/>
                <w:szCs w:val="20"/>
              </w:rPr>
              <w:t>Individuals and families with at least one member who either self</w:t>
            </w:r>
            <w:r w:rsidRPr="00ED03CB">
              <w:rPr>
                <w:rFonts w:ascii="Arial" w:hAnsi="Arial"/>
                <w:color w:val="000000"/>
                <w:sz w:val="20"/>
                <w:szCs w:val="20"/>
              </w:rPr>
              <w:noBreakHyphen/>
              <w:t>identifies as Indigenous; receives a Disability Support Pension; is aged 24 years or under; or is aged 75 years or over.</w:t>
            </w:r>
          </w:p>
        </w:tc>
      </w:tr>
      <w:tr w:rsidR="0018788D" w:rsidRPr="00DE74DF" w:rsidTr="0071496E">
        <w:tc>
          <w:tcPr>
            <w:tcW w:w="2410" w:type="dxa"/>
          </w:tcPr>
          <w:p w:rsidR="0018788D" w:rsidRPr="00ED03CB" w:rsidRDefault="0018788D" w:rsidP="007F1A1C">
            <w:pPr>
              <w:keepNext/>
              <w:keepLines/>
              <w:spacing w:after="40" w:line="220" w:lineRule="atLeast"/>
              <w:ind w:left="6" w:right="113"/>
              <w:rPr>
                <w:rFonts w:ascii="Arial" w:hAnsi="Arial"/>
                <w:color w:val="000000"/>
                <w:szCs w:val="20"/>
              </w:rPr>
            </w:pPr>
            <w:r w:rsidRPr="00ED03CB">
              <w:rPr>
                <w:rFonts w:ascii="Arial" w:hAnsi="Arial"/>
                <w:b/>
                <w:color w:val="000000"/>
                <w:sz w:val="20"/>
                <w:szCs w:val="20"/>
              </w:rPr>
              <w:t>Total income from all sources</w:t>
            </w:r>
            <w:r w:rsidRPr="00ED03CB">
              <w:rPr>
                <w:rFonts w:ascii="Arial" w:hAnsi="Arial"/>
                <w:color w:val="000000"/>
                <w:szCs w:val="20"/>
              </w:rPr>
              <w:t xml:space="preserve"> </w:t>
            </w:r>
          </w:p>
        </w:tc>
        <w:tc>
          <w:tcPr>
            <w:tcW w:w="6379" w:type="dxa"/>
          </w:tcPr>
          <w:p w:rsidR="0018788D" w:rsidRPr="00ED03CB" w:rsidRDefault="0018788D" w:rsidP="007F1A1C">
            <w:pPr>
              <w:keepNext/>
              <w:keepLines/>
              <w:spacing w:line="220" w:lineRule="atLeast"/>
              <w:ind w:left="6" w:right="113"/>
              <w:jc w:val="both"/>
              <w:rPr>
                <w:rFonts w:ascii="Arial" w:hAnsi="Arial"/>
                <w:color w:val="000000"/>
                <w:sz w:val="20"/>
                <w:szCs w:val="20"/>
              </w:rPr>
            </w:pPr>
            <w:r w:rsidRPr="00ED03CB">
              <w:rPr>
                <w:rFonts w:ascii="Arial" w:hAnsi="Arial"/>
                <w:color w:val="000000"/>
                <w:sz w:val="20"/>
                <w:szCs w:val="20"/>
              </w:rPr>
              <w:t>Income received by the recipients or partner, excluding income received by a dependent. It includes regular social security payments and any maintenance and other private income taken into account for income testing purposes. It does not include:</w:t>
            </w:r>
          </w:p>
          <w:p w:rsidR="0018788D" w:rsidRPr="00ED03CB" w:rsidRDefault="0018788D" w:rsidP="0018788D">
            <w:pPr>
              <w:keepNext/>
              <w:keepLines/>
              <w:numPr>
                <w:ilvl w:val="0"/>
                <w:numId w:val="10"/>
              </w:numPr>
              <w:spacing w:after="20" w:line="220" w:lineRule="atLeast"/>
              <w:ind w:right="113"/>
              <w:rPr>
                <w:rFonts w:ascii="Arial" w:hAnsi="Arial"/>
                <w:color w:val="000000"/>
                <w:sz w:val="20"/>
                <w:szCs w:val="20"/>
              </w:rPr>
            </w:pPr>
            <w:r w:rsidRPr="00ED03CB">
              <w:rPr>
                <w:rFonts w:ascii="Arial" w:hAnsi="Arial"/>
                <w:color w:val="000000"/>
                <w:sz w:val="20"/>
                <w:szCs w:val="20"/>
              </w:rPr>
              <w:t>one-time payments</w:t>
            </w:r>
          </w:p>
          <w:p w:rsidR="0018788D" w:rsidRPr="00ED03CB" w:rsidRDefault="0018788D" w:rsidP="0018788D">
            <w:pPr>
              <w:keepNext/>
              <w:keepLines/>
              <w:numPr>
                <w:ilvl w:val="0"/>
                <w:numId w:val="10"/>
              </w:numPr>
              <w:spacing w:after="20" w:line="220" w:lineRule="atLeast"/>
              <w:ind w:right="113"/>
              <w:rPr>
                <w:rFonts w:ascii="Arial" w:hAnsi="Arial"/>
                <w:color w:val="000000"/>
                <w:sz w:val="20"/>
                <w:szCs w:val="20"/>
              </w:rPr>
            </w:pPr>
            <w:r w:rsidRPr="00ED03CB">
              <w:rPr>
                <w:rFonts w:ascii="Arial" w:hAnsi="Arial"/>
                <w:color w:val="000000"/>
                <w:sz w:val="20"/>
                <w:szCs w:val="20"/>
              </w:rPr>
              <w:t>arrears payments</w:t>
            </w:r>
          </w:p>
          <w:p w:rsidR="0018788D" w:rsidRPr="00ED03CB" w:rsidRDefault="0018788D" w:rsidP="0018788D">
            <w:pPr>
              <w:keepNext/>
              <w:keepLines/>
              <w:numPr>
                <w:ilvl w:val="0"/>
                <w:numId w:val="10"/>
              </w:numPr>
              <w:spacing w:after="20" w:line="220" w:lineRule="atLeast"/>
              <w:ind w:right="113"/>
              <w:rPr>
                <w:rFonts w:ascii="Arial" w:hAnsi="Arial"/>
                <w:color w:val="000000"/>
                <w:sz w:val="20"/>
                <w:szCs w:val="20"/>
              </w:rPr>
            </w:pPr>
            <w:r w:rsidRPr="00ED03CB">
              <w:rPr>
                <w:rFonts w:ascii="Arial" w:hAnsi="Arial"/>
                <w:color w:val="000000"/>
                <w:sz w:val="20"/>
                <w:szCs w:val="20"/>
              </w:rPr>
              <w:t>advances</w:t>
            </w:r>
          </w:p>
          <w:p w:rsidR="0018788D" w:rsidRPr="00ED03CB" w:rsidRDefault="0018788D" w:rsidP="0018788D">
            <w:pPr>
              <w:keepNext/>
              <w:keepLines/>
              <w:numPr>
                <w:ilvl w:val="0"/>
                <w:numId w:val="10"/>
              </w:numPr>
              <w:spacing w:after="20" w:line="220" w:lineRule="atLeast"/>
              <w:ind w:right="113"/>
              <w:rPr>
                <w:rFonts w:ascii="Arial" w:hAnsi="Arial"/>
                <w:color w:val="000000"/>
                <w:sz w:val="20"/>
                <w:szCs w:val="20"/>
              </w:rPr>
            </w:pPr>
            <w:r w:rsidRPr="00ED03CB">
              <w:rPr>
                <w:rFonts w:ascii="Arial" w:hAnsi="Arial"/>
                <w:color w:val="000000"/>
                <w:sz w:val="20"/>
                <w:szCs w:val="20"/>
              </w:rPr>
              <w:t>Employment or Education Entry Payments</w:t>
            </w:r>
          </w:p>
          <w:p w:rsidR="0018788D" w:rsidRPr="00ED03CB" w:rsidRDefault="0018788D" w:rsidP="0018788D">
            <w:pPr>
              <w:keepNext/>
              <w:keepLines/>
              <w:numPr>
                <w:ilvl w:val="0"/>
                <w:numId w:val="10"/>
              </w:numPr>
              <w:spacing w:after="20" w:line="220" w:lineRule="atLeast"/>
              <w:ind w:right="113"/>
              <w:rPr>
                <w:rFonts w:ascii="Arial" w:hAnsi="Arial"/>
                <w:color w:val="000000"/>
                <w:sz w:val="20"/>
                <w:szCs w:val="20"/>
              </w:rPr>
            </w:pPr>
            <w:r w:rsidRPr="00ED03CB">
              <w:rPr>
                <w:rFonts w:ascii="Arial" w:hAnsi="Arial"/>
                <w:color w:val="000000"/>
                <w:sz w:val="20"/>
                <w:szCs w:val="20"/>
              </w:rPr>
              <w:t>Mobility Allowance</w:t>
            </w:r>
          </w:p>
          <w:p w:rsidR="0018788D" w:rsidRPr="00ED03CB" w:rsidRDefault="0018788D" w:rsidP="0018788D">
            <w:pPr>
              <w:keepNext/>
              <w:keepLines/>
              <w:numPr>
                <w:ilvl w:val="0"/>
                <w:numId w:val="10"/>
              </w:numPr>
              <w:spacing w:after="20" w:line="220" w:lineRule="atLeast"/>
              <w:ind w:right="113"/>
              <w:rPr>
                <w:rFonts w:ascii="Arial" w:hAnsi="Arial"/>
                <w:color w:val="000000"/>
                <w:sz w:val="20"/>
                <w:szCs w:val="20"/>
              </w:rPr>
            </w:pPr>
            <w:r w:rsidRPr="00ED03CB">
              <w:rPr>
                <w:rFonts w:ascii="Arial" w:hAnsi="Arial"/>
                <w:color w:val="000000"/>
                <w:sz w:val="20"/>
                <w:szCs w:val="20"/>
              </w:rPr>
              <w:t>Baby Bonus</w:t>
            </w:r>
          </w:p>
          <w:p w:rsidR="0018788D" w:rsidRPr="00ED03CB" w:rsidRDefault="0018788D" w:rsidP="0018788D">
            <w:pPr>
              <w:keepNext/>
              <w:keepLines/>
              <w:numPr>
                <w:ilvl w:val="0"/>
                <w:numId w:val="10"/>
              </w:numPr>
              <w:spacing w:after="20" w:line="220" w:lineRule="atLeast"/>
              <w:ind w:right="113"/>
              <w:rPr>
                <w:rFonts w:ascii="Arial" w:hAnsi="Arial"/>
                <w:color w:val="000000"/>
                <w:sz w:val="20"/>
                <w:szCs w:val="20"/>
              </w:rPr>
            </w:pPr>
            <w:r w:rsidRPr="00ED03CB">
              <w:rPr>
                <w:rFonts w:ascii="Arial" w:hAnsi="Arial"/>
                <w:color w:val="000000"/>
                <w:sz w:val="20"/>
                <w:szCs w:val="20"/>
              </w:rPr>
              <w:t>Child Care Tax Rebate.</w:t>
            </w:r>
          </w:p>
          <w:p w:rsidR="0018788D" w:rsidRPr="00ED03CB" w:rsidRDefault="0018788D" w:rsidP="007F1A1C">
            <w:pPr>
              <w:keepNext/>
              <w:keepLines/>
              <w:spacing w:line="220" w:lineRule="atLeast"/>
              <w:ind w:left="6" w:right="113"/>
              <w:jc w:val="both"/>
              <w:rPr>
                <w:rFonts w:ascii="Arial" w:hAnsi="Arial"/>
                <w:color w:val="000000"/>
                <w:sz w:val="20"/>
                <w:szCs w:val="20"/>
              </w:rPr>
            </w:pPr>
            <w:r w:rsidRPr="00ED03CB">
              <w:rPr>
                <w:rFonts w:ascii="Arial" w:hAnsi="Arial"/>
                <w:color w:val="000000"/>
                <w:sz w:val="20"/>
                <w:szCs w:val="20"/>
              </w:rPr>
              <w:t>In most cases, private income reflects the person’s current circumstances. Taxable income for a past financial year or an estimate of taxable income for the current financial year is used where the income unit receives more than the minimum rate of the Family Tax Benefit part A but no income support payment.</w:t>
            </w:r>
          </w:p>
        </w:tc>
      </w:tr>
    </w:tbl>
    <w:p w:rsidR="00925527" w:rsidRPr="00ED03CB" w:rsidRDefault="00925527" w:rsidP="00925527">
      <w:pPr>
        <w:keepNext/>
        <w:spacing w:before="560" w:line="320" w:lineRule="exact"/>
        <w:outlineLvl w:val="2"/>
        <w:rPr>
          <w:rFonts w:ascii="Arial" w:hAnsi="Arial"/>
          <w:b/>
        </w:rPr>
      </w:pPr>
      <w:r w:rsidRPr="00ED03CB">
        <w:br w:type="page"/>
      </w:r>
    </w:p>
    <w:p w:rsidR="00BD01F9" w:rsidRPr="00ED03CB" w:rsidRDefault="00BD01F9" w:rsidP="00BD01F9">
      <w:pPr>
        <w:pStyle w:val="Heading2"/>
      </w:pPr>
      <w:bookmarkStart w:id="85" w:name="_Toc348968997"/>
      <w:bookmarkStart w:id="86" w:name="_Toc381085199"/>
      <w:bookmarkStart w:id="87" w:name="_Toc384654201"/>
      <w:r w:rsidRPr="00ED03CB">
        <w:lastRenderedPageBreak/>
        <w:t>Appendix – Private housing market contextual information</w:t>
      </w:r>
      <w:bookmarkEnd w:id="80"/>
      <w:bookmarkEnd w:id="81"/>
      <w:bookmarkEnd w:id="85"/>
      <w:bookmarkEnd w:id="86"/>
      <w:bookmarkEnd w:id="87"/>
    </w:p>
    <w:p w:rsidR="00BD01F9" w:rsidRPr="00ED03CB" w:rsidRDefault="00BD01F9" w:rsidP="00BD01F9">
      <w:pPr>
        <w:pStyle w:val="Heading3"/>
      </w:pPr>
      <w:bookmarkStart w:id="88" w:name="_Toc320630765"/>
      <w:bookmarkStart w:id="89" w:name="_Toc320774668"/>
      <w:bookmarkStart w:id="90" w:name="_Toc348968998"/>
      <w:bookmarkStart w:id="91" w:name="_Toc381085200"/>
      <w:bookmarkStart w:id="92" w:name="_Toc384654202"/>
      <w:r w:rsidRPr="00ED03CB">
        <w:t>Housing market demand, supply and affordability</w:t>
      </w:r>
      <w:bookmarkEnd w:id="88"/>
      <w:bookmarkEnd w:id="89"/>
      <w:bookmarkEnd w:id="90"/>
      <w:bookmarkEnd w:id="91"/>
      <w:bookmarkEnd w:id="92"/>
    </w:p>
    <w:p w:rsidR="00071EFE" w:rsidRPr="00ED03CB" w:rsidRDefault="00071EFE" w:rsidP="00071EFE">
      <w:pPr>
        <w:pStyle w:val="BodyText"/>
      </w:pPr>
      <w:r w:rsidRPr="00ED03CB">
        <w:t>The private housing market encompasses rented accommodation, home ownership and housing investment. A range of factors influence demand and supply in the private housing market:</w:t>
      </w:r>
    </w:p>
    <w:p w:rsidR="00071EFE" w:rsidRPr="00ED03CB" w:rsidRDefault="00071EFE" w:rsidP="00071EFE">
      <w:pPr>
        <w:pStyle w:val="ListBullet"/>
        <w:numPr>
          <w:ilvl w:val="0"/>
          <w:numId w:val="4"/>
        </w:numPr>
      </w:pPr>
      <w:r w:rsidRPr="00ED03CB">
        <w:t>Factors affecting the demand for housing include population growth, household formation, household income and employment, investor demand, household preferences for size, quality and location of housing, the price and availability of housing, government taxes, concessions and transfers, and the cost and availability of finance (NHSC 2010).</w:t>
      </w:r>
    </w:p>
    <w:p w:rsidR="00071EFE" w:rsidRPr="00ED03CB" w:rsidRDefault="00071EFE" w:rsidP="00071EFE">
      <w:pPr>
        <w:pStyle w:val="ListBullet"/>
        <w:numPr>
          <w:ilvl w:val="0"/>
          <w:numId w:val="4"/>
        </w:numPr>
      </w:pPr>
      <w:r w:rsidRPr="00ED03CB">
        <w:t>Factors affecting the supply of housing include land tenure arrangements, land release and development processes, construction and infrastructure costs, government taxes, concessions and transfers, and the availability and price of land (NHSC 2010). The availability of credit to finance the development of new housing can also affect the supply of housing (RBA 2009).</w:t>
      </w:r>
    </w:p>
    <w:p w:rsidR="00071EFE" w:rsidRPr="00ED03CB" w:rsidRDefault="00071EFE" w:rsidP="00071EFE">
      <w:pPr>
        <w:pStyle w:val="BodyText"/>
        <w:rPr>
          <w:color w:val="000000" w:themeColor="text1"/>
        </w:rPr>
      </w:pPr>
      <w:r w:rsidRPr="00ED03CB">
        <w:rPr>
          <w:color w:val="000000" w:themeColor="text1"/>
        </w:rPr>
        <w:t xml:space="preserve">An efficient housing market refers to achieving a balance between housing supply and demand (CRC 2010). </w:t>
      </w:r>
    </w:p>
    <w:p w:rsidR="00071EFE" w:rsidRPr="00ED03CB" w:rsidRDefault="00071EFE" w:rsidP="00071EFE">
      <w:pPr>
        <w:pStyle w:val="BodyText"/>
        <w:rPr>
          <w:rStyle w:val="DraftingNote"/>
          <w:b w:val="0"/>
          <w:color w:val="auto"/>
          <w:sz w:val="26"/>
          <w:u w:val="none"/>
        </w:rPr>
      </w:pPr>
      <w:r w:rsidRPr="00ED03CB">
        <w:rPr>
          <w:rStyle w:val="DraftingNote"/>
          <w:b w:val="0"/>
          <w:color w:val="auto"/>
          <w:sz w:val="26"/>
          <w:u w:val="none"/>
        </w:rPr>
        <w:t>Nationally at June 2011, there was an estimated cumulative gap between underlying demand for housing and housing supply, as a proportion of growth in underlying demand, of 2.6 per cent. An estimated 228 000 dwellings were required in Australia to meet growth in demand (NHSC 2012: tables 4.1 and 4.4).</w:t>
      </w:r>
    </w:p>
    <w:p w:rsidR="0071496E" w:rsidRPr="00ED03CB" w:rsidRDefault="0071496E" w:rsidP="0071496E">
      <w:pPr>
        <w:keepNext/>
        <w:spacing w:before="480" w:line="320" w:lineRule="exact"/>
        <w:outlineLvl w:val="3"/>
        <w:rPr>
          <w:rFonts w:ascii="Arial" w:hAnsi="Arial"/>
          <w:i/>
          <w:sz w:val="24"/>
          <w:szCs w:val="20"/>
        </w:rPr>
      </w:pPr>
      <w:bookmarkStart w:id="93" w:name="_Toc348968999"/>
      <w:bookmarkStart w:id="94" w:name="_Toc381085201"/>
      <w:bookmarkStart w:id="95" w:name="_Toc384654203"/>
      <w:r w:rsidRPr="00ED03CB">
        <w:rPr>
          <w:rFonts w:ascii="Arial" w:hAnsi="Arial"/>
          <w:i/>
          <w:sz w:val="24"/>
          <w:szCs w:val="20"/>
        </w:rPr>
        <w:t>Housing affordability</w:t>
      </w:r>
      <w:bookmarkEnd w:id="93"/>
      <w:bookmarkEnd w:id="94"/>
      <w:bookmarkEnd w:id="95"/>
    </w:p>
    <w:p w:rsidR="00071EFE" w:rsidRPr="00ED03CB" w:rsidRDefault="00071EFE" w:rsidP="00071EFE">
      <w:pPr>
        <w:pStyle w:val="BodyText"/>
      </w:pPr>
      <w:r w:rsidRPr="00ED03CB">
        <w:t>A shortage of affordable housing is likely to affect demand for housing and homelessness services. Governments provide support to ensure people can access affordable rental housing, either in the private market or in social housing, and many governments provide support to those purchasing houses, particularly first home buyers (box G.5).</w:t>
      </w:r>
    </w:p>
    <w:p w:rsidR="00BD01F9" w:rsidRPr="00ED03CB" w:rsidRDefault="00BD01F9" w:rsidP="00BD01F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01F9" w:rsidRPr="00ED03CB" w:rsidTr="008343A4">
        <w:tc>
          <w:tcPr>
            <w:tcW w:w="8771" w:type="dxa"/>
            <w:tcBorders>
              <w:top w:val="single" w:sz="6" w:space="0" w:color="auto"/>
              <w:bottom w:val="nil"/>
            </w:tcBorders>
          </w:tcPr>
          <w:p w:rsidR="00BD01F9" w:rsidRPr="00ED03CB" w:rsidRDefault="00BD01F9" w:rsidP="007752E4">
            <w:pPr>
              <w:pStyle w:val="BoxTitle"/>
            </w:pPr>
            <w:r w:rsidRPr="00ED03CB">
              <w:rPr>
                <w:b w:val="0"/>
              </w:rPr>
              <w:t xml:space="preserve">Box </w:t>
            </w:r>
            <w:r w:rsidR="007523F0" w:rsidRPr="00ED03CB">
              <w:rPr>
                <w:b w:val="0"/>
              </w:rPr>
              <w:t>G.5</w:t>
            </w:r>
            <w:r w:rsidRPr="00ED03CB">
              <w:tab/>
              <w:t>Government assistance for affordable housing</w:t>
            </w:r>
          </w:p>
        </w:tc>
      </w:tr>
      <w:tr w:rsidR="00071EFE" w:rsidRPr="00ED03CB" w:rsidTr="008343A4">
        <w:trPr>
          <w:cantSplit/>
        </w:trPr>
        <w:tc>
          <w:tcPr>
            <w:tcW w:w="8771" w:type="dxa"/>
            <w:tcBorders>
              <w:top w:val="nil"/>
              <w:left w:val="single" w:sz="6" w:space="0" w:color="auto"/>
              <w:bottom w:val="nil"/>
              <w:right w:val="single" w:sz="6" w:space="0" w:color="auto"/>
            </w:tcBorders>
          </w:tcPr>
          <w:p w:rsidR="00071EFE" w:rsidRPr="00ED03CB" w:rsidRDefault="00071EFE" w:rsidP="007F1A1C">
            <w:pPr>
              <w:pStyle w:val="Box"/>
            </w:pPr>
            <w:r w:rsidRPr="00ED03CB">
              <w:t>A range of government initiatives and programs are designed to help households to pay for housing, and to increase the supply of affordable housing. These initiatives include:</w:t>
            </w:r>
          </w:p>
          <w:p w:rsidR="00071EFE" w:rsidRPr="00ED03CB" w:rsidRDefault="00071EFE" w:rsidP="00071EFE">
            <w:pPr>
              <w:pStyle w:val="BoxListBullet"/>
              <w:numPr>
                <w:ilvl w:val="0"/>
                <w:numId w:val="1"/>
              </w:numPr>
            </w:pPr>
            <w:r w:rsidRPr="00ED03CB">
              <w:t>direct assistance to first home buyers through schemes such as the First Home Owners Grant and the First Home Owners Boost (FHOB). Until 2012-13, the FHOB was funded by the Australian government and administered by the states and territories. Funding for FHOB ceased on 31 December 2009</w:t>
            </w:r>
          </w:p>
          <w:p w:rsidR="00071EFE" w:rsidRPr="00ED03CB" w:rsidRDefault="00071EFE" w:rsidP="00071EFE">
            <w:pPr>
              <w:pStyle w:val="BoxListBullet"/>
              <w:numPr>
                <w:ilvl w:val="0"/>
                <w:numId w:val="1"/>
              </w:numPr>
            </w:pPr>
            <w:r w:rsidRPr="00ED03CB">
              <w:t>funding for Indigenous home ownership programs (the Home Ownership Program [HOP] funded and administered by Indigenous Business Australia [IBA] and the Home Ownership on Indigenous Land Program [HOIL] jointly funded by FaHCSIA and IBA). On 1 July 2012, IBA’s HOP, and HOIL Program were integrated into a single Indigenous Home Ownership program</w:t>
            </w:r>
          </w:p>
          <w:p w:rsidR="00071EFE" w:rsidRPr="00ED03CB" w:rsidRDefault="00071EFE" w:rsidP="00071EFE">
            <w:pPr>
              <w:pStyle w:val="BoxListBullet"/>
              <w:numPr>
                <w:ilvl w:val="0"/>
                <w:numId w:val="1"/>
              </w:numPr>
            </w:pPr>
            <w:r w:rsidRPr="00ED03CB">
              <w:t>stamp duty concessions or exemptions for first home buyers</w:t>
            </w:r>
          </w:p>
          <w:p w:rsidR="00071EFE" w:rsidRPr="00ED03CB" w:rsidRDefault="00071EFE" w:rsidP="00071EFE">
            <w:pPr>
              <w:pStyle w:val="BoxListBullet"/>
              <w:numPr>
                <w:ilvl w:val="0"/>
                <w:numId w:val="1"/>
              </w:numPr>
            </w:pPr>
            <w:r w:rsidRPr="00ED03CB">
              <w:t>incentives to save for first home ownership through First Home Saver Accounts</w:t>
            </w:r>
          </w:p>
          <w:p w:rsidR="00071EFE" w:rsidRPr="00ED03CB" w:rsidRDefault="00071EFE" w:rsidP="00071EFE">
            <w:pPr>
              <w:pStyle w:val="BoxListBullet"/>
              <w:numPr>
                <w:ilvl w:val="0"/>
                <w:numId w:val="1"/>
              </w:numPr>
            </w:pPr>
            <w:r w:rsidRPr="00ED03CB">
              <w:t>State and Territory Government funding to assist low income households with home purchases or mortgage repayments</w:t>
            </w:r>
          </w:p>
          <w:p w:rsidR="00071EFE" w:rsidRPr="00ED03CB" w:rsidRDefault="00071EFE" w:rsidP="00071EFE">
            <w:pPr>
              <w:pStyle w:val="BoxListBullet"/>
              <w:numPr>
                <w:ilvl w:val="0"/>
                <w:numId w:val="1"/>
              </w:numPr>
            </w:pPr>
            <w:r w:rsidRPr="00ED03CB">
              <w:t>Commonwealth Rent Assistance paid on an ongoing basis to income support and family tax benefit recipients in the private rental market and community housing</w:t>
            </w:r>
          </w:p>
          <w:p w:rsidR="00071EFE" w:rsidRPr="00ED03CB" w:rsidRDefault="00071EFE" w:rsidP="00071EFE">
            <w:pPr>
              <w:pStyle w:val="BoxListBullet"/>
              <w:numPr>
                <w:ilvl w:val="0"/>
                <w:numId w:val="1"/>
              </w:numPr>
            </w:pPr>
            <w:r w:rsidRPr="00ED03CB">
              <w:t>funding for provision and management of social (public and community) housing and related reforms through the National Affordable Housing Specific Purpose Payment</w:t>
            </w:r>
          </w:p>
          <w:p w:rsidR="00071EFE" w:rsidRPr="00ED03CB" w:rsidRDefault="00071EFE" w:rsidP="00071EFE">
            <w:pPr>
              <w:pStyle w:val="BoxListBullet"/>
              <w:numPr>
                <w:ilvl w:val="0"/>
                <w:numId w:val="1"/>
              </w:numPr>
            </w:pPr>
            <w:r w:rsidRPr="00ED03CB">
              <w:t>incentives for institutional investors and community housing providers to build new affordable rental properties</w:t>
            </w:r>
          </w:p>
          <w:p w:rsidR="00071EFE" w:rsidRPr="00ED03CB" w:rsidRDefault="00071EFE" w:rsidP="00071EFE">
            <w:pPr>
              <w:pStyle w:val="BoxListBullet"/>
              <w:numPr>
                <w:ilvl w:val="0"/>
                <w:numId w:val="1"/>
              </w:numPr>
            </w:pPr>
            <w:r w:rsidRPr="00ED03CB">
              <w:t>Commonwealth, State and Territory land and planning measures to increase the supply of affordable housing</w:t>
            </w:r>
          </w:p>
          <w:p w:rsidR="00071EFE" w:rsidRPr="00ED03CB" w:rsidRDefault="00071EFE" w:rsidP="00071EFE">
            <w:pPr>
              <w:pStyle w:val="BoxListBullet"/>
              <w:numPr>
                <w:ilvl w:val="0"/>
                <w:numId w:val="1"/>
              </w:numPr>
            </w:pPr>
            <w:r w:rsidRPr="00ED03CB">
              <w:t>Housing Affordability Fund grants to improve planning and infrastructure provision.</w:t>
            </w:r>
          </w:p>
        </w:tc>
      </w:tr>
      <w:tr w:rsidR="00071EFE" w:rsidRPr="00ED03CB" w:rsidTr="008343A4">
        <w:trPr>
          <w:cantSplit/>
        </w:trPr>
        <w:tc>
          <w:tcPr>
            <w:tcW w:w="8771" w:type="dxa"/>
            <w:tcBorders>
              <w:top w:val="nil"/>
              <w:left w:val="single" w:sz="6" w:space="0" w:color="auto"/>
              <w:bottom w:val="nil"/>
              <w:right w:val="single" w:sz="6" w:space="0" w:color="auto"/>
            </w:tcBorders>
          </w:tcPr>
          <w:p w:rsidR="00071EFE" w:rsidRPr="00ED03CB" w:rsidRDefault="00071EFE" w:rsidP="008343A4">
            <w:pPr>
              <w:pStyle w:val="BoxSource"/>
            </w:pPr>
            <w:r w:rsidRPr="00ED03CB">
              <w:rPr>
                <w:i/>
              </w:rPr>
              <w:t>Source</w:t>
            </w:r>
            <w:r w:rsidRPr="00ED03CB">
              <w:t>: Australian, State and Territory Governments (unpublished).</w:t>
            </w:r>
          </w:p>
        </w:tc>
      </w:tr>
      <w:tr w:rsidR="00071EFE" w:rsidRPr="00ED03CB" w:rsidTr="008343A4">
        <w:trPr>
          <w:cantSplit/>
        </w:trPr>
        <w:tc>
          <w:tcPr>
            <w:tcW w:w="8771" w:type="dxa"/>
            <w:tcBorders>
              <w:top w:val="nil"/>
              <w:left w:val="single" w:sz="6" w:space="0" w:color="auto"/>
              <w:bottom w:val="single" w:sz="6" w:space="0" w:color="auto"/>
              <w:right w:val="single" w:sz="6" w:space="0" w:color="auto"/>
            </w:tcBorders>
          </w:tcPr>
          <w:p w:rsidR="00071EFE" w:rsidRPr="00ED03CB" w:rsidRDefault="00071EFE" w:rsidP="008343A4">
            <w:pPr>
              <w:pStyle w:val="Box"/>
              <w:spacing w:before="0" w:line="120" w:lineRule="exact"/>
            </w:pPr>
          </w:p>
        </w:tc>
      </w:tr>
      <w:tr w:rsidR="00071EFE" w:rsidRPr="00ED03CB" w:rsidTr="008343A4">
        <w:tc>
          <w:tcPr>
            <w:tcW w:w="8771" w:type="dxa"/>
            <w:tcBorders>
              <w:top w:val="nil"/>
              <w:left w:val="nil"/>
              <w:bottom w:val="nil"/>
              <w:right w:val="nil"/>
            </w:tcBorders>
          </w:tcPr>
          <w:p w:rsidR="00071EFE" w:rsidRPr="00ED03CB" w:rsidRDefault="00071EFE" w:rsidP="008343A4">
            <w:pPr>
              <w:pStyle w:val="Box"/>
              <w:keepNext w:val="0"/>
              <w:spacing w:before="60" w:after="60" w:line="80" w:lineRule="exact"/>
              <w:rPr>
                <w:b/>
                <w:color w:val="FF00FF"/>
                <w:sz w:val="14"/>
              </w:rPr>
            </w:pPr>
          </w:p>
        </w:tc>
      </w:tr>
    </w:tbl>
    <w:p w:rsidR="0074236A" w:rsidRPr="00ED03CB" w:rsidRDefault="0074236A" w:rsidP="0074236A">
      <w:pPr>
        <w:pStyle w:val="BodyText"/>
        <w:rPr>
          <w:rFonts w:ascii="Arial" w:hAnsi="Arial"/>
        </w:rPr>
      </w:pPr>
      <w:bookmarkStart w:id="96" w:name="_Toc290296335"/>
      <w:bookmarkStart w:id="97" w:name="_Toc320630767"/>
      <w:bookmarkStart w:id="98" w:name="_Toc320774670"/>
      <w:bookmarkStart w:id="99" w:name="_Toc348969000"/>
      <w:bookmarkStart w:id="100" w:name="_Toc381085202"/>
      <w:r w:rsidRPr="00ED03CB">
        <w:br w:type="page"/>
      </w:r>
    </w:p>
    <w:p w:rsidR="00BD01F9" w:rsidRPr="00ED03CB" w:rsidRDefault="00BD01F9" w:rsidP="00BD01F9">
      <w:pPr>
        <w:pStyle w:val="Heading2"/>
        <w:rPr>
          <w:sz w:val="26"/>
          <w:szCs w:val="26"/>
        </w:rPr>
      </w:pPr>
      <w:bookmarkStart w:id="101" w:name="_Toc384654204"/>
      <w:r w:rsidRPr="00ED03CB">
        <w:rPr>
          <w:sz w:val="26"/>
          <w:szCs w:val="26"/>
        </w:rPr>
        <w:lastRenderedPageBreak/>
        <w:t>References</w:t>
      </w:r>
      <w:bookmarkEnd w:id="96"/>
      <w:bookmarkEnd w:id="97"/>
      <w:bookmarkEnd w:id="98"/>
      <w:bookmarkEnd w:id="99"/>
      <w:bookmarkEnd w:id="100"/>
      <w:bookmarkEnd w:id="101"/>
    </w:p>
    <w:p w:rsidR="00685575" w:rsidRPr="00ED03CB" w:rsidRDefault="00685575" w:rsidP="00685575">
      <w:pPr>
        <w:pStyle w:val="Reference"/>
        <w:rPr>
          <w:color w:val="000000" w:themeColor="text1"/>
        </w:rPr>
      </w:pPr>
      <w:r w:rsidRPr="00ED03CB">
        <w:t xml:space="preserve">ABS (Australian Bureau of Statistics) </w:t>
      </w:r>
      <w:r w:rsidRPr="00ED03CB">
        <w:rPr>
          <w:color w:val="000000" w:themeColor="text1"/>
        </w:rPr>
        <w:t xml:space="preserve">2012a, </w:t>
      </w:r>
      <w:r w:rsidRPr="00ED03CB">
        <w:rPr>
          <w:i/>
          <w:color w:val="000000" w:themeColor="text1"/>
        </w:rPr>
        <w:t>Methodology for Estimating Homelessness from the Census of Population and Housing</w:t>
      </w:r>
      <w:r w:rsidRPr="00ED03CB">
        <w:rPr>
          <w:color w:val="000000" w:themeColor="text1"/>
        </w:rPr>
        <w:t>, Cat. no. 2049.0.55.001, Canberra.</w:t>
      </w:r>
    </w:p>
    <w:p w:rsidR="00685575" w:rsidRPr="00ED03CB" w:rsidRDefault="00685575" w:rsidP="00685575">
      <w:pPr>
        <w:pStyle w:val="Reference"/>
        <w:rPr>
          <w:color w:val="000000" w:themeColor="text1"/>
        </w:rPr>
      </w:pPr>
      <w:r w:rsidRPr="00ED03CB">
        <w:rPr>
          <w:color w:val="000000" w:themeColor="text1"/>
        </w:rPr>
        <w:t xml:space="preserve">—— 2012b, </w:t>
      </w:r>
      <w:r w:rsidRPr="00ED03CB">
        <w:rPr>
          <w:i/>
          <w:color w:val="000000" w:themeColor="text1"/>
        </w:rPr>
        <w:t>Information Paper: A Statistical Definition of Homelessness</w:t>
      </w:r>
      <w:r w:rsidRPr="00ED03CB">
        <w:rPr>
          <w:color w:val="000000" w:themeColor="text1"/>
        </w:rPr>
        <w:t>, Cat. no. 4922.0, Canberra.</w:t>
      </w:r>
    </w:p>
    <w:p w:rsidR="00685575" w:rsidRPr="00ED03CB" w:rsidRDefault="00685575" w:rsidP="00685575">
      <w:pPr>
        <w:pStyle w:val="Reference"/>
      </w:pPr>
      <w:r w:rsidRPr="00ED03CB">
        <w:t xml:space="preserve">AIHW (Australian Institute of Health and Welfare) 2010, </w:t>
      </w:r>
      <w:r w:rsidRPr="00ED03CB">
        <w:rPr>
          <w:i/>
        </w:rPr>
        <w:t>A profile of social housing in Australia</w:t>
      </w:r>
      <w:r w:rsidRPr="00ED03CB">
        <w:t>, Cat. no. HOU 232, Canberra.</w:t>
      </w:r>
    </w:p>
    <w:p w:rsidR="00D2633C" w:rsidRPr="00ED03CB" w:rsidRDefault="00D2633C" w:rsidP="00D2633C">
      <w:pPr>
        <w:pStyle w:val="Reference"/>
      </w:pPr>
      <w:r w:rsidRPr="00ED03CB">
        <w:t xml:space="preserve">CHP (Council to Homeless Person) 2005, </w:t>
      </w:r>
      <w:r w:rsidRPr="00ED03CB">
        <w:rPr>
          <w:i/>
        </w:rPr>
        <w:t>Contextualising young people: Implications for young people experiencing homelessness</w:t>
      </w:r>
      <w:r w:rsidRPr="00ED03CB">
        <w:t>, Strategic Policy Background Paper, Melbourne, www.chp.org.au/public_library/items/</w:t>
      </w:r>
      <w:r w:rsidRPr="00ED03CB">
        <w:br/>
        <w:t>2005–03/00</w:t>
      </w:r>
      <w:r w:rsidR="00DC3039" w:rsidRPr="00ED03CB">
        <w:t xml:space="preserve"> </w:t>
      </w:r>
      <w:r w:rsidRPr="00ED03CB">
        <w:t>052-upload-00</w:t>
      </w:r>
      <w:r w:rsidR="00DC3039" w:rsidRPr="00ED03CB">
        <w:t xml:space="preserve"> </w:t>
      </w:r>
      <w:r w:rsidRPr="00ED03CB">
        <w:t>001.doc (accessed 11 October 2011).</w:t>
      </w:r>
    </w:p>
    <w:p w:rsidR="00D2633C" w:rsidRPr="00ED03CB" w:rsidRDefault="00D2633C" w:rsidP="00D2633C">
      <w:pPr>
        <w:pStyle w:val="Reference"/>
      </w:pPr>
      <w:r w:rsidRPr="00ED03CB">
        <w:t xml:space="preserve">COAG (Council of Australian Governments), 2008, </w:t>
      </w:r>
      <w:r w:rsidRPr="00ED03CB">
        <w:rPr>
          <w:i/>
        </w:rPr>
        <w:t>National Affordable Housing Agreement</w:t>
      </w:r>
      <w:r w:rsidRPr="00ED03CB">
        <w:t>, Intergovernmental Agreement on Federal Financial Relations, Australian Government, Council of Australian Governments, Canberra.</w:t>
      </w:r>
    </w:p>
    <w:p w:rsidR="00D2633C" w:rsidRPr="00ED03CB" w:rsidRDefault="00D2633C" w:rsidP="00D2633C">
      <w:pPr>
        <w:pStyle w:val="Reference"/>
      </w:pPr>
      <w:r w:rsidRPr="00ED03CB">
        <w:t xml:space="preserve">Memmott, P. and Chambers, C. 2010, </w:t>
      </w:r>
      <w:r w:rsidRPr="00ED03CB">
        <w:rPr>
          <w:i/>
        </w:rPr>
        <w:t>Indigenous Homelessness in Australia: An Introduction. Council to Homeless Persons, Parity</w:t>
      </w:r>
      <w:r w:rsidRPr="00ED03CB">
        <w:t xml:space="preserve">, Melbourne, www.chp.org.au/parity/items/2010–12/00 417-upload-00 001.doc (accessed </w:t>
      </w:r>
      <w:r w:rsidRPr="00ED03CB">
        <w:br/>
        <w:t xml:space="preserve">11 October 2011). </w:t>
      </w:r>
    </w:p>
    <w:p w:rsidR="00D2633C" w:rsidRPr="00ED03CB" w:rsidRDefault="00D2633C" w:rsidP="00D2633C">
      <w:pPr>
        <w:pStyle w:val="Reference"/>
      </w:pPr>
      <w:r w:rsidRPr="00ED03CB">
        <w:t xml:space="preserve">NHSC (National Housing Supply Council), 2012, </w:t>
      </w:r>
      <w:r w:rsidRPr="00ED03CB">
        <w:rPr>
          <w:bCs/>
          <w:i/>
        </w:rPr>
        <w:t>Housing Supply and Affordability – Key Indicators,</w:t>
      </w:r>
      <w:r w:rsidRPr="00ED03CB">
        <w:t xml:space="preserve"> Commonwealth of Australia, Canberra.</w:t>
      </w:r>
    </w:p>
    <w:p w:rsidR="00D2633C" w:rsidRPr="00ED03CB" w:rsidRDefault="00D2633C" w:rsidP="00D2633C">
      <w:pPr>
        <w:pStyle w:val="Reference"/>
      </w:pPr>
      <w:r w:rsidRPr="00ED03CB">
        <w:t xml:space="preserve">—— 2010, </w:t>
      </w:r>
      <w:r w:rsidRPr="00ED03CB">
        <w:rPr>
          <w:i/>
        </w:rPr>
        <w:t>2</w:t>
      </w:r>
      <w:r w:rsidRPr="00ED03CB">
        <w:rPr>
          <w:i/>
          <w:vertAlign w:val="superscript"/>
        </w:rPr>
        <w:t>nd</w:t>
      </w:r>
      <w:r w:rsidRPr="00ED03CB">
        <w:rPr>
          <w:i/>
        </w:rPr>
        <w:t xml:space="preserve"> State of Supply Report</w:t>
      </w:r>
      <w:r w:rsidRPr="00ED03CB">
        <w:t>, Commonwealth of Australia, Canberra.</w:t>
      </w:r>
    </w:p>
    <w:p w:rsidR="00D2633C" w:rsidRDefault="00D2633C" w:rsidP="00D2633C">
      <w:pPr>
        <w:pStyle w:val="Reference"/>
      </w:pPr>
      <w:r w:rsidRPr="00ED03CB">
        <w:t xml:space="preserve">RBA (Reserve Bank of Australia), 2009, </w:t>
      </w:r>
      <w:r w:rsidRPr="00ED03CB">
        <w:rPr>
          <w:i/>
        </w:rPr>
        <w:t>Conditions and Prospects in the Housing Sector</w:t>
      </w:r>
      <w:r w:rsidRPr="00ED03CB">
        <w:t xml:space="preserve">, Anthony Richards, Address to the 4th Annual Housing Congress, 26 March 2009, Sydney, </w:t>
      </w:r>
      <w:r w:rsidR="00DC3039" w:rsidRPr="00ED03CB">
        <w:t xml:space="preserve">www.rba.gov.au/speeches/2009/sp-so-260 </w:t>
      </w:r>
      <w:r w:rsidRPr="00ED03CB">
        <w:t>309.html (accessed 11 October 2011).</w:t>
      </w:r>
    </w:p>
    <w:sectPr w:rsidR="00D2633C" w:rsidSect="001D0A18">
      <w:headerReference w:type="even" r:id="rId12"/>
      <w:headerReference w:type="default" r:id="rId13"/>
      <w:footerReference w:type="even" r:id="rId14"/>
      <w:footerReference w:type="default" r:id="rId15"/>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A1C" w:rsidRDefault="007F1A1C">
      <w:r>
        <w:separator/>
      </w:r>
    </w:p>
  </w:endnote>
  <w:endnote w:type="continuationSeparator" w:id="0">
    <w:p w:rsidR="007F1A1C" w:rsidRDefault="007F1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F1A1C">
      <w:trPr>
        <w:trHeight w:hRule="exact" w:val="740"/>
      </w:trPr>
      <w:tc>
        <w:tcPr>
          <w:tcW w:w="510" w:type="dxa"/>
          <w:tcBorders>
            <w:top w:val="single" w:sz="6" w:space="0" w:color="auto"/>
          </w:tcBorders>
        </w:tcPr>
        <w:p w:rsidR="007F1A1C" w:rsidRDefault="00071446" w:rsidP="00860C85">
          <w:pPr>
            <w:pStyle w:val="Footer"/>
            <w:tabs>
              <w:tab w:val="left" w:pos="0"/>
            </w:tabs>
            <w:ind w:right="0"/>
            <w:rPr>
              <w:rStyle w:val="PageNumber"/>
            </w:rPr>
          </w:pPr>
          <w:r>
            <w:fldChar w:fldCharType="begin"/>
          </w:r>
          <w:r>
            <w:instrText xml:space="preserve"> COMMENTS  \* MERGEFORMAT </w:instrText>
          </w:r>
          <w:r>
            <w:fldChar w:fldCharType="separate"/>
          </w:r>
          <w:proofErr w:type="spellStart"/>
          <w:r w:rsidR="007F1A1C" w:rsidRPr="00C20650">
            <w:rPr>
              <w:rStyle w:val="PageNumber"/>
            </w:rPr>
            <w:t>G.</w:t>
          </w:r>
          <w:r>
            <w:rPr>
              <w:rStyle w:val="PageNumber"/>
            </w:rPr>
            <w:fldChar w:fldCharType="end"/>
          </w:r>
          <w:proofErr w:type="spellEnd"/>
          <w:r w:rsidR="007F1A1C">
            <w:rPr>
              <w:rStyle w:val="PageNumber"/>
            </w:rPr>
            <w:fldChar w:fldCharType="begin"/>
          </w:r>
          <w:r w:rsidR="007F1A1C">
            <w:rPr>
              <w:rStyle w:val="PageNumber"/>
            </w:rPr>
            <w:instrText xml:space="preserve">PAGE  </w:instrText>
          </w:r>
          <w:r w:rsidR="007F1A1C">
            <w:rPr>
              <w:rStyle w:val="PageNumber"/>
            </w:rPr>
            <w:fldChar w:fldCharType="separate"/>
          </w:r>
          <w:r w:rsidR="006976CB">
            <w:rPr>
              <w:rStyle w:val="PageNumber"/>
              <w:noProof/>
            </w:rPr>
            <w:t>14</w:t>
          </w:r>
          <w:r w:rsidR="007F1A1C">
            <w:rPr>
              <w:rStyle w:val="PageNumber"/>
            </w:rPr>
            <w:fldChar w:fldCharType="end"/>
          </w:r>
        </w:p>
      </w:tc>
      <w:tc>
        <w:tcPr>
          <w:tcW w:w="1644" w:type="dxa"/>
          <w:tcBorders>
            <w:top w:val="single" w:sz="6" w:space="0" w:color="auto"/>
          </w:tcBorders>
        </w:tcPr>
        <w:p w:rsidR="007F1A1C" w:rsidRDefault="00071446" w:rsidP="0019293B">
          <w:pPr>
            <w:pStyle w:val="Footer"/>
          </w:pPr>
          <w:fldSimple w:instr=" SUBJECT  \* MERGEFORMAT ">
            <w:r w:rsidR="007F1A1C">
              <w:t>Report on Government Services 2014</w:t>
            </w:r>
          </w:fldSimple>
        </w:p>
      </w:tc>
      <w:tc>
        <w:tcPr>
          <w:tcW w:w="6634" w:type="dxa"/>
        </w:tcPr>
        <w:p w:rsidR="007F1A1C" w:rsidRDefault="007F1A1C" w:rsidP="0019293B">
          <w:pPr>
            <w:pStyle w:val="Footer"/>
          </w:pPr>
        </w:p>
      </w:tc>
    </w:tr>
  </w:tbl>
  <w:p w:rsidR="007F1A1C" w:rsidRDefault="007F1A1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F1A1C">
      <w:trPr>
        <w:trHeight w:hRule="exact" w:val="740"/>
      </w:trPr>
      <w:tc>
        <w:tcPr>
          <w:tcW w:w="6634" w:type="dxa"/>
        </w:tcPr>
        <w:p w:rsidR="007F1A1C" w:rsidRDefault="007F1A1C">
          <w:pPr>
            <w:pStyle w:val="Footer"/>
            <w:ind w:right="360" w:firstLine="360"/>
          </w:pPr>
        </w:p>
      </w:tc>
      <w:tc>
        <w:tcPr>
          <w:tcW w:w="1644" w:type="dxa"/>
          <w:tcBorders>
            <w:top w:val="single" w:sz="6" w:space="0" w:color="auto"/>
          </w:tcBorders>
        </w:tcPr>
        <w:p w:rsidR="007F1A1C" w:rsidRDefault="00071446">
          <w:pPr>
            <w:pStyle w:val="Footer"/>
          </w:pPr>
          <w:fldSimple w:instr=" TITLE  \* MERGEFORMAT ">
            <w:r w:rsidR="007F1A1C">
              <w:t>Indigenous Compendium 2014</w:t>
            </w:r>
          </w:fldSimple>
        </w:p>
      </w:tc>
      <w:tc>
        <w:tcPr>
          <w:tcW w:w="510" w:type="dxa"/>
          <w:tcBorders>
            <w:top w:val="single" w:sz="6" w:space="0" w:color="auto"/>
          </w:tcBorders>
        </w:tcPr>
        <w:p w:rsidR="007F1A1C" w:rsidRDefault="00071446">
          <w:pPr>
            <w:pStyle w:val="Footer"/>
            <w:jc w:val="right"/>
          </w:pPr>
          <w:r>
            <w:fldChar w:fldCharType="begin"/>
          </w:r>
          <w:r>
            <w:instrText xml:space="preserve"> COMMENTS  \* MERGEFORMAT </w:instrText>
          </w:r>
          <w:r>
            <w:fldChar w:fldCharType="separate"/>
          </w:r>
          <w:proofErr w:type="spellStart"/>
          <w:r w:rsidR="007F1A1C" w:rsidRPr="00C20650">
            <w:rPr>
              <w:rStyle w:val="PageNumber"/>
            </w:rPr>
            <w:t>G.</w:t>
          </w:r>
          <w:r>
            <w:rPr>
              <w:rStyle w:val="PageNumber"/>
            </w:rPr>
            <w:fldChar w:fldCharType="end"/>
          </w:r>
          <w:r w:rsidR="007F1A1C">
            <w:rPr>
              <w:rStyle w:val="PageNumber"/>
            </w:rPr>
            <w:fldChar w:fldCharType="begin"/>
          </w:r>
          <w:r w:rsidR="007F1A1C">
            <w:rPr>
              <w:rStyle w:val="PageNumber"/>
            </w:rPr>
            <w:instrText xml:space="preserve">PAGE  </w:instrText>
          </w:r>
          <w:r w:rsidR="007F1A1C">
            <w:rPr>
              <w:rStyle w:val="PageNumber"/>
            </w:rPr>
            <w:fldChar w:fldCharType="separate"/>
          </w:r>
          <w:r w:rsidR="006976CB">
            <w:rPr>
              <w:rStyle w:val="PageNumber"/>
              <w:noProof/>
            </w:rPr>
            <w:t>1</w:t>
          </w:r>
          <w:proofErr w:type="spellEnd"/>
          <w:r w:rsidR="007F1A1C">
            <w:rPr>
              <w:rStyle w:val="PageNumber"/>
            </w:rPr>
            <w:fldChar w:fldCharType="end"/>
          </w:r>
        </w:p>
      </w:tc>
    </w:tr>
  </w:tbl>
  <w:p w:rsidR="007F1A1C" w:rsidRDefault="007F1A1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A1C" w:rsidRDefault="007F1A1C">
      <w:r>
        <w:separator/>
      </w:r>
    </w:p>
  </w:footnote>
  <w:footnote w:type="continuationSeparator" w:id="0">
    <w:p w:rsidR="007F1A1C" w:rsidRDefault="007F1A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F1A1C">
      <w:tc>
        <w:tcPr>
          <w:tcW w:w="2155" w:type="dxa"/>
          <w:tcBorders>
            <w:top w:val="single" w:sz="24" w:space="0" w:color="auto"/>
          </w:tcBorders>
        </w:tcPr>
        <w:p w:rsidR="007F1A1C" w:rsidRDefault="007F1A1C" w:rsidP="0019293B">
          <w:pPr>
            <w:pStyle w:val="HeaderEven"/>
          </w:pPr>
        </w:p>
      </w:tc>
      <w:tc>
        <w:tcPr>
          <w:tcW w:w="6634" w:type="dxa"/>
          <w:tcBorders>
            <w:top w:val="single" w:sz="6" w:space="0" w:color="auto"/>
          </w:tcBorders>
        </w:tcPr>
        <w:p w:rsidR="007F1A1C" w:rsidRDefault="007F1A1C" w:rsidP="0019293B">
          <w:pPr>
            <w:pStyle w:val="HeaderEven"/>
          </w:pPr>
        </w:p>
      </w:tc>
    </w:tr>
  </w:tbl>
  <w:p w:rsidR="007F1A1C" w:rsidRDefault="007F1A1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F1A1C">
      <w:tc>
        <w:tcPr>
          <w:tcW w:w="6634" w:type="dxa"/>
          <w:tcBorders>
            <w:top w:val="single" w:sz="6" w:space="0" w:color="auto"/>
          </w:tcBorders>
        </w:tcPr>
        <w:p w:rsidR="007F1A1C" w:rsidRDefault="007F1A1C" w:rsidP="00E669E2">
          <w:pPr>
            <w:pStyle w:val="HeaderOdd"/>
          </w:pPr>
        </w:p>
      </w:tc>
      <w:tc>
        <w:tcPr>
          <w:tcW w:w="2155" w:type="dxa"/>
          <w:tcBorders>
            <w:top w:val="single" w:sz="24" w:space="0" w:color="auto"/>
          </w:tcBorders>
        </w:tcPr>
        <w:p w:rsidR="007F1A1C" w:rsidRDefault="007F1A1C" w:rsidP="00E669E2">
          <w:pPr>
            <w:pStyle w:val="HeaderOdd"/>
          </w:pPr>
        </w:p>
      </w:tc>
    </w:tr>
  </w:tbl>
  <w:p w:rsidR="007F1A1C" w:rsidRDefault="007F1A1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17"/>
  </w:num>
  <w:num w:numId="3">
    <w:abstractNumId w:val="1"/>
  </w:num>
  <w:num w:numId="4">
    <w:abstractNumId w:val="12"/>
  </w:num>
  <w:num w:numId="5">
    <w:abstractNumId w:val="2"/>
  </w:num>
  <w:num w:numId="6">
    <w:abstractNumId w:val="16"/>
  </w:num>
  <w:num w:numId="7">
    <w:abstractNumId w:val="14"/>
  </w:num>
  <w:num w:numId="8">
    <w:abstractNumId w:val="18"/>
  </w:num>
  <w:num w:numId="9">
    <w:abstractNumId w:val="6"/>
  </w:num>
  <w:num w:numId="10">
    <w:abstractNumId w:val="13"/>
  </w:num>
  <w:num w:numId="11">
    <w:abstractNumId w:val="5"/>
  </w:num>
  <w:num w:numId="12">
    <w:abstractNumId w:val="4"/>
  </w:num>
  <w:num w:numId="13">
    <w:abstractNumId w:val="7"/>
  </w:num>
  <w:num w:numId="14">
    <w:abstractNumId w:val="9"/>
  </w:num>
  <w:num w:numId="15">
    <w:abstractNumId w:val="11"/>
  </w:num>
  <w:num w:numId="16">
    <w:abstractNumId w:val="3"/>
  </w:num>
  <w:num w:numId="17">
    <w:abstractNumId w:val="15"/>
  </w:num>
  <w:num w:numId="18">
    <w:abstractNumId w:val="12"/>
  </w:num>
  <w:num w:numId="19">
    <w:abstractNumId w:val="8"/>
  </w:num>
  <w:num w:numId="20">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12"/>
  </w:num>
  <w:num w:numId="22">
    <w:abstractNumId w:val="12"/>
  </w:num>
  <w:num w:numId="23">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Indigenous Compendium 2014"/>
    <w:docVar w:name="ShortReportTitle" w:val="Report on Government Services 2014"/>
  </w:docVars>
  <w:rsids>
    <w:rsidRoot w:val="00B86CB4"/>
    <w:rsid w:val="000227D5"/>
    <w:rsid w:val="000245AA"/>
    <w:rsid w:val="0003664B"/>
    <w:rsid w:val="0004111F"/>
    <w:rsid w:val="000565B3"/>
    <w:rsid w:val="0006199B"/>
    <w:rsid w:val="00071446"/>
    <w:rsid w:val="0007150B"/>
    <w:rsid w:val="00071EFE"/>
    <w:rsid w:val="00085DB7"/>
    <w:rsid w:val="000938F5"/>
    <w:rsid w:val="00096E55"/>
    <w:rsid w:val="000A3807"/>
    <w:rsid w:val="000B601B"/>
    <w:rsid w:val="000C207E"/>
    <w:rsid w:val="000D6D4B"/>
    <w:rsid w:val="000F0035"/>
    <w:rsid w:val="000F420B"/>
    <w:rsid w:val="00110116"/>
    <w:rsid w:val="00120072"/>
    <w:rsid w:val="00126EB8"/>
    <w:rsid w:val="001274D4"/>
    <w:rsid w:val="001363AA"/>
    <w:rsid w:val="001435AB"/>
    <w:rsid w:val="001529C8"/>
    <w:rsid w:val="00167CA3"/>
    <w:rsid w:val="00183E82"/>
    <w:rsid w:val="0018788D"/>
    <w:rsid w:val="001878BB"/>
    <w:rsid w:val="00187EEA"/>
    <w:rsid w:val="00191AE0"/>
    <w:rsid w:val="0019293B"/>
    <w:rsid w:val="001A0231"/>
    <w:rsid w:val="001A5435"/>
    <w:rsid w:val="001A6053"/>
    <w:rsid w:val="001B7720"/>
    <w:rsid w:val="001C0865"/>
    <w:rsid w:val="001C3ABA"/>
    <w:rsid w:val="001D0972"/>
    <w:rsid w:val="001D0A18"/>
    <w:rsid w:val="001D2FC7"/>
    <w:rsid w:val="001E7BE8"/>
    <w:rsid w:val="001F0248"/>
    <w:rsid w:val="001F2586"/>
    <w:rsid w:val="001F3EB3"/>
    <w:rsid w:val="001F4F86"/>
    <w:rsid w:val="001F5098"/>
    <w:rsid w:val="00201E83"/>
    <w:rsid w:val="00202C2C"/>
    <w:rsid w:val="0020524B"/>
    <w:rsid w:val="002059A0"/>
    <w:rsid w:val="002135AB"/>
    <w:rsid w:val="002144BE"/>
    <w:rsid w:val="002148D0"/>
    <w:rsid w:val="00240CB3"/>
    <w:rsid w:val="00242279"/>
    <w:rsid w:val="00245C82"/>
    <w:rsid w:val="0024734F"/>
    <w:rsid w:val="002504EE"/>
    <w:rsid w:val="002554B9"/>
    <w:rsid w:val="0028038E"/>
    <w:rsid w:val="0029178B"/>
    <w:rsid w:val="00291B40"/>
    <w:rsid w:val="002A390F"/>
    <w:rsid w:val="002B4008"/>
    <w:rsid w:val="002D0E8E"/>
    <w:rsid w:val="002E779A"/>
    <w:rsid w:val="00301189"/>
    <w:rsid w:val="00312C6D"/>
    <w:rsid w:val="00323E09"/>
    <w:rsid w:val="00333932"/>
    <w:rsid w:val="00334CB6"/>
    <w:rsid w:val="003518AA"/>
    <w:rsid w:val="003519E4"/>
    <w:rsid w:val="00352165"/>
    <w:rsid w:val="00353182"/>
    <w:rsid w:val="003565D9"/>
    <w:rsid w:val="003602E1"/>
    <w:rsid w:val="0037026F"/>
    <w:rsid w:val="00371240"/>
    <w:rsid w:val="00374731"/>
    <w:rsid w:val="00374877"/>
    <w:rsid w:val="00376E59"/>
    <w:rsid w:val="0038168D"/>
    <w:rsid w:val="003919F9"/>
    <w:rsid w:val="00393A0D"/>
    <w:rsid w:val="003C38B5"/>
    <w:rsid w:val="003C5D99"/>
    <w:rsid w:val="003D3B04"/>
    <w:rsid w:val="003E2F59"/>
    <w:rsid w:val="003F0789"/>
    <w:rsid w:val="00401882"/>
    <w:rsid w:val="004100C8"/>
    <w:rsid w:val="00411DBD"/>
    <w:rsid w:val="00412ACE"/>
    <w:rsid w:val="00431249"/>
    <w:rsid w:val="00432847"/>
    <w:rsid w:val="00434C19"/>
    <w:rsid w:val="004417C1"/>
    <w:rsid w:val="00450810"/>
    <w:rsid w:val="00464B60"/>
    <w:rsid w:val="00477144"/>
    <w:rsid w:val="00482ED7"/>
    <w:rsid w:val="00485B11"/>
    <w:rsid w:val="00486AC8"/>
    <w:rsid w:val="00491380"/>
    <w:rsid w:val="00492BF6"/>
    <w:rsid w:val="0049459F"/>
    <w:rsid w:val="004956FF"/>
    <w:rsid w:val="004A38DD"/>
    <w:rsid w:val="004A73CC"/>
    <w:rsid w:val="004B43AE"/>
    <w:rsid w:val="004C039C"/>
    <w:rsid w:val="004C30ED"/>
    <w:rsid w:val="004C3A5D"/>
    <w:rsid w:val="004D5675"/>
    <w:rsid w:val="004E1C9C"/>
    <w:rsid w:val="004E3F0E"/>
    <w:rsid w:val="00502461"/>
    <w:rsid w:val="00514DC0"/>
    <w:rsid w:val="00523639"/>
    <w:rsid w:val="00531FE5"/>
    <w:rsid w:val="00532335"/>
    <w:rsid w:val="00573705"/>
    <w:rsid w:val="00583C39"/>
    <w:rsid w:val="00587F28"/>
    <w:rsid w:val="005909CF"/>
    <w:rsid w:val="00591E71"/>
    <w:rsid w:val="005A0D41"/>
    <w:rsid w:val="005A64BD"/>
    <w:rsid w:val="005D09F1"/>
    <w:rsid w:val="005D44E1"/>
    <w:rsid w:val="005E00A4"/>
    <w:rsid w:val="005E2138"/>
    <w:rsid w:val="005E5169"/>
    <w:rsid w:val="005F3481"/>
    <w:rsid w:val="006014FE"/>
    <w:rsid w:val="0060179F"/>
    <w:rsid w:val="00607BF1"/>
    <w:rsid w:val="00630D4D"/>
    <w:rsid w:val="00632A74"/>
    <w:rsid w:val="00636F7C"/>
    <w:rsid w:val="006474AB"/>
    <w:rsid w:val="00655676"/>
    <w:rsid w:val="00661EBF"/>
    <w:rsid w:val="00675BC8"/>
    <w:rsid w:val="00685575"/>
    <w:rsid w:val="006976CB"/>
    <w:rsid w:val="006A4655"/>
    <w:rsid w:val="006A4704"/>
    <w:rsid w:val="006B2B3C"/>
    <w:rsid w:val="006C1D81"/>
    <w:rsid w:val="006C6EED"/>
    <w:rsid w:val="006C7038"/>
    <w:rsid w:val="006E5B8A"/>
    <w:rsid w:val="006E73EF"/>
    <w:rsid w:val="006F411B"/>
    <w:rsid w:val="0071496E"/>
    <w:rsid w:val="00714D4D"/>
    <w:rsid w:val="00715BD1"/>
    <w:rsid w:val="00722BE7"/>
    <w:rsid w:val="00723B87"/>
    <w:rsid w:val="00742299"/>
    <w:rsid w:val="0074236A"/>
    <w:rsid w:val="007442CE"/>
    <w:rsid w:val="007523F0"/>
    <w:rsid w:val="007604BB"/>
    <w:rsid w:val="00761217"/>
    <w:rsid w:val="007656E0"/>
    <w:rsid w:val="00765910"/>
    <w:rsid w:val="007679F2"/>
    <w:rsid w:val="007752E4"/>
    <w:rsid w:val="00785232"/>
    <w:rsid w:val="007969D3"/>
    <w:rsid w:val="007A21EB"/>
    <w:rsid w:val="007A7E29"/>
    <w:rsid w:val="007B1A93"/>
    <w:rsid w:val="007C1CDB"/>
    <w:rsid w:val="007C36C9"/>
    <w:rsid w:val="007D1A21"/>
    <w:rsid w:val="007D6401"/>
    <w:rsid w:val="007E01E4"/>
    <w:rsid w:val="007F1A1C"/>
    <w:rsid w:val="007F7107"/>
    <w:rsid w:val="00800D4C"/>
    <w:rsid w:val="0081030F"/>
    <w:rsid w:val="008104EC"/>
    <w:rsid w:val="00815940"/>
    <w:rsid w:val="0082087D"/>
    <w:rsid w:val="00827929"/>
    <w:rsid w:val="008343A4"/>
    <w:rsid w:val="00835771"/>
    <w:rsid w:val="00842933"/>
    <w:rsid w:val="0086082C"/>
    <w:rsid w:val="00860C85"/>
    <w:rsid w:val="00862650"/>
    <w:rsid w:val="00864ADC"/>
    <w:rsid w:val="00880153"/>
    <w:rsid w:val="00880F97"/>
    <w:rsid w:val="0088133A"/>
    <w:rsid w:val="0088688A"/>
    <w:rsid w:val="008925D1"/>
    <w:rsid w:val="0089285E"/>
    <w:rsid w:val="0089436C"/>
    <w:rsid w:val="008949B1"/>
    <w:rsid w:val="008D1068"/>
    <w:rsid w:val="008D365C"/>
    <w:rsid w:val="008D6010"/>
    <w:rsid w:val="008E1073"/>
    <w:rsid w:val="009030BF"/>
    <w:rsid w:val="0091032F"/>
    <w:rsid w:val="00914368"/>
    <w:rsid w:val="00923580"/>
    <w:rsid w:val="00925527"/>
    <w:rsid w:val="00931076"/>
    <w:rsid w:val="009345D9"/>
    <w:rsid w:val="009345F5"/>
    <w:rsid w:val="00934B15"/>
    <w:rsid w:val="00936633"/>
    <w:rsid w:val="00942B62"/>
    <w:rsid w:val="009536BB"/>
    <w:rsid w:val="00956A0C"/>
    <w:rsid w:val="00956BD9"/>
    <w:rsid w:val="00962489"/>
    <w:rsid w:val="00964CBF"/>
    <w:rsid w:val="00990C2C"/>
    <w:rsid w:val="00993561"/>
    <w:rsid w:val="009A0700"/>
    <w:rsid w:val="009A18E4"/>
    <w:rsid w:val="009B111A"/>
    <w:rsid w:val="009D409D"/>
    <w:rsid w:val="009D6B6F"/>
    <w:rsid w:val="009E44A4"/>
    <w:rsid w:val="009F0D1B"/>
    <w:rsid w:val="009F696D"/>
    <w:rsid w:val="009F6BC6"/>
    <w:rsid w:val="00A02721"/>
    <w:rsid w:val="00A17328"/>
    <w:rsid w:val="00A23576"/>
    <w:rsid w:val="00A23A20"/>
    <w:rsid w:val="00A24E69"/>
    <w:rsid w:val="00A268B9"/>
    <w:rsid w:val="00A2703A"/>
    <w:rsid w:val="00A31A81"/>
    <w:rsid w:val="00A33DFF"/>
    <w:rsid w:val="00A35115"/>
    <w:rsid w:val="00A36D9A"/>
    <w:rsid w:val="00A52AA8"/>
    <w:rsid w:val="00A54622"/>
    <w:rsid w:val="00A554AB"/>
    <w:rsid w:val="00A57062"/>
    <w:rsid w:val="00A877F9"/>
    <w:rsid w:val="00A9231C"/>
    <w:rsid w:val="00A92B53"/>
    <w:rsid w:val="00A94FA6"/>
    <w:rsid w:val="00AA49A0"/>
    <w:rsid w:val="00AA6710"/>
    <w:rsid w:val="00AA6D99"/>
    <w:rsid w:val="00AB0681"/>
    <w:rsid w:val="00AD03A2"/>
    <w:rsid w:val="00AD520B"/>
    <w:rsid w:val="00B20B4C"/>
    <w:rsid w:val="00B23E18"/>
    <w:rsid w:val="00B36A26"/>
    <w:rsid w:val="00B425C3"/>
    <w:rsid w:val="00B440AD"/>
    <w:rsid w:val="00B53E7E"/>
    <w:rsid w:val="00B616E3"/>
    <w:rsid w:val="00B61C2C"/>
    <w:rsid w:val="00B6342E"/>
    <w:rsid w:val="00B7113F"/>
    <w:rsid w:val="00B86CB4"/>
    <w:rsid w:val="00B87DE1"/>
    <w:rsid w:val="00B93513"/>
    <w:rsid w:val="00B949D4"/>
    <w:rsid w:val="00BA73B6"/>
    <w:rsid w:val="00BA7E27"/>
    <w:rsid w:val="00BB2603"/>
    <w:rsid w:val="00BB4FCD"/>
    <w:rsid w:val="00BD01F9"/>
    <w:rsid w:val="00BD13EA"/>
    <w:rsid w:val="00BE37A2"/>
    <w:rsid w:val="00BE3808"/>
    <w:rsid w:val="00BF0FF2"/>
    <w:rsid w:val="00BF3091"/>
    <w:rsid w:val="00C062E9"/>
    <w:rsid w:val="00C07B64"/>
    <w:rsid w:val="00C13721"/>
    <w:rsid w:val="00C14FE4"/>
    <w:rsid w:val="00C16B02"/>
    <w:rsid w:val="00C20650"/>
    <w:rsid w:val="00C23D2A"/>
    <w:rsid w:val="00C3066D"/>
    <w:rsid w:val="00C30EF6"/>
    <w:rsid w:val="00C543F4"/>
    <w:rsid w:val="00C6291C"/>
    <w:rsid w:val="00C633CB"/>
    <w:rsid w:val="00C63EDC"/>
    <w:rsid w:val="00C64A1B"/>
    <w:rsid w:val="00C67AE1"/>
    <w:rsid w:val="00C72922"/>
    <w:rsid w:val="00C72C86"/>
    <w:rsid w:val="00C73DF2"/>
    <w:rsid w:val="00C81D4A"/>
    <w:rsid w:val="00C8762C"/>
    <w:rsid w:val="00C9019E"/>
    <w:rsid w:val="00CA00F9"/>
    <w:rsid w:val="00CA1919"/>
    <w:rsid w:val="00CA2961"/>
    <w:rsid w:val="00CB50D7"/>
    <w:rsid w:val="00CB7177"/>
    <w:rsid w:val="00CC1998"/>
    <w:rsid w:val="00CC4946"/>
    <w:rsid w:val="00CC5892"/>
    <w:rsid w:val="00D01EF8"/>
    <w:rsid w:val="00D15DD4"/>
    <w:rsid w:val="00D23BDB"/>
    <w:rsid w:val="00D2633C"/>
    <w:rsid w:val="00D270A4"/>
    <w:rsid w:val="00D31FE9"/>
    <w:rsid w:val="00D34E1B"/>
    <w:rsid w:val="00D376BA"/>
    <w:rsid w:val="00D45634"/>
    <w:rsid w:val="00D46FD7"/>
    <w:rsid w:val="00D5568A"/>
    <w:rsid w:val="00D63D73"/>
    <w:rsid w:val="00D64452"/>
    <w:rsid w:val="00D66E1E"/>
    <w:rsid w:val="00D70E28"/>
    <w:rsid w:val="00D75722"/>
    <w:rsid w:val="00D77A45"/>
    <w:rsid w:val="00D80CF5"/>
    <w:rsid w:val="00D92283"/>
    <w:rsid w:val="00D97630"/>
    <w:rsid w:val="00DA5BBA"/>
    <w:rsid w:val="00DB26D2"/>
    <w:rsid w:val="00DB67C9"/>
    <w:rsid w:val="00DC086A"/>
    <w:rsid w:val="00DC0C95"/>
    <w:rsid w:val="00DC3039"/>
    <w:rsid w:val="00DD6580"/>
    <w:rsid w:val="00DE74DF"/>
    <w:rsid w:val="00DF0215"/>
    <w:rsid w:val="00DF70FF"/>
    <w:rsid w:val="00E0363B"/>
    <w:rsid w:val="00E15115"/>
    <w:rsid w:val="00E17C72"/>
    <w:rsid w:val="00E21FC6"/>
    <w:rsid w:val="00E22A42"/>
    <w:rsid w:val="00E4111F"/>
    <w:rsid w:val="00E431A9"/>
    <w:rsid w:val="00E55532"/>
    <w:rsid w:val="00E669E2"/>
    <w:rsid w:val="00E70F4C"/>
    <w:rsid w:val="00E76135"/>
    <w:rsid w:val="00E82F4F"/>
    <w:rsid w:val="00E860C7"/>
    <w:rsid w:val="00EA4F63"/>
    <w:rsid w:val="00EB36C8"/>
    <w:rsid w:val="00EB50D0"/>
    <w:rsid w:val="00EC27F5"/>
    <w:rsid w:val="00EC2844"/>
    <w:rsid w:val="00EC5500"/>
    <w:rsid w:val="00ED03CB"/>
    <w:rsid w:val="00EF02C4"/>
    <w:rsid w:val="00EF6C6C"/>
    <w:rsid w:val="00F056FC"/>
    <w:rsid w:val="00F10476"/>
    <w:rsid w:val="00F135D8"/>
    <w:rsid w:val="00F31299"/>
    <w:rsid w:val="00F3534A"/>
    <w:rsid w:val="00F354E4"/>
    <w:rsid w:val="00F36DB3"/>
    <w:rsid w:val="00F51609"/>
    <w:rsid w:val="00F70583"/>
    <w:rsid w:val="00F85325"/>
    <w:rsid w:val="00F8746D"/>
    <w:rsid w:val="00FA5D5C"/>
    <w:rsid w:val="00FB57A6"/>
    <w:rsid w:val="00FD1710"/>
    <w:rsid w:val="00FD22B1"/>
    <w:rsid w:val="00FE30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2" w:uiPriority="39"/>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BE37A2"/>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BE37A2"/>
    <w:pPr>
      <w:numPr>
        <w:numId w:val="23"/>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link w:val="TableColumnHeadingChar"/>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 Char1 Char,List Bullet Char Char Char,List Bullet Char1 Char Char Char,List Bullet1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BE37A2"/>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TableBodyTextChar">
    <w:name w:val="Table Body Text Char"/>
    <w:link w:val="TableBodyText"/>
    <w:rsid w:val="00BD01F9"/>
    <w:rPr>
      <w:rFonts w:ascii="Arial" w:hAnsi="Arial"/>
    </w:rPr>
  </w:style>
  <w:style w:type="character" w:customStyle="1" w:styleId="TableColumnHeadingChar">
    <w:name w:val="Table Column Heading Char"/>
    <w:link w:val="TableColumnHeading"/>
    <w:rsid w:val="00BD01F9"/>
    <w:rPr>
      <w:rFonts w:ascii="Arial" w:hAnsi="Arial"/>
      <w:i/>
    </w:rPr>
  </w:style>
  <w:style w:type="character" w:customStyle="1" w:styleId="BoxListBulletChar">
    <w:name w:val="Box List Bullet Char"/>
    <w:basedOn w:val="BoxChar"/>
    <w:link w:val="BoxListBullet"/>
    <w:rsid w:val="000A3807"/>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2" w:uiPriority="39"/>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BE37A2"/>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aliases w:val="List Bullet Char1,List Bullet Char Char,List Bullet Char1 Char Char,List Bullet1"/>
    <w:basedOn w:val="BodyText"/>
    <w:link w:val="ListBulletChar"/>
    <w:rsid w:val="00BE37A2"/>
    <w:pPr>
      <w:numPr>
        <w:numId w:val="23"/>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link w:val="TableColumnHeadingChar"/>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 Char1 Char,List Bullet Char Char Char,List Bullet Char1 Char Char Char,List Bullet1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BE37A2"/>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TableBodyTextChar">
    <w:name w:val="Table Body Text Char"/>
    <w:link w:val="TableBodyText"/>
    <w:rsid w:val="00BD01F9"/>
    <w:rPr>
      <w:rFonts w:ascii="Arial" w:hAnsi="Arial"/>
    </w:rPr>
  </w:style>
  <w:style w:type="character" w:customStyle="1" w:styleId="TableColumnHeadingChar">
    <w:name w:val="Table Column Heading Char"/>
    <w:link w:val="TableColumnHeading"/>
    <w:rsid w:val="00BD01F9"/>
    <w:rPr>
      <w:rFonts w:ascii="Arial" w:hAnsi="Arial"/>
      <w:i/>
    </w:rPr>
  </w:style>
  <w:style w:type="character" w:customStyle="1" w:styleId="BoxListBulletChar">
    <w:name w:val="Box List Bullet Char"/>
    <w:basedOn w:val="BoxChar"/>
    <w:link w:val="BoxListBullet"/>
    <w:rsid w:val="000A3807"/>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74598">
      <w:bodyDiv w:val="1"/>
      <w:marLeft w:val="0"/>
      <w:marRight w:val="0"/>
      <w:marTop w:val="0"/>
      <w:marBottom w:val="0"/>
      <w:divBdr>
        <w:top w:val="none" w:sz="0" w:space="0" w:color="auto"/>
        <w:left w:val="none" w:sz="0" w:space="0" w:color="auto"/>
        <w:bottom w:val="none" w:sz="0" w:space="0" w:color="auto"/>
        <w:right w:val="none" w:sz="0" w:space="0" w:color="auto"/>
      </w:divBdr>
    </w:div>
    <w:div w:id="1056856028">
      <w:bodyDiv w:val="1"/>
      <w:marLeft w:val="0"/>
      <w:marRight w:val="0"/>
      <w:marTop w:val="0"/>
      <w:marBottom w:val="0"/>
      <w:divBdr>
        <w:top w:val="none" w:sz="0" w:space="0" w:color="auto"/>
        <w:left w:val="none" w:sz="0" w:space="0" w:color="auto"/>
        <w:bottom w:val="none" w:sz="0" w:space="0" w:color="auto"/>
        <w:right w:val="none" w:sz="0" w:space="0" w:color="auto"/>
      </w:divBdr>
    </w:div>
    <w:div w:id="1516076091">
      <w:bodyDiv w:val="1"/>
      <w:marLeft w:val="0"/>
      <w:marRight w:val="0"/>
      <w:marTop w:val="0"/>
      <w:marBottom w:val="0"/>
      <w:divBdr>
        <w:top w:val="none" w:sz="0" w:space="0" w:color="auto"/>
        <w:left w:val="none" w:sz="0" w:space="0" w:color="auto"/>
        <w:bottom w:val="none" w:sz="0" w:space="0" w:color="auto"/>
        <w:right w:val="none" w:sz="0" w:space="0" w:color="auto"/>
      </w:divBdr>
    </w:div>
    <w:div w:id="1732078062">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7E212-7A9C-402B-AA1D-894DAB297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152</TotalTime>
  <Pages>19</Pages>
  <Words>4869</Words>
  <Characters>28247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33050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G.</dc:description>
  <cp:lastModifiedBy>Frech, Tanya</cp:lastModifiedBy>
  <cp:revision>23</cp:revision>
  <cp:lastPrinted>2014-03-03T03:11:00Z</cp:lastPrinted>
  <dcterms:created xsi:type="dcterms:W3CDTF">2014-03-06T01:21:00Z</dcterms:created>
  <dcterms:modified xsi:type="dcterms:W3CDTF">2014-04-10T05:09:00Z</dcterms:modified>
</cp:coreProperties>
</file>