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871FAC" w:rsidRDefault="00D27AE3" w:rsidP="00DC2A21">
      <w:pPr>
        <w:pStyle w:val="Heading1"/>
      </w:pPr>
      <w:bookmarkStart w:id="0" w:name="ChapterNumber"/>
      <w:r w:rsidRPr="00871FAC">
        <w:t>2</w:t>
      </w:r>
      <w:bookmarkEnd w:id="0"/>
      <w:r w:rsidRPr="00871FAC">
        <w:tab/>
      </w:r>
      <w:bookmarkStart w:id="1" w:name="ChapterTitle"/>
      <w:r w:rsidRPr="00871FAC">
        <w:t>Statistical context</w:t>
      </w:r>
      <w:bookmarkEnd w:id="1"/>
    </w:p>
    <w:bookmarkStart w:id="2" w:name="_Toc368581981" w:displacedByCustomXml="next"/>
    <w:bookmarkStart w:id="3" w:name="_Toc368582227" w:displacedByCustomXml="next"/>
    <w:bookmarkStart w:id="4" w:name="_Toc370136008" w:displacedByCustomXml="next"/>
    <w:bookmarkStart w:id="5" w:name="_Toc396743480" w:displacedByCustomXml="next"/>
    <w:sdt>
      <w:sdtPr>
        <w:rPr>
          <w:rFonts w:ascii="Arial" w:hAnsi="Arial"/>
          <w:sz w:val="26"/>
          <w:szCs w:val="26"/>
          <w:lang w:eastAsia="en-US"/>
        </w:rPr>
        <w:id w:val="641004145"/>
        <w:docPartObj>
          <w:docPartGallery w:val="Table of Contents"/>
          <w:docPartUnique/>
        </w:docPartObj>
      </w:sdtPr>
      <w:sdtEndPr>
        <w:rPr>
          <w:rStyle w:val="Hyperlink"/>
          <w:color w:val="0000FF"/>
          <w:u w:val="single"/>
        </w:rPr>
      </w:sdtEndPr>
      <w:sdtContent>
        <w:p w:rsidR="00C670BB" w:rsidRPr="00871FAC" w:rsidRDefault="00C670BB" w:rsidP="00C670BB">
          <w:pPr>
            <w:tabs>
              <w:tab w:val="right" w:pos="8789"/>
            </w:tabs>
            <w:spacing w:before="120" w:line="320" w:lineRule="exact"/>
            <w:ind w:left="510" w:right="851" w:hanging="510"/>
            <w:rPr>
              <w:rFonts w:ascii="Arial" w:hAnsi="Arial"/>
              <w:b/>
              <w:noProof/>
              <w:szCs w:val="26"/>
              <w:lang w:eastAsia="en-US"/>
            </w:rPr>
          </w:pPr>
          <w:r w:rsidRPr="00871FAC">
            <w:rPr>
              <w:rFonts w:ascii="Arial" w:hAnsi="Arial"/>
              <w:b/>
              <w:noProof/>
              <w:szCs w:val="26"/>
              <w:lang w:eastAsia="en-US"/>
            </w:rPr>
            <w:t>CONTENTS</w:t>
          </w:r>
        </w:p>
        <w:p w:rsidR="00C670BB" w:rsidRPr="00871FAC" w:rsidRDefault="00C670BB" w:rsidP="00C670BB">
          <w:pPr>
            <w:pStyle w:val="TOC3"/>
            <w:rPr>
              <w:rStyle w:val="Hyperlink"/>
              <w:noProof/>
            </w:rPr>
          </w:pPr>
          <w:r w:rsidRPr="00DB62BB">
            <w:rPr>
              <w:noProof/>
            </w:rPr>
            <w:t>Aboriginal and Torres Strait Islander data in the Statistical context chapter</w:t>
          </w:r>
          <w:r w:rsidRPr="00DB62BB">
            <w:rPr>
              <w:noProof/>
              <w:webHidden/>
            </w:rPr>
            <w:tab/>
            <w:t>2.</w:t>
          </w:r>
          <w:r w:rsidR="00871FAC" w:rsidRPr="00DB62BB">
            <w:rPr>
              <w:noProof/>
              <w:webHidden/>
            </w:rPr>
            <w:t>2</w:t>
          </w:r>
        </w:p>
        <w:p w:rsidR="00C670BB" w:rsidRPr="00871FAC" w:rsidRDefault="00C670BB">
          <w:pPr>
            <w:pStyle w:val="TOC3"/>
            <w:rPr>
              <w:rStyle w:val="Hyperlink"/>
              <w:noProof/>
            </w:rPr>
          </w:pPr>
          <w:r w:rsidRPr="00DB62BB">
            <w:rPr>
              <w:noProof/>
            </w:rPr>
            <w:t>Population</w:t>
          </w:r>
          <w:r w:rsidRPr="00DB62BB">
            <w:rPr>
              <w:noProof/>
              <w:webHidden/>
            </w:rPr>
            <w:tab/>
            <w:t>2.</w:t>
          </w:r>
          <w:r w:rsidR="00871FAC" w:rsidRPr="00DB62BB">
            <w:rPr>
              <w:noProof/>
              <w:webHidden/>
            </w:rPr>
            <w:t>2</w:t>
          </w:r>
        </w:p>
        <w:p w:rsidR="00C670BB" w:rsidRPr="00871FAC" w:rsidRDefault="00C670BB">
          <w:pPr>
            <w:pStyle w:val="TOC3"/>
            <w:rPr>
              <w:rStyle w:val="Hyperlink"/>
              <w:noProof/>
            </w:rPr>
          </w:pPr>
          <w:r w:rsidRPr="00DB62BB">
            <w:rPr>
              <w:noProof/>
            </w:rPr>
            <w:t>Population, by ethnicity and proficiency in English</w:t>
          </w:r>
          <w:r w:rsidRPr="00DB62BB">
            <w:rPr>
              <w:noProof/>
              <w:webHidden/>
            </w:rPr>
            <w:tab/>
            <w:t>2.</w:t>
          </w:r>
          <w:r w:rsidR="00871FAC" w:rsidRPr="00DB62BB">
            <w:rPr>
              <w:noProof/>
              <w:webHidden/>
            </w:rPr>
            <w:t>3</w:t>
          </w:r>
        </w:p>
        <w:p w:rsidR="00C670BB" w:rsidRPr="00871FAC" w:rsidRDefault="00C670BB">
          <w:pPr>
            <w:pStyle w:val="TOC3"/>
            <w:rPr>
              <w:rStyle w:val="Hyperlink"/>
              <w:noProof/>
            </w:rPr>
          </w:pPr>
          <w:r w:rsidRPr="00DB62BB">
            <w:rPr>
              <w:noProof/>
            </w:rPr>
            <w:t>Aboriginal and Torres Strait Islander population profile</w:t>
          </w:r>
          <w:r w:rsidRPr="00DB62BB">
            <w:rPr>
              <w:noProof/>
              <w:webHidden/>
            </w:rPr>
            <w:tab/>
            <w:t>2.</w:t>
          </w:r>
          <w:r w:rsidR="00871FAC" w:rsidRPr="00DB62BB">
            <w:rPr>
              <w:noProof/>
              <w:webHidden/>
            </w:rPr>
            <w:t>3</w:t>
          </w:r>
        </w:p>
        <w:p w:rsidR="00C670BB" w:rsidRPr="00871FAC" w:rsidRDefault="00C670BB">
          <w:pPr>
            <w:pStyle w:val="TOC3"/>
            <w:rPr>
              <w:rStyle w:val="Hyperlink"/>
              <w:noProof/>
            </w:rPr>
          </w:pPr>
          <w:r w:rsidRPr="00DB62BB">
            <w:rPr>
              <w:noProof/>
            </w:rPr>
            <w:t>Income</w:t>
          </w:r>
          <w:r w:rsidRPr="00DB62BB">
            <w:rPr>
              <w:noProof/>
              <w:webHidden/>
            </w:rPr>
            <w:tab/>
            <w:t>2.</w:t>
          </w:r>
          <w:r w:rsidR="00871FAC" w:rsidRPr="00DB62BB">
            <w:rPr>
              <w:noProof/>
              <w:webHidden/>
            </w:rPr>
            <w:t>4</w:t>
          </w:r>
        </w:p>
        <w:p w:rsidR="00C670BB" w:rsidRPr="00871FAC" w:rsidRDefault="00C670BB">
          <w:pPr>
            <w:pStyle w:val="TOC3"/>
            <w:rPr>
              <w:rStyle w:val="Hyperlink"/>
              <w:noProof/>
            </w:rPr>
          </w:pPr>
          <w:r w:rsidRPr="00DB62BB">
            <w:rPr>
              <w:noProof/>
            </w:rPr>
            <w:t>Educational attainment</w:t>
          </w:r>
          <w:r w:rsidRPr="00DB62BB">
            <w:rPr>
              <w:noProof/>
              <w:webHidden/>
            </w:rPr>
            <w:tab/>
            <w:t>2.</w:t>
          </w:r>
          <w:r w:rsidR="00871FAC" w:rsidRPr="00DB62BB">
            <w:rPr>
              <w:noProof/>
              <w:webHidden/>
            </w:rPr>
            <w:t>5</w:t>
          </w:r>
        </w:p>
        <w:p w:rsidR="00C670BB" w:rsidRPr="00871FAC" w:rsidRDefault="00C670BB">
          <w:pPr>
            <w:pStyle w:val="TOC3"/>
            <w:rPr>
              <w:rStyle w:val="Hyperlink"/>
              <w:noProof/>
            </w:rPr>
          </w:pPr>
          <w:r w:rsidRPr="00DB62BB">
            <w:rPr>
              <w:noProof/>
            </w:rPr>
            <w:t>Statistical concepts used in the Report  — reliability of estimates</w:t>
          </w:r>
          <w:r w:rsidRPr="00DB62BB">
            <w:rPr>
              <w:noProof/>
              <w:webHidden/>
            </w:rPr>
            <w:tab/>
            <w:t>2.</w:t>
          </w:r>
          <w:r w:rsidR="00871FAC" w:rsidRPr="00DB62BB">
            <w:rPr>
              <w:noProof/>
              <w:webHidden/>
            </w:rPr>
            <w:t>5</w:t>
          </w:r>
        </w:p>
        <w:p w:rsidR="00C670BB" w:rsidRPr="00871FAC" w:rsidRDefault="00C670BB">
          <w:pPr>
            <w:pStyle w:val="TOC3"/>
            <w:rPr>
              <w:rStyle w:val="Hyperlink"/>
              <w:noProof/>
            </w:rPr>
          </w:pPr>
          <w:r w:rsidRPr="00DB62BB">
            <w:rPr>
              <w:noProof/>
            </w:rPr>
            <w:t>Statistical concepts used in the Report  — age standardisation of data</w:t>
          </w:r>
          <w:r w:rsidRPr="00DB62BB">
            <w:rPr>
              <w:noProof/>
              <w:webHidden/>
            </w:rPr>
            <w:tab/>
            <w:t>2.</w:t>
          </w:r>
          <w:r w:rsidR="00871FAC" w:rsidRPr="00DB62BB">
            <w:rPr>
              <w:noProof/>
              <w:webHidden/>
            </w:rPr>
            <w:t>7</w:t>
          </w:r>
        </w:p>
        <w:p w:rsidR="00C670BB" w:rsidRPr="00871FAC" w:rsidRDefault="00C670BB">
          <w:pPr>
            <w:pStyle w:val="TOC3"/>
            <w:rPr>
              <w:rStyle w:val="Hyperlink"/>
              <w:noProof/>
            </w:rPr>
          </w:pPr>
          <w:r w:rsidRPr="00DB62BB">
            <w:rPr>
              <w:noProof/>
            </w:rPr>
            <w:t>List of attachment tables</w:t>
          </w:r>
          <w:r w:rsidRPr="00DB62BB">
            <w:rPr>
              <w:noProof/>
              <w:webHidden/>
            </w:rPr>
            <w:tab/>
            <w:t>2.</w:t>
          </w:r>
          <w:r w:rsidR="00871FAC" w:rsidRPr="00DB62BB">
            <w:rPr>
              <w:noProof/>
              <w:webHidden/>
            </w:rPr>
            <w:t>13</w:t>
          </w:r>
        </w:p>
        <w:p w:rsidR="00C670BB" w:rsidRPr="00871FAC" w:rsidRDefault="00C670BB" w:rsidP="00C670BB">
          <w:pPr>
            <w:pStyle w:val="TOC3"/>
            <w:rPr>
              <w:rStyle w:val="Hyperlink"/>
            </w:rPr>
          </w:pPr>
          <w:r w:rsidRPr="00DB62BB">
            <w:rPr>
              <w:noProof/>
            </w:rPr>
            <w:t>References</w:t>
          </w:r>
          <w:r w:rsidRPr="00DB62BB">
            <w:rPr>
              <w:noProof/>
              <w:webHidden/>
            </w:rPr>
            <w:tab/>
            <w:t>2.</w:t>
          </w:r>
          <w:r w:rsidR="00871FAC" w:rsidRPr="00DB62BB">
            <w:rPr>
              <w:noProof/>
              <w:webHidden/>
            </w:rPr>
            <w:t>15</w:t>
          </w:r>
        </w:p>
      </w:sdtContent>
    </w:sdt>
    <w:p w:rsidR="0038144B" w:rsidRPr="008E110D" w:rsidRDefault="0038144B" w:rsidP="003814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8144B" w:rsidRPr="008E110D" w:rsidTr="004D5244">
        <w:tc>
          <w:tcPr>
            <w:tcW w:w="8771" w:type="dxa"/>
            <w:tcBorders>
              <w:top w:val="single" w:sz="6" w:space="0" w:color="78A22F"/>
              <w:left w:val="nil"/>
              <w:bottom w:val="nil"/>
              <w:right w:val="nil"/>
            </w:tcBorders>
            <w:shd w:val="clear" w:color="auto" w:fill="F2F2F2" w:themeFill="background1" w:themeFillShade="F2"/>
          </w:tcPr>
          <w:p w:rsidR="0038144B" w:rsidRPr="008E110D" w:rsidRDefault="0038144B" w:rsidP="004D5244">
            <w:pPr>
              <w:pStyle w:val="BoxTitle"/>
            </w:pPr>
            <w:r w:rsidRPr="008E110D">
              <w:t>Attachment tables</w:t>
            </w:r>
          </w:p>
        </w:tc>
      </w:tr>
      <w:tr w:rsidR="0038144B" w:rsidRPr="008E110D" w:rsidTr="004D5244">
        <w:trPr>
          <w:cantSplit/>
        </w:trPr>
        <w:tc>
          <w:tcPr>
            <w:tcW w:w="8771" w:type="dxa"/>
            <w:tcBorders>
              <w:top w:val="nil"/>
              <w:left w:val="nil"/>
              <w:bottom w:val="nil"/>
              <w:right w:val="nil"/>
            </w:tcBorders>
            <w:shd w:val="clear" w:color="auto" w:fill="F2F2F2" w:themeFill="background1" w:themeFillShade="F2"/>
          </w:tcPr>
          <w:p w:rsidR="0038144B" w:rsidRPr="008E110D" w:rsidRDefault="0027604A" w:rsidP="0027604A">
            <w:pPr>
              <w:pStyle w:val="Box"/>
            </w:pPr>
            <w:r w:rsidRPr="008E110D">
              <w:t xml:space="preserve">Attachment tables are identified in references throughout this Indigenous Compendium by an ‘A’ prefix (for example, in this chapter, table </w:t>
            </w:r>
            <w:proofErr w:type="spellStart"/>
            <w:r w:rsidRPr="008E110D">
              <w:t>2A.1</w:t>
            </w:r>
            <w:proofErr w:type="spellEnd"/>
            <w:r w:rsidRPr="008E110D">
              <w:t xml:space="preserve">). As the data are directly sourced from the 2015 Report, the Compendium also notes where the original table, figure or text in the </w:t>
            </w:r>
            <w:r w:rsidRPr="008E110D">
              <w:br/>
              <w:t xml:space="preserve">2015 Report can be found. For example, where the Compendium refers to ‘2015 Report, p. 2.1’ this is page 1 of chapter 2 of the 2015 Report, and ‘2015 Report, table </w:t>
            </w:r>
            <w:proofErr w:type="spellStart"/>
            <w:r w:rsidRPr="008E110D">
              <w:t>2A.1</w:t>
            </w:r>
            <w:proofErr w:type="spellEnd"/>
            <w:r w:rsidRPr="008E110D">
              <w:t xml:space="preserve">’ is attachment </w:t>
            </w:r>
            <w:r w:rsidRPr="008E110D">
              <w:br/>
              <w:t xml:space="preserve">table 1 of attachment </w:t>
            </w:r>
            <w:proofErr w:type="spellStart"/>
            <w:r w:rsidRPr="008E110D">
              <w:t>2A</w:t>
            </w:r>
            <w:proofErr w:type="spellEnd"/>
            <w:r w:rsidRPr="008E110D">
              <w:t xml:space="preserve"> of the 2015 Report. A list of attachment tables referred to in the Compendium is provided at the end of this chapter, and the full attachment tables are available from the Review website at </w:t>
            </w:r>
            <w:r w:rsidR="008E110D" w:rsidRPr="008E110D">
              <w:t>www.pc.gov.au/research/recurring/report-on-government-services</w:t>
            </w:r>
            <w:r w:rsidRPr="008E110D">
              <w:t>.</w:t>
            </w:r>
          </w:p>
        </w:tc>
      </w:tr>
      <w:tr w:rsidR="0038144B" w:rsidRPr="008E110D" w:rsidTr="004D5244">
        <w:trPr>
          <w:cantSplit/>
        </w:trPr>
        <w:tc>
          <w:tcPr>
            <w:tcW w:w="8771" w:type="dxa"/>
            <w:tcBorders>
              <w:top w:val="nil"/>
              <w:left w:val="nil"/>
              <w:bottom w:val="single" w:sz="6" w:space="0" w:color="78A22F"/>
              <w:right w:val="nil"/>
            </w:tcBorders>
            <w:shd w:val="clear" w:color="auto" w:fill="F2F2F2" w:themeFill="background1" w:themeFillShade="F2"/>
          </w:tcPr>
          <w:p w:rsidR="0038144B" w:rsidRPr="008E110D" w:rsidRDefault="0038144B" w:rsidP="004D5244">
            <w:pPr>
              <w:pStyle w:val="Box"/>
              <w:spacing w:before="0" w:line="120" w:lineRule="exact"/>
            </w:pPr>
          </w:p>
        </w:tc>
      </w:tr>
      <w:tr w:rsidR="0038144B" w:rsidRPr="008E110D" w:rsidTr="004D5244">
        <w:tc>
          <w:tcPr>
            <w:tcW w:w="8771" w:type="dxa"/>
            <w:tcBorders>
              <w:top w:val="single" w:sz="6" w:space="0" w:color="78A22F"/>
              <w:left w:val="nil"/>
              <w:bottom w:val="nil"/>
              <w:right w:val="nil"/>
            </w:tcBorders>
          </w:tcPr>
          <w:p w:rsidR="0038144B" w:rsidRPr="008E110D" w:rsidRDefault="0038144B" w:rsidP="004D5244">
            <w:pPr>
              <w:pStyle w:val="BoxSpaceBelow"/>
            </w:pPr>
          </w:p>
        </w:tc>
      </w:tr>
    </w:tbl>
    <w:p w:rsidR="00ED7A16" w:rsidRDefault="0027604A" w:rsidP="0026602B">
      <w:pPr>
        <w:pStyle w:val="BodyText"/>
      </w:pPr>
      <w:r w:rsidRPr="008E110D">
        <w:t xml:space="preserve">The Statistical context chapter (chapter 2) in the </w:t>
      </w:r>
      <w:r w:rsidRPr="008E110D">
        <w:rPr>
          <w:i/>
        </w:rPr>
        <w:t>Report on Government Services 2015</w:t>
      </w:r>
      <w:r w:rsidRPr="008E110D">
        <w:t xml:space="preserve"> (2015 Report) contains contextual information to assist the interpretation of the performance indicators presented in this Report. Data are presented for Aboriginal and Torres Strait Islander people for some items — those data are compiled and presented here. The Statistical context chapter also contains a discussion of the statistical concept of age standardisation and its application to prisoner population rates, and to death rates, for Aboriginal and Torres Strait Islander and non</w:t>
      </w:r>
      <w:r w:rsidRPr="008E110D">
        <w:noBreakHyphen/>
        <w:t>Indigenous people.</w:t>
      </w:r>
      <w:bookmarkEnd w:id="5"/>
      <w:bookmarkEnd w:id="4"/>
      <w:bookmarkEnd w:id="3"/>
      <w:bookmarkEnd w:id="2"/>
    </w:p>
    <w:p w:rsidR="00840B58" w:rsidRPr="00630660" w:rsidRDefault="00840B58" w:rsidP="0026602B">
      <w:pPr>
        <w:pStyle w:val="BodyText"/>
      </w:pPr>
      <w:r w:rsidRPr="00630660">
        <w:t xml:space="preserve">Most of the service areas covered by the Report use estimated resident population (ERP) data from tables </w:t>
      </w:r>
      <w:proofErr w:type="spellStart"/>
      <w:r w:rsidRPr="00630660">
        <w:t>2A.1</w:t>
      </w:r>
      <w:proofErr w:type="spellEnd"/>
      <w:r w:rsidRPr="00630660">
        <w:t xml:space="preserve">–2 for descriptive information (such as expenditure per person in the </w:t>
      </w:r>
      <w:r w:rsidRPr="00630660">
        <w:lastRenderedPageBreak/>
        <w:t>population) and as denominators for performance indicators (such as calculating participation rates for school education).</w:t>
      </w:r>
    </w:p>
    <w:p w:rsidR="0027604A" w:rsidRPr="00630660" w:rsidRDefault="0027604A" w:rsidP="00DC2A21">
      <w:pPr>
        <w:pStyle w:val="Heading3"/>
      </w:pPr>
      <w:bookmarkStart w:id="6" w:name="_Toc288813700"/>
      <w:bookmarkStart w:id="7" w:name="_Toc319916927"/>
      <w:bookmarkStart w:id="8" w:name="_Toc320774696"/>
      <w:bookmarkStart w:id="9" w:name="_Toc320775782"/>
      <w:bookmarkStart w:id="10" w:name="_Toc349206866"/>
      <w:bookmarkStart w:id="11" w:name="_Toc379182697"/>
      <w:bookmarkStart w:id="12" w:name="_Toc410121175"/>
      <w:bookmarkStart w:id="13" w:name="_Toc410121191"/>
      <w:r w:rsidRPr="00630660">
        <w:t xml:space="preserve">Aboriginal and Torres Strait Islander data in the Statistical </w:t>
      </w:r>
      <w:bookmarkEnd w:id="6"/>
      <w:bookmarkEnd w:id="7"/>
      <w:bookmarkEnd w:id="8"/>
      <w:bookmarkEnd w:id="9"/>
      <w:bookmarkEnd w:id="10"/>
      <w:r w:rsidRPr="00630660">
        <w:t>context chapter</w:t>
      </w:r>
      <w:bookmarkEnd w:id="11"/>
      <w:bookmarkEnd w:id="12"/>
      <w:bookmarkEnd w:id="13"/>
    </w:p>
    <w:p w:rsidR="0027604A" w:rsidRPr="00630660" w:rsidRDefault="0027604A" w:rsidP="0027604A">
      <w:pPr>
        <w:pStyle w:val="BodyText"/>
      </w:pPr>
      <w:r w:rsidRPr="00630660">
        <w:t xml:space="preserve">The Statistical context chapter in the 2015 Report contains the following data for </w:t>
      </w:r>
      <w:r w:rsidR="00FE1FC5" w:rsidRPr="00630660">
        <w:t>Aboriginal and Torres Strait Islander Australians</w:t>
      </w:r>
      <w:r w:rsidRPr="00630660">
        <w:t>:</w:t>
      </w:r>
    </w:p>
    <w:p w:rsidR="0027604A" w:rsidRPr="00630660" w:rsidRDefault="0027604A" w:rsidP="0027604A">
      <w:pPr>
        <w:pStyle w:val="ListBullet"/>
        <w:spacing w:line="320" w:lineRule="atLeast"/>
      </w:pPr>
      <w:r w:rsidRPr="00630660">
        <w:t>people by country of birth</w:t>
      </w:r>
    </w:p>
    <w:p w:rsidR="0027604A" w:rsidRPr="00630660" w:rsidRDefault="0027604A" w:rsidP="0027604A">
      <w:pPr>
        <w:pStyle w:val="ListBullet"/>
        <w:spacing w:line="320" w:lineRule="atLeast"/>
      </w:pPr>
      <w:r w:rsidRPr="00630660">
        <w:t>people by language spoken at home</w:t>
      </w:r>
    </w:p>
    <w:p w:rsidR="0027604A" w:rsidRPr="00630660" w:rsidRDefault="0027604A" w:rsidP="0027604A">
      <w:pPr>
        <w:pStyle w:val="ListBullet"/>
      </w:pPr>
      <w:r w:rsidRPr="00630660">
        <w:t>Aboriginal and Torres Strait Islander population estimates</w:t>
      </w:r>
      <w:r w:rsidR="00D670B7" w:rsidRPr="00630660">
        <w:t xml:space="preserve"> and projections</w:t>
      </w:r>
      <w:r w:rsidRPr="00630660">
        <w:t>, by age and sex</w:t>
      </w:r>
    </w:p>
    <w:p w:rsidR="00D670B7" w:rsidRPr="00630660" w:rsidRDefault="00D670B7" w:rsidP="00D670B7">
      <w:pPr>
        <w:pStyle w:val="ListBullet"/>
      </w:pPr>
      <w:r w:rsidRPr="00630660">
        <w:t xml:space="preserve">language spoken at home by Aboriginal and Torres Strait Islander Australians and proficiency in spoken English, by sex </w:t>
      </w:r>
    </w:p>
    <w:p w:rsidR="0027604A" w:rsidRPr="00630660" w:rsidRDefault="0027604A" w:rsidP="00D670B7">
      <w:pPr>
        <w:pStyle w:val="ListBullet"/>
      </w:pPr>
      <w:r w:rsidRPr="00630660">
        <w:t>families and people in families in occupied private dwellings by Indigenous status and family/household composition</w:t>
      </w:r>
    </w:p>
    <w:p w:rsidR="0027604A" w:rsidRPr="00630660" w:rsidRDefault="0027604A" w:rsidP="0027604A">
      <w:pPr>
        <w:pStyle w:val="ListBullet"/>
        <w:spacing w:line="320" w:lineRule="atLeast"/>
      </w:pPr>
      <w:r w:rsidRPr="00630660">
        <w:t>people aged 15 years or over by weekly individual income and Indigenous status</w:t>
      </w:r>
    </w:p>
    <w:p w:rsidR="0027604A" w:rsidRPr="00630660" w:rsidRDefault="0027604A" w:rsidP="0027604A">
      <w:pPr>
        <w:pStyle w:val="ListBullet"/>
        <w:spacing w:line="320" w:lineRule="atLeast"/>
      </w:pPr>
      <w:r w:rsidRPr="00630660">
        <w:t>highest level of schooling completed by people aged 15 years or over, by Indigenous status (excluding people still attending secondary school)</w:t>
      </w:r>
    </w:p>
    <w:p w:rsidR="0027604A" w:rsidRPr="00630660" w:rsidRDefault="0027604A" w:rsidP="0027604A">
      <w:pPr>
        <w:pStyle w:val="ListBullet"/>
        <w:spacing w:line="320" w:lineRule="atLeast"/>
      </w:pPr>
      <w:r w:rsidRPr="00630660">
        <w:t>type of educational institution attending by Indigenous status</w:t>
      </w:r>
    </w:p>
    <w:p w:rsidR="0027604A" w:rsidRPr="00630660" w:rsidRDefault="0027604A" w:rsidP="0027604A">
      <w:pPr>
        <w:pStyle w:val="ListBullet"/>
        <w:spacing w:line="320" w:lineRule="atLeast"/>
      </w:pPr>
      <w:r w:rsidRPr="00630660">
        <w:t>tertiary education attainment for people aged 18</w:t>
      </w:r>
      <w:r w:rsidR="004B7307">
        <w:t xml:space="preserve"> years</w:t>
      </w:r>
      <w:r w:rsidR="00D670B7" w:rsidRPr="00630660">
        <w:t xml:space="preserve"> </w:t>
      </w:r>
      <w:r w:rsidR="008E110D" w:rsidRPr="00630660">
        <w:t xml:space="preserve">or over </w:t>
      </w:r>
      <w:r w:rsidR="00D670B7" w:rsidRPr="00630660">
        <w:t>by Indigenous status and sex</w:t>
      </w:r>
    </w:p>
    <w:p w:rsidR="0027604A" w:rsidRPr="00630660" w:rsidRDefault="0027604A" w:rsidP="00D670B7">
      <w:pPr>
        <w:pStyle w:val="ListBullet"/>
      </w:pPr>
      <w:r w:rsidRPr="00630660">
        <w:t>type of tertiary education institution attending for people aged 18</w:t>
      </w:r>
      <w:r w:rsidR="008E110D" w:rsidRPr="00630660">
        <w:t>–</w:t>
      </w:r>
      <w:r w:rsidRPr="00630660">
        <w:t>24</w:t>
      </w:r>
      <w:r w:rsidR="008E110D" w:rsidRPr="00630660">
        <w:t xml:space="preserve"> years</w:t>
      </w:r>
      <w:r w:rsidR="00D670B7" w:rsidRPr="00630660">
        <w:t xml:space="preserve"> by Indigenous status and sex</w:t>
      </w:r>
      <w:r w:rsidRPr="00630660">
        <w:t>.</w:t>
      </w:r>
    </w:p>
    <w:p w:rsidR="00840B58" w:rsidRPr="00352AC6" w:rsidRDefault="00840B58" w:rsidP="00DC2A21">
      <w:pPr>
        <w:pStyle w:val="Heading3"/>
      </w:pPr>
      <w:bookmarkStart w:id="14" w:name="_Toc333919856"/>
      <w:bookmarkStart w:id="15" w:name="_Toc368582229"/>
      <w:bookmarkStart w:id="16" w:name="_Toc370136010"/>
      <w:bookmarkStart w:id="17" w:name="_Toc410121176"/>
      <w:bookmarkStart w:id="18" w:name="_Toc410121192"/>
      <w:r w:rsidRPr="00352AC6">
        <w:t>Population</w:t>
      </w:r>
      <w:bookmarkEnd w:id="14"/>
      <w:bookmarkEnd w:id="15"/>
      <w:bookmarkEnd w:id="16"/>
      <w:bookmarkEnd w:id="17"/>
      <w:bookmarkEnd w:id="18"/>
    </w:p>
    <w:p w:rsidR="00840B58" w:rsidRPr="00352AC6" w:rsidRDefault="00352AC6" w:rsidP="0026602B">
      <w:pPr>
        <w:pStyle w:val="BodyText"/>
      </w:pPr>
      <w:r w:rsidRPr="00352AC6">
        <w:t>More than three-</w:t>
      </w:r>
      <w:r w:rsidR="00840B58" w:rsidRPr="00352AC6">
        <w:t xml:space="preserve">quarters of Australia’s 23.1 million people lived in the eastern mainland states as at 30 June 2013, with NSW, Victoria and Queensland accounting for </w:t>
      </w:r>
      <w:r w:rsidR="00840B58" w:rsidRPr="00352AC6">
        <w:br/>
        <w:t xml:space="preserve">32.0 per cent, 24.8 per cent and 20.1 per cent, respectively, of the nation’s population. WA and SA accounted for a further 10.9 per cent and 7.2 per cent, respectively, while Tasmania, the ACT and the NT accounted for the remaining 2.2 per cent, 1.7 per cent and 1.0 per cent, respectively (table </w:t>
      </w:r>
      <w:proofErr w:type="spellStart"/>
      <w:r w:rsidR="00840B58" w:rsidRPr="00352AC6">
        <w:t>2A.1</w:t>
      </w:r>
      <w:proofErr w:type="spellEnd"/>
      <w:r w:rsidR="00840B58" w:rsidRPr="00352AC6">
        <w:t>). As the majority of Australia’s population lives in the eastern mainland states, data for these jurisdictions generally have a large influence on national averages.</w:t>
      </w:r>
    </w:p>
    <w:p w:rsidR="00840B58" w:rsidRPr="00352AC6" w:rsidRDefault="00840B58" w:rsidP="0026602B">
      <w:pPr>
        <w:pStyle w:val="BodyText"/>
      </w:pPr>
      <w:r w:rsidRPr="00352AC6">
        <w:t xml:space="preserve">As in most other developed economies, greater life expectancy and declining fertility have contributed to an ‘ageing’ of Australia’s population. However, the age distribution of Aboriginal and Torres Strait Islander people is markedly different to that of all Australians </w:t>
      </w:r>
      <w:r w:rsidRPr="00352AC6">
        <w:lastRenderedPageBreak/>
        <w:t xml:space="preserve">(figure 2.1). At 30 June 2013, 9.8 per cent of Australia’s population was aged 70 years or over, compared with just 1.9 per cent of Australia’s Aboriginal and Torres Strait </w:t>
      </w:r>
      <w:r w:rsidR="00352AC6" w:rsidRPr="00352AC6">
        <w:t>Islander population</w:t>
      </w:r>
      <w:r w:rsidRPr="00352AC6">
        <w:t xml:space="preserve"> as at 30 June 2011 (tables </w:t>
      </w:r>
      <w:proofErr w:type="spellStart"/>
      <w:r w:rsidRPr="00352AC6">
        <w:t>2A.1</w:t>
      </w:r>
      <w:proofErr w:type="spellEnd"/>
      <w:r w:rsidRPr="00352AC6">
        <w:t xml:space="preserve"> and </w:t>
      </w:r>
      <w:proofErr w:type="spellStart"/>
      <w:r w:rsidRPr="00352AC6">
        <w:t>2A.13</w:t>
      </w:r>
      <w:proofErr w:type="spellEnd"/>
      <w:r w:rsidRPr="00352AC6">
        <w:t>). Across jurisdictions, the proportion of all people aged 70 years or over ranged from 11.5 per cent in SA and Tasmania to 3.4</w:t>
      </w:r>
      <w:r w:rsidR="0093294B">
        <w:t> </w:t>
      </w:r>
      <w:r w:rsidRPr="00352AC6">
        <w:t xml:space="preserve">per cent in the NT (table </w:t>
      </w:r>
      <w:proofErr w:type="spellStart"/>
      <w:r w:rsidRPr="00352AC6">
        <w:t>2A.1</w:t>
      </w:r>
      <w:proofErr w:type="spellEnd"/>
      <w:r w:rsidRPr="00352AC6">
        <w:t>).</w:t>
      </w:r>
    </w:p>
    <w:p w:rsidR="00840B58" w:rsidRPr="00352AC6"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840B58" w:rsidRPr="00352AC6" w:rsidTr="00840B58">
        <w:tc>
          <w:tcPr>
            <w:tcW w:w="8909" w:type="dxa"/>
            <w:tcBorders>
              <w:top w:val="single" w:sz="6" w:space="0" w:color="78A22F"/>
              <w:left w:val="nil"/>
              <w:bottom w:val="nil"/>
              <w:right w:val="nil"/>
            </w:tcBorders>
            <w:shd w:val="clear" w:color="auto" w:fill="auto"/>
          </w:tcPr>
          <w:p w:rsidR="00840B58" w:rsidRPr="00352AC6" w:rsidRDefault="00840B58" w:rsidP="00840B58">
            <w:pPr>
              <w:pStyle w:val="FigureTitle"/>
            </w:pPr>
            <w:r w:rsidRPr="00352AC6">
              <w:rPr>
                <w:b w:val="0"/>
              </w:rPr>
              <w:t>Figure 2.</w:t>
            </w:r>
            <w:r w:rsidRPr="00352AC6">
              <w:rPr>
                <w:b w:val="0"/>
                <w:noProof/>
              </w:rPr>
              <w:t>1</w:t>
            </w:r>
            <w:r w:rsidRPr="00352AC6">
              <w:tab/>
              <w:t xml:space="preserve">Population distribution, Australia, by age and sex, </w:t>
            </w:r>
            <w:r w:rsidRPr="00352AC6">
              <w:br/>
              <w:t>30 June</w:t>
            </w:r>
            <w:r w:rsidR="00352AC6" w:rsidRPr="00352AC6">
              <w:rPr>
                <w:rStyle w:val="NoteLabel"/>
                <w:b/>
              </w:rPr>
              <w:t>a, b</w:t>
            </w:r>
          </w:p>
        </w:tc>
      </w:tr>
      <w:tr w:rsidR="00840B58" w:rsidRPr="00352AC6" w:rsidTr="00840B58">
        <w:tblPrEx>
          <w:tblCellMar>
            <w:left w:w="108" w:type="dxa"/>
            <w:right w:w="108" w:type="dxa"/>
          </w:tblCellMar>
        </w:tblPrEx>
        <w:tc>
          <w:tcPr>
            <w:tcW w:w="8909" w:type="dxa"/>
            <w:tcBorders>
              <w:top w:val="nil"/>
              <w:left w:val="nil"/>
              <w:bottom w:val="nil"/>
              <w:right w:val="nil"/>
            </w:tcBorders>
            <w:shd w:val="clear" w:color="auto" w:fill="auto"/>
          </w:tcPr>
          <w:p w:rsidR="00840B58" w:rsidRPr="00352AC6" w:rsidRDefault="00840B58" w:rsidP="00840B58">
            <w:r w:rsidRPr="00352AC6">
              <w:rPr>
                <w:noProof/>
              </w:rPr>
              <w:drawing>
                <wp:inline distT="0" distB="0" distL="0" distR="0" wp14:anchorId="263EF9AB" wp14:editId="58FCD21D">
                  <wp:extent cx="5400000" cy="360000"/>
                  <wp:effectExtent l="0" t="0" r="0" b="2540"/>
                  <wp:docPr id="1" name="Chart 1" descr="Figure 2.1 Population distribution, Australia, by age and sex, 30 June &#10;&#10;Legend to Figure   &#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693"/>
            </w:tblGrid>
            <w:tr w:rsidR="00840B58" w:rsidRPr="00352AC6" w:rsidTr="00840B58">
              <w:tc>
                <w:tcPr>
                  <w:tcW w:w="5000" w:type="pct"/>
                  <w:tcBorders>
                    <w:top w:val="nil"/>
                    <w:bottom w:val="nil"/>
                  </w:tcBorders>
                </w:tcPr>
                <w:tbl>
                  <w:tblPr>
                    <w:tblW w:w="5000" w:type="pct"/>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4243"/>
                    <w:gridCol w:w="4450"/>
                  </w:tblGrid>
                  <w:tr w:rsidR="00840B58" w:rsidRPr="00352AC6" w:rsidTr="00840B58">
                    <w:trPr>
                      <w:cantSplit/>
                    </w:trPr>
                    <w:tc>
                      <w:tcPr>
                        <w:tcW w:w="2446" w:type="pct"/>
                        <w:tcBorders>
                          <w:top w:val="nil"/>
                          <w:bottom w:val="nil"/>
                        </w:tcBorders>
                      </w:tcPr>
                      <w:p w:rsidR="00840B58" w:rsidRPr="00352AC6" w:rsidRDefault="00840B58" w:rsidP="00840B58">
                        <w:pPr>
                          <w:pStyle w:val="TableBodyText"/>
                          <w:tabs>
                            <w:tab w:val="center" w:pos="2399"/>
                          </w:tabs>
                          <w:spacing w:before="40"/>
                          <w:ind w:left="-11"/>
                          <w:jc w:val="center"/>
                          <w:rPr>
                            <w:b/>
                          </w:rPr>
                        </w:pPr>
                        <w:r w:rsidRPr="00352AC6">
                          <w:rPr>
                            <w:b/>
                          </w:rPr>
                          <w:t>All people (2013)</w:t>
                        </w:r>
                      </w:p>
                    </w:tc>
                    <w:tc>
                      <w:tcPr>
                        <w:tcW w:w="2554" w:type="pct"/>
                        <w:tcBorders>
                          <w:top w:val="nil"/>
                          <w:bottom w:val="nil"/>
                        </w:tcBorders>
                      </w:tcPr>
                      <w:p w:rsidR="00840B58" w:rsidRPr="00352AC6" w:rsidRDefault="00840B58" w:rsidP="00840B58">
                        <w:pPr>
                          <w:pStyle w:val="TableBodyText"/>
                          <w:tabs>
                            <w:tab w:val="center" w:pos="2405"/>
                          </w:tabs>
                          <w:spacing w:before="40"/>
                          <w:ind w:left="-4"/>
                          <w:jc w:val="center"/>
                          <w:rPr>
                            <w:b/>
                          </w:rPr>
                        </w:pPr>
                        <w:r w:rsidRPr="00352AC6">
                          <w:rPr>
                            <w:b/>
                          </w:rPr>
                          <w:t xml:space="preserve">Aboriginal and Torres Strait Islander </w:t>
                        </w:r>
                        <w:r w:rsidRPr="00352AC6">
                          <w:rPr>
                            <w:b/>
                          </w:rPr>
                          <w:br/>
                          <w:t>Australians (2011)</w:t>
                        </w:r>
                      </w:p>
                    </w:tc>
                  </w:tr>
                  <w:tr w:rsidR="00840B58" w:rsidRPr="00352AC6" w:rsidTr="00840B58">
                    <w:tblPrEx>
                      <w:tblCellMar>
                        <w:left w:w="108" w:type="dxa"/>
                        <w:right w:w="108" w:type="dxa"/>
                      </w:tblCellMar>
                    </w:tblPrEx>
                    <w:trPr>
                      <w:cantSplit/>
                      <w:trHeight w:val="3732"/>
                    </w:trPr>
                    <w:tc>
                      <w:tcPr>
                        <w:tcW w:w="2446" w:type="pct"/>
                        <w:tcBorders>
                          <w:top w:val="nil"/>
                          <w:bottom w:val="nil"/>
                        </w:tcBorders>
                      </w:tcPr>
                      <w:p w:rsidR="00840B58" w:rsidRPr="00352AC6" w:rsidRDefault="00840B58" w:rsidP="00840B58">
                        <w:pPr>
                          <w:pStyle w:val="Figure"/>
                          <w:spacing w:before="0" w:after="0"/>
                          <w:rPr>
                            <w:sz w:val="20"/>
                          </w:rPr>
                        </w:pPr>
                        <w:r w:rsidRPr="00352AC6">
                          <w:rPr>
                            <w:noProof/>
                          </w:rPr>
                          <w:drawing>
                            <wp:inline distT="0" distB="0" distL="0" distR="0" wp14:anchorId="761576D4" wp14:editId="307C8A1E">
                              <wp:extent cx="2636874" cy="2445488"/>
                              <wp:effectExtent l="0" t="0" r="0" b="0"/>
                              <wp:docPr id="2" name="Chart 2" descr="Figure 2.1 Population distribution, Australia, by age and sex, 30 June&#10;&#10;All peopl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554" w:type="pct"/>
                        <w:tcBorders>
                          <w:top w:val="nil"/>
                          <w:bottom w:val="nil"/>
                        </w:tcBorders>
                      </w:tcPr>
                      <w:p w:rsidR="00840B58" w:rsidRPr="00352AC6" w:rsidRDefault="00840B58" w:rsidP="00840B58">
                        <w:pPr>
                          <w:pStyle w:val="Figure"/>
                          <w:spacing w:before="0" w:after="0"/>
                          <w:rPr>
                            <w:sz w:val="20"/>
                          </w:rPr>
                        </w:pPr>
                        <w:r w:rsidRPr="00352AC6">
                          <w:rPr>
                            <w:noProof/>
                          </w:rPr>
                          <w:drawing>
                            <wp:inline distT="0" distB="0" distL="0" distR="0" wp14:anchorId="34CB7857" wp14:editId="7CD47A78">
                              <wp:extent cx="2772000" cy="2448000"/>
                              <wp:effectExtent l="0" t="0" r="0" b="0"/>
                              <wp:docPr id="4" name="Chart 4" descr="Figure 2.1 Population distribution, Australia, by age and sex, 30 June&#10;&#10;Aboriginal and Torres Strait Islander Australia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840B58" w:rsidRPr="00352AC6" w:rsidRDefault="00840B58" w:rsidP="00840B58">
                  <w:pPr>
                    <w:pStyle w:val="Figure"/>
                    <w:spacing w:before="60" w:after="60"/>
                  </w:pPr>
                </w:p>
              </w:tc>
            </w:tr>
          </w:tbl>
          <w:p w:rsidR="00840B58" w:rsidRPr="00352AC6" w:rsidRDefault="00840B58" w:rsidP="00840B58">
            <w:pPr>
              <w:pStyle w:val="Figure"/>
            </w:pPr>
          </w:p>
        </w:tc>
      </w:tr>
      <w:tr w:rsidR="00840B58" w:rsidRPr="00352AC6" w:rsidTr="00840B58">
        <w:tc>
          <w:tcPr>
            <w:tcW w:w="8909" w:type="dxa"/>
            <w:tcBorders>
              <w:top w:val="nil"/>
              <w:left w:val="nil"/>
              <w:bottom w:val="nil"/>
              <w:right w:val="nil"/>
            </w:tcBorders>
            <w:shd w:val="clear" w:color="auto" w:fill="auto"/>
          </w:tcPr>
          <w:p w:rsidR="00840B58" w:rsidRPr="00352AC6" w:rsidRDefault="00840B58" w:rsidP="00352AC6">
            <w:pPr>
              <w:pStyle w:val="Note"/>
            </w:pPr>
            <w:proofErr w:type="spellStart"/>
            <w:r w:rsidRPr="00352AC6">
              <w:rPr>
                <w:rStyle w:val="NoteLabel"/>
              </w:rPr>
              <w:t>a</w:t>
            </w:r>
            <w:proofErr w:type="spellEnd"/>
            <w:r w:rsidRPr="00352AC6">
              <w:t xml:space="preserve"> Includes other territories. </w:t>
            </w:r>
            <w:r w:rsidRPr="00352AC6">
              <w:rPr>
                <w:rStyle w:val="NoteLabel"/>
              </w:rPr>
              <w:t>b</w:t>
            </w:r>
            <w:r w:rsidRPr="00352AC6">
              <w:t xml:space="preserve"> Estimated Resident Population (ERP) data for 2013 are preliminary, based on the </w:t>
            </w:r>
            <w:r w:rsidRPr="00352AC6">
              <w:rPr>
                <w:i/>
              </w:rPr>
              <w:t>2011 Census of Population and Housing</w:t>
            </w:r>
            <w:r w:rsidRPr="00352AC6">
              <w:t xml:space="preserve">. Estimates of the Aboriginal and Torres Strait Islander populations at 30 June 2011 are final based on the </w:t>
            </w:r>
            <w:r w:rsidRPr="00352AC6">
              <w:rPr>
                <w:i/>
              </w:rPr>
              <w:t>2011 Census of Population and Housing</w:t>
            </w:r>
            <w:r w:rsidR="00352AC6" w:rsidRPr="00352AC6">
              <w:t>.</w:t>
            </w:r>
          </w:p>
        </w:tc>
      </w:tr>
      <w:tr w:rsidR="00840B58" w:rsidRPr="00352AC6" w:rsidTr="00840B58">
        <w:tc>
          <w:tcPr>
            <w:tcW w:w="8909" w:type="dxa"/>
            <w:tcBorders>
              <w:top w:val="nil"/>
              <w:left w:val="nil"/>
              <w:bottom w:val="nil"/>
              <w:right w:val="nil"/>
            </w:tcBorders>
            <w:shd w:val="clear" w:color="auto" w:fill="auto"/>
          </w:tcPr>
          <w:p w:rsidR="00840B58" w:rsidRPr="00352AC6" w:rsidRDefault="00840B58" w:rsidP="00D670B7">
            <w:pPr>
              <w:pStyle w:val="Source"/>
            </w:pPr>
            <w:r w:rsidRPr="00352AC6">
              <w:rPr>
                <w:i/>
              </w:rPr>
              <w:t>Source</w:t>
            </w:r>
            <w:r w:rsidRPr="00352AC6">
              <w:t xml:space="preserve">: ABS (Australian Bureau of Statistics) (2013) </w:t>
            </w:r>
            <w:r w:rsidRPr="00352AC6">
              <w:rPr>
                <w:i/>
              </w:rPr>
              <w:t>Australian Demographic Statistics, June 2013</w:t>
            </w:r>
            <w:r w:rsidRPr="00352AC6">
              <w:t xml:space="preserve">, Cat. no. 3101.0; ABS (2013) </w:t>
            </w:r>
            <w:r w:rsidRPr="00352AC6">
              <w:rPr>
                <w:i/>
              </w:rPr>
              <w:t>Estimates and Projections, Aboriginal and Torres Strait Islander Australians, 2001 to 2026</w:t>
            </w:r>
            <w:r w:rsidRPr="00352AC6">
              <w:t>, Cat. no</w:t>
            </w:r>
            <w:r w:rsidR="00D670B7" w:rsidRPr="00352AC6">
              <w:t xml:space="preserve">. 3238.0; table </w:t>
            </w:r>
            <w:proofErr w:type="spellStart"/>
            <w:r w:rsidR="00D670B7" w:rsidRPr="00352AC6">
              <w:t>2A.13</w:t>
            </w:r>
            <w:proofErr w:type="spellEnd"/>
            <w:r w:rsidR="00D670B7" w:rsidRPr="00352AC6">
              <w:t xml:space="preserve"> and 2015 Report, </w:t>
            </w:r>
            <w:proofErr w:type="spellStart"/>
            <w:r w:rsidR="00D670B7" w:rsidRPr="00352AC6">
              <w:t>2A.1</w:t>
            </w:r>
            <w:proofErr w:type="spellEnd"/>
            <w:r w:rsidR="00D670B7" w:rsidRPr="00352AC6">
              <w:t>; 2015 Report, figure 2.1, p. 2.3.</w:t>
            </w:r>
          </w:p>
        </w:tc>
      </w:tr>
      <w:tr w:rsidR="00840B58" w:rsidRPr="00352AC6" w:rsidTr="00840B58">
        <w:tc>
          <w:tcPr>
            <w:tcW w:w="8909" w:type="dxa"/>
            <w:tcBorders>
              <w:top w:val="nil"/>
              <w:left w:val="nil"/>
              <w:bottom w:val="single" w:sz="6" w:space="0" w:color="78A22F"/>
              <w:right w:val="nil"/>
            </w:tcBorders>
            <w:shd w:val="clear" w:color="auto" w:fill="auto"/>
          </w:tcPr>
          <w:p w:rsidR="00840B58" w:rsidRPr="00352AC6" w:rsidRDefault="00840B58" w:rsidP="00840B58">
            <w:pPr>
              <w:pStyle w:val="Figurespace"/>
            </w:pPr>
          </w:p>
        </w:tc>
      </w:tr>
      <w:tr w:rsidR="00840B58" w:rsidRPr="00352AC6" w:rsidTr="00840B58">
        <w:tc>
          <w:tcPr>
            <w:tcW w:w="8909" w:type="dxa"/>
            <w:tcBorders>
              <w:top w:val="single" w:sz="6" w:space="0" w:color="78A22F"/>
              <w:left w:val="nil"/>
              <w:bottom w:val="nil"/>
              <w:right w:val="nil"/>
            </w:tcBorders>
          </w:tcPr>
          <w:p w:rsidR="00840B58" w:rsidRPr="00352AC6" w:rsidRDefault="00840B58" w:rsidP="00840B58">
            <w:pPr>
              <w:pStyle w:val="BoxSpaceBelow"/>
            </w:pPr>
          </w:p>
        </w:tc>
      </w:tr>
    </w:tbl>
    <w:p w:rsidR="00840B58" w:rsidRPr="00352AC6" w:rsidRDefault="00840B58" w:rsidP="00DC2A21">
      <w:pPr>
        <w:pStyle w:val="Heading3"/>
      </w:pPr>
      <w:bookmarkStart w:id="19" w:name="_Toc333919858"/>
      <w:bookmarkStart w:id="20" w:name="_Toc368582231"/>
      <w:bookmarkStart w:id="21" w:name="_Toc370136012"/>
      <w:bookmarkStart w:id="22" w:name="_Toc410121177"/>
      <w:bookmarkStart w:id="23" w:name="_Toc410121193"/>
      <w:r w:rsidRPr="00352AC6">
        <w:t>Population, by ethnicity and proficiency in English</w:t>
      </w:r>
      <w:bookmarkEnd w:id="19"/>
      <w:bookmarkEnd w:id="20"/>
      <w:bookmarkEnd w:id="21"/>
      <w:bookmarkEnd w:id="22"/>
      <w:bookmarkEnd w:id="23"/>
    </w:p>
    <w:p w:rsidR="00840B58" w:rsidRPr="00352AC6" w:rsidRDefault="00840B58" w:rsidP="0026602B">
      <w:pPr>
        <w:pStyle w:val="BodyText"/>
      </w:pPr>
      <w:r w:rsidRPr="00352AC6">
        <w:t xml:space="preserve">In the NT, 16.3 per cent of people spoke an Aboriginal and Torres Strait Islander language at home (table </w:t>
      </w:r>
      <w:proofErr w:type="spellStart"/>
      <w:r w:rsidRPr="00352AC6">
        <w:t>2A.11</w:t>
      </w:r>
      <w:proofErr w:type="spellEnd"/>
      <w:r w:rsidRPr="00352AC6">
        <w:t>).</w:t>
      </w:r>
    </w:p>
    <w:p w:rsidR="00840B58" w:rsidRPr="00352AC6" w:rsidRDefault="00840B58" w:rsidP="00DC2A21">
      <w:pPr>
        <w:pStyle w:val="Heading3"/>
      </w:pPr>
      <w:bookmarkStart w:id="24" w:name="_Toc333919860"/>
      <w:bookmarkStart w:id="25" w:name="_Toc368582233"/>
      <w:bookmarkStart w:id="26" w:name="_Toc370136014"/>
      <w:bookmarkStart w:id="27" w:name="_Toc410121178"/>
      <w:bookmarkStart w:id="28" w:name="_Toc410121194"/>
      <w:r w:rsidRPr="00352AC6">
        <w:t>Aboriginal and Torres Strait Islander population profile</w:t>
      </w:r>
      <w:bookmarkEnd w:id="24"/>
      <w:bookmarkEnd w:id="25"/>
      <w:bookmarkEnd w:id="26"/>
      <w:bookmarkEnd w:id="27"/>
      <w:bookmarkEnd w:id="28"/>
    </w:p>
    <w:p w:rsidR="00840B58" w:rsidRPr="00352AC6" w:rsidRDefault="00840B58" w:rsidP="0026602B">
      <w:pPr>
        <w:pStyle w:val="BodyText"/>
      </w:pPr>
      <w:r w:rsidRPr="00352AC6">
        <w:t>There were an estimated 669</w:t>
      </w:r>
      <w:r w:rsidR="00352AC6" w:rsidRPr="00352AC6">
        <w:t> </w:t>
      </w:r>
      <w:r w:rsidRPr="00352AC6">
        <w:t xml:space="preserve">881 Aboriginal and Torres Strait Islander people </w:t>
      </w:r>
      <w:r w:rsidRPr="00352AC6">
        <w:br/>
        <w:t>(336</w:t>
      </w:r>
      <w:r w:rsidR="00352AC6" w:rsidRPr="00352AC6">
        <w:t> </w:t>
      </w:r>
      <w:r w:rsidRPr="00352AC6">
        <w:t>198 females and 333</w:t>
      </w:r>
      <w:r w:rsidR="00352AC6" w:rsidRPr="00352AC6">
        <w:t> </w:t>
      </w:r>
      <w:r w:rsidRPr="00352AC6">
        <w:t xml:space="preserve">683 males) in Australia at 30 June 2011, accounting for approximately 3.0 per cent of the total Australian population in 2011 (tables </w:t>
      </w:r>
      <w:proofErr w:type="spellStart"/>
      <w:r w:rsidRPr="00352AC6">
        <w:t>2A.1</w:t>
      </w:r>
      <w:r w:rsidR="003240FD" w:rsidRPr="00352AC6">
        <w:t>3</w:t>
      </w:r>
      <w:proofErr w:type="spellEnd"/>
      <w:r w:rsidRPr="00352AC6">
        <w:t xml:space="preserve"> and </w:t>
      </w:r>
      <w:r w:rsidR="003240FD" w:rsidRPr="00352AC6">
        <w:t xml:space="preserve">2015 Report, table </w:t>
      </w:r>
      <w:proofErr w:type="spellStart"/>
      <w:r w:rsidRPr="00352AC6">
        <w:t>2A.13</w:t>
      </w:r>
      <w:proofErr w:type="spellEnd"/>
      <w:r w:rsidRPr="00352AC6">
        <w:t xml:space="preserve">). The proportion of people who identified as Aboriginal and </w:t>
      </w:r>
      <w:r w:rsidRPr="00352AC6">
        <w:lastRenderedPageBreak/>
        <w:t>Torres Strait Islander Australians was significantly higher in the NT (29.8 per cent) than in any other jurisdiction.</w:t>
      </w:r>
      <w:r w:rsidRPr="00352AC6">
        <w:rPr>
          <w:shd w:val="clear" w:color="auto" w:fill="FCFCFC" w:themeFill="accent4" w:themeFillTint="33"/>
        </w:rPr>
        <w:t xml:space="preserve"> </w:t>
      </w:r>
      <w:r w:rsidRPr="00352AC6">
        <w:t>Across the other jurisdictions, the</w:t>
      </w:r>
      <w:r w:rsidR="0093294B">
        <w:t xml:space="preserve"> proportion ranged from 4.7 per </w:t>
      </w:r>
      <w:r w:rsidRPr="00352AC6">
        <w:t xml:space="preserve">cent in Tasmania to </w:t>
      </w:r>
      <w:r w:rsidRPr="00352AC6">
        <w:rPr>
          <w:shd w:val="clear" w:color="auto" w:fill="FCFCFC" w:themeFill="accent4" w:themeFillTint="33"/>
        </w:rPr>
        <w:t>0.9</w:t>
      </w:r>
      <w:r w:rsidRPr="00352AC6">
        <w:t xml:space="preserve"> per cent in Victoria (figure 2.</w:t>
      </w:r>
      <w:r w:rsidR="003240FD" w:rsidRPr="00352AC6">
        <w:t>2</w:t>
      </w:r>
      <w:r w:rsidRPr="00352AC6">
        <w:t>). Nationally, the Aboriginal and Torres Strait Islander population is projected to grow to 924</w:t>
      </w:r>
      <w:r w:rsidR="00352AC6" w:rsidRPr="00352AC6">
        <w:t> </w:t>
      </w:r>
      <w:r w:rsidRPr="00352AC6">
        <w:t xml:space="preserve">953 people in 2026 </w:t>
      </w:r>
      <w:r w:rsidR="003240FD" w:rsidRPr="00352AC6">
        <w:br/>
      </w:r>
      <w:r w:rsidRPr="00352AC6">
        <w:t xml:space="preserve">(table </w:t>
      </w:r>
      <w:proofErr w:type="spellStart"/>
      <w:r w:rsidRPr="00352AC6">
        <w:t>2A.14</w:t>
      </w:r>
      <w:proofErr w:type="spellEnd"/>
      <w:r w:rsidRPr="00352AC6">
        <w:t>).</w:t>
      </w:r>
    </w:p>
    <w:p w:rsidR="00840B58" w:rsidRPr="00352AC6" w:rsidRDefault="00840B58" w:rsidP="0026602B">
      <w:pPr>
        <w:pStyle w:val="BodyText"/>
      </w:pPr>
      <w:r w:rsidRPr="00352AC6">
        <w:t xml:space="preserve">The majority of Aboriginal and Torres Strait Islander people (82.8 per cent) at August 2011 spoke only English at home, while a further 9.0 per cent spoke an Aboriginal and Torres Strait Islander language and also spoke English very well or well. However, </w:t>
      </w:r>
      <w:r w:rsidRPr="00352AC6">
        <w:br/>
        <w:t xml:space="preserve">1.8 per cent did not speak English well or at all (up to 12.1 per cent in the NT) </w:t>
      </w:r>
      <w:r w:rsidRPr="00352AC6">
        <w:br/>
        <w:t xml:space="preserve">(table </w:t>
      </w:r>
      <w:proofErr w:type="spellStart"/>
      <w:r w:rsidRPr="00352AC6">
        <w:t>2A.17</w:t>
      </w:r>
      <w:proofErr w:type="spellEnd"/>
      <w:r w:rsidRPr="00352AC6">
        <w:t>).</w:t>
      </w:r>
    </w:p>
    <w:p w:rsidR="00840B58" w:rsidRPr="00352AC6"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840B58" w:rsidRPr="00352AC6" w:rsidTr="00840B58">
        <w:tc>
          <w:tcPr>
            <w:tcW w:w="8774" w:type="dxa"/>
            <w:tcBorders>
              <w:top w:val="single" w:sz="6" w:space="0" w:color="78A22F"/>
              <w:left w:val="nil"/>
              <w:bottom w:val="nil"/>
              <w:right w:val="nil"/>
            </w:tcBorders>
            <w:shd w:val="clear" w:color="auto" w:fill="auto"/>
          </w:tcPr>
          <w:p w:rsidR="00840B58" w:rsidRPr="00352AC6" w:rsidRDefault="00840B58" w:rsidP="003240FD">
            <w:pPr>
              <w:pStyle w:val="FigureTitle"/>
            </w:pPr>
            <w:r w:rsidRPr="00352AC6">
              <w:rPr>
                <w:b w:val="0"/>
              </w:rPr>
              <w:t>Figure 2</w:t>
            </w:r>
            <w:r w:rsidR="003240FD" w:rsidRPr="00352AC6">
              <w:rPr>
                <w:b w:val="0"/>
              </w:rPr>
              <w:t>.2</w:t>
            </w:r>
            <w:r w:rsidRPr="00352AC6">
              <w:tab/>
              <w:t>Aboriginal and Torres Strait Islander people as a proportion of the population, 30 June 2011</w:t>
            </w:r>
            <w:r w:rsidRPr="00352AC6">
              <w:rPr>
                <w:rStyle w:val="NoteLabel"/>
                <w:b/>
              </w:rPr>
              <w:t>a, b</w:t>
            </w:r>
          </w:p>
        </w:tc>
      </w:tr>
      <w:tr w:rsidR="00840B58" w:rsidRPr="00352AC6" w:rsidTr="00840B58">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840B58" w:rsidRPr="00352AC6" w:rsidTr="00840B58">
              <w:tc>
                <w:tcPr>
                  <w:tcW w:w="5000" w:type="pct"/>
                  <w:tcBorders>
                    <w:top w:val="nil"/>
                    <w:bottom w:val="nil"/>
                  </w:tcBorders>
                  <w:shd w:val="clear" w:color="auto" w:fill="FCFCFC" w:themeFill="accent4" w:themeFillTint="33"/>
                </w:tcPr>
                <w:p w:rsidR="00840B58" w:rsidRPr="00352AC6" w:rsidRDefault="00840B58" w:rsidP="00840B58">
                  <w:pPr>
                    <w:pStyle w:val="Figure"/>
                    <w:spacing w:before="60" w:after="60"/>
                  </w:pPr>
                  <w:r w:rsidRPr="00352AC6">
                    <w:rPr>
                      <w:noProof/>
                    </w:rPr>
                    <w:drawing>
                      <wp:inline distT="0" distB="0" distL="0" distR="0" wp14:anchorId="7E28B53B" wp14:editId="7ABD8F31">
                        <wp:extent cx="5390515" cy="2700655"/>
                        <wp:effectExtent l="0" t="0" r="635" b="4445"/>
                        <wp:docPr id="8" name="Picture 8" descr="Figure 2.5 Aboriginal and Torres Strait Islander people as a proportion of the population, 30 Jun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840B58" w:rsidRPr="00352AC6" w:rsidRDefault="00840B58" w:rsidP="00840B58">
            <w:pPr>
              <w:pStyle w:val="Figure"/>
            </w:pPr>
          </w:p>
        </w:tc>
      </w:tr>
      <w:tr w:rsidR="00840B58" w:rsidRPr="00352AC6" w:rsidTr="00840B58">
        <w:tc>
          <w:tcPr>
            <w:tcW w:w="8774" w:type="dxa"/>
            <w:tcBorders>
              <w:top w:val="nil"/>
              <w:left w:val="nil"/>
              <w:bottom w:val="nil"/>
              <w:right w:val="nil"/>
            </w:tcBorders>
            <w:shd w:val="clear" w:color="auto" w:fill="auto"/>
          </w:tcPr>
          <w:p w:rsidR="00840B58" w:rsidRPr="00352AC6" w:rsidRDefault="00840B58" w:rsidP="00840B58">
            <w:pPr>
              <w:pStyle w:val="Note"/>
            </w:pPr>
            <w:proofErr w:type="spellStart"/>
            <w:r w:rsidRPr="00352AC6">
              <w:rPr>
                <w:rStyle w:val="NoteLabel"/>
              </w:rPr>
              <w:t>a</w:t>
            </w:r>
            <w:proofErr w:type="spellEnd"/>
            <w:r w:rsidRPr="00352AC6">
              <w:t xml:space="preserve"> </w:t>
            </w:r>
            <w:r w:rsidRPr="00352AC6">
              <w:rPr>
                <w:shd w:val="clear" w:color="auto" w:fill="FCFCFC" w:themeFill="accent4" w:themeFillTint="33"/>
              </w:rPr>
              <w:t>Includes other territories.</w:t>
            </w:r>
            <w:r w:rsidRPr="00352AC6">
              <w:t xml:space="preserve"> </w:t>
            </w:r>
            <w:r w:rsidRPr="00352AC6">
              <w:rPr>
                <w:rStyle w:val="NoteLabel"/>
              </w:rPr>
              <w:t>b</w:t>
            </w:r>
            <w:r w:rsidRPr="00352AC6">
              <w:t xml:space="preserve"> </w:t>
            </w:r>
            <w:r w:rsidRPr="00352AC6">
              <w:rPr>
                <w:shd w:val="clear" w:color="auto" w:fill="FCFCFC" w:themeFill="accent4" w:themeFillTint="33"/>
              </w:rPr>
              <w:t xml:space="preserve">ERP data for 2011 are final, based on the </w:t>
            </w:r>
            <w:r w:rsidRPr="00352AC6">
              <w:rPr>
                <w:i/>
                <w:shd w:val="clear" w:color="auto" w:fill="FCFCFC" w:themeFill="accent4" w:themeFillTint="33"/>
              </w:rPr>
              <w:t>2011 Census of Population and Housing</w:t>
            </w:r>
            <w:r w:rsidRPr="00352AC6">
              <w:rPr>
                <w:shd w:val="clear" w:color="auto" w:fill="FCFCFC" w:themeFill="accent4" w:themeFillTint="33"/>
              </w:rPr>
              <w:t xml:space="preserve">. Estimates of the </w:t>
            </w:r>
            <w:r w:rsidRPr="00352AC6">
              <w:t>Aboriginal and Torres Strait Islander populations</w:t>
            </w:r>
            <w:r w:rsidRPr="00352AC6">
              <w:rPr>
                <w:shd w:val="clear" w:color="auto" w:fill="FCFCFC" w:themeFill="accent4" w:themeFillTint="33"/>
              </w:rPr>
              <w:t xml:space="preserve"> at 30 June 2011 are final based on the </w:t>
            </w:r>
            <w:r w:rsidRPr="00352AC6">
              <w:rPr>
                <w:i/>
                <w:shd w:val="clear" w:color="auto" w:fill="FCFCFC" w:themeFill="accent4" w:themeFillTint="33"/>
              </w:rPr>
              <w:t>2011 Census of Population and Housing</w:t>
            </w:r>
            <w:r w:rsidRPr="00352AC6">
              <w:rPr>
                <w:shd w:val="clear" w:color="auto" w:fill="FCFCFC" w:themeFill="accent4" w:themeFillTint="33"/>
              </w:rPr>
              <w:t>.</w:t>
            </w:r>
          </w:p>
        </w:tc>
      </w:tr>
      <w:tr w:rsidR="00840B58" w:rsidRPr="00352AC6" w:rsidTr="00840B58">
        <w:tc>
          <w:tcPr>
            <w:tcW w:w="8774" w:type="dxa"/>
            <w:tcBorders>
              <w:top w:val="nil"/>
              <w:left w:val="nil"/>
              <w:bottom w:val="nil"/>
              <w:right w:val="nil"/>
            </w:tcBorders>
            <w:shd w:val="clear" w:color="auto" w:fill="auto"/>
          </w:tcPr>
          <w:p w:rsidR="00840B58" w:rsidRPr="00352AC6" w:rsidRDefault="00840B58" w:rsidP="003240FD">
            <w:pPr>
              <w:pStyle w:val="Source"/>
            </w:pPr>
            <w:r w:rsidRPr="00352AC6">
              <w:rPr>
                <w:i/>
              </w:rPr>
              <w:t>Source</w:t>
            </w:r>
            <w:r w:rsidRPr="00352AC6">
              <w:t xml:space="preserve">: ABS (2013) </w:t>
            </w:r>
            <w:r w:rsidRPr="00352AC6">
              <w:rPr>
                <w:i/>
              </w:rPr>
              <w:t>Australian Demographic Statistics, June 2013</w:t>
            </w:r>
            <w:r w:rsidRPr="00352AC6">
              <w:t xml:space="preserve">, Cat. no. 3101.0; ABS (2013) </w:t>
            </w:r>
            <w:r w:rsidRPr="00352AC6">
              <w:rPr>
                <w:i/>
              </w:rPr>
              <w:t>Estimates and Projections, Aboriginal and Torres Strait Islander Australians, 2001 to 2026</w:t>
            </w:r>
            <w:r w:rsidRPr="00352AC6">
              <w:t xml:space="preserve">, Cat. no. 3238.0; </w:t>
            </w:r>
            <w:r w:rsidRPr="00352AC6">
              <w:br/>
            </w:r>
            <w:r w:rsidR="003240FD" w:rsidRPr="00352AC6">
              <w:t xml:space="preserve">table </w:t>
            </w:r>
            <w:proofErr w:type="spellStart"/>
            <w:r w:rsidR="003240FD" w:rsidRPr="00352AC6">
              <w:t>2A.13</w:t>
            </w:r>
            <w:proofErr w:type="spellEnd"/>
            <w:r w:rsidR="003240FD" w:rsidRPr="00352AC6">
              <w:t xml:space="preserve"> and 2015 Report, </w:t>
            </w:r>
            <w:proofErr w:type="spellStart"/>
            <w:r w:rsidR="003240FD" w:rsidRPr="00352AC6">
              <w:t>2A.1</w:t>
            </w:r>
            <w:proofErr w:type="spellEnd"/>
            <w:r w:rsidR="003240FD" w:rsidRPr="00352AC6">
              <w:t>; 2015 Report, figure 2.5, p. 2.6.</w:t>
            </w:r>
          </w:p>
        </w:tc>
      </w:tr>
      <w:tr w:rsidR="00840B58" w:rsidRPr="00352AC6" w:rsidTr="00840B58">
        <w:tc>
          <w:tcPr>
            <w:tcW w:w="8774" w:type="dxa"/>
            <w:tcBorders>
              <w:top w:val="nil"/>
              <w:left w:val="nil"/>
              <w:bottom w:val="single" w:sz="6" w:space="0" w:color="78A22F"/>
              <w:right w:val="nil"/>
            </w:tcBorders>
            <w:shd w:val="clear" w:color="auto" w:fill="auto"/>
          </w:tcPr>
          <w:p w:rsidR="00840B58" w:rsidRPr="00352AC6" w:rsidRDefault="00840B58" w:rsidP="00840B58">
            <w:pPr>
              <w:pStyle w:val="Figurespace"/>
            </w:pPr>
          </w:p>
        </w:tc>
      </w:tr>
      <w:tr w:rsidR="00840B58" w:rsidRPr="00352AC6" w:rsidTr="00840B58">
        <w:tc>
          <w:tcPr>
            <w:tcW w:w="8774" w:type="dxa"/>
            <w:tcBorders>
              <w:top w:val="single" w:sz="6" w:space="0" w:color="78A22F"/>
              <w:left w:val="nil"/>
              <w:bottom w:val="nil"/>
              <w:right w:val="nil"/>
            </w:tcBorders>
          </w:tcPr>
          <w:p w:rsidR="00840B58" w:rsidRPr="00352AC6" w:rsidRDefault="00840B58" w:rsidP="00840B58">
            <w:pPr>
              <w:pStyle w:val="BoxSpaceBelow"/>
            </w:pPr>
          </w:p>
        </w:tc>
      </w:tr>
    </w:tbl>
    <w:p w:rsidR="00840B58" w:rsidRPr="00352AC6" w:rsidRDefault="00840B58" w:rsidP="00DC2A21">
      <w:pPr>
        <w:pStyle w:val="Heading3"/>
      </w:pPr>
      <w:bookmarkStart w:id="29" w:name="_Toc333919865"/>
      <w:bookmarkStart w:id="30" w:name="_Toc368582238"/>
      <w:bookmarkStart w:id="31" w:name="_Toc370136019"/>
      <w:bookmarkStart w:id="32" w:name="_Toc410121179"/>
      <w:bookmarkStart w:id="33" w:name="_Toc410121195"/>
      <w:r w:rsidRPr="00352AC6">
        <w:t>Income</w:t>
      </w:r>
      <w:bookmarkEnd w:id="29"/>
      <w:bookmarkEnd w:id="30"/>
      <w:bookmarkEnd w:id="31"/>
      <w:bookmarkEnd w:id="32"/>
      <w:bookmarkEnd w:id="33"/>
    </w:p>
    <w:p w:rsidR="00840B58" w:rsidRPr="00C62CF3" w:rsidRDefault="00840B58" w:rsidP="0026602B">
      <w:pPr>
        <w:pStyle w:val="BodyText"/>
      </w:pPr>
      <w:r w:rsidRPr="00352AC6">
        <w:t>Nationally in August 2011, 25.9 per cent of people aged 15 years or over had a relatively low weekly individual income of $299 or less (</w:t>
      </w:r>
      <w:r w:rsidR="003240FD" w:rsidRPr="00352AC6">
        <w:t xml:space="preserve">2015 Report, </w:t>
      </w:r>
      <w:r w:rsidRPr="00352AC6">
        <w:t xml:space="preserve">table </w:t>
      </w:r>
      <w:proofErr w:type="spellStart"/>
      <w:r w:rsidRPr="00352AC6">
        <w:t>2A.31</w:t>
      </w:r>
      <w:proofErr w:type="spellEnd"/>
      <w:r w:rsidRPr="00352AC6">
        <w:t xml:space="preserve">). The proportion was around three times higher for younger people (74.8 per cent for people aged </w:t>
      </w:r>
      <w:r w:rsidR="00352AC6" w:rsidRPr="00352AC6">
        <w:br/>
      </w:r>
      <w:r w:rsidRPr="00C62CF3">
        <w:t>15–19 years) and Aboriginal and Torres Strait Islander Australians (37.2 per cent), s</w:t>
      </w:r>
      <w:r w:rsidR="003240FD" w:rsidRPr="00C62CF3">
        <w:t xml:space="preserve">imilar </w:t>
      </w:r>
      <w:r w:rsidR="003240FD" w:rsidRPr="00C62CF3">
        <w:lastRenderedPageBreak/>
        <w:t xml:space="preserve">for females </w:t>
      </w:r>
      <w:r w:rsidRPr="00C62CF3">
        <w:t xml:space="preserve">(30.4 per cent) and lower for older people (20.7 per cent for people aged </w:t>
      </w:r>
      <w:r w:rsidR="00352AC6" w:rsidRPr="00C62CF3">
        <w:br/>
      </w:r>
      <w:r w:rsidRPr="00C62CF3">
        <w:t>85 years or over) (figure 2</w:t>
      </w:r>
      <w:r w:rsidR="003240FD" w:rsidRPr="00C62CF3">
        <w:t>.3</w:t>
      </w:r>
      <w:r w:rsidRPr="00C62CF3">
        <w:t>).</w:t>
      </w:r>
    </w:p>
    <w:p w:rsidR="00840B58" w:rsidRPr="00C62CF3"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840B58" w:rsidRPr="00C62CF3" w:rsidTr="00840B58">
        <w:tc>
          <w:tcPr>
            <w:tcW w:w="8771" w:type="dxa"/>
            <w:tcBorders>
              <w:top w:val="single" w:sz="6" w:space="0" w:color="78A22F"/>
              <w:left w:val="nil"/>
              <w:bottom w:val="nil"/>
              <w:right w:val="nil"/>
            </w:tcBorders>
            <w:shd w:val="clear" w:color="auto" w:fill="auto"/>
          </w:tcPr>
          <w:p w:rsidR="00840B58" w:rsidRPr="00C62CF3" w:rsidRDefault="00840B58" w:rsidP="003240FD">
            <w:pPr>
              <w:pStyle w:val="FigureTitle"/>
            </w:pPr>
            <w:r w:rsidRPr="00C62CF3">
              <w:rPr>
                <w:b w:val="0"/>
              </w:rPr>
              <w:t>Figure 2</w:t>
            </w:r>
            <w:r w:rsidR="003240FD" w:rsidRPr="00C62CF3">
              <w:rPr>
                <w:b w:val="0"/>
              </w:rPr>
              <w:t>.3</w:t>
            </w:r>
            <w:r w:rsidRPr="00C62CF3">
              <w:tab/>
              <w:t>Weekly individual income of $299 or less, by sex, Indigenous status and age, 2011</w:t>
            </w:r>
            <w:r w:rsidRPr="00C62CF3">
              <w:rPr>
                <w:position w:val="6"/>
                <w:sz w:val="18"/>
              </w:rPr>
              <w:t>a</w:t>
            </w:r>
          </w:p>
        </w:tc>
      </w:tr>
      <w:tr w:rsidR="00840B58" w:rsidRPr="00C62CF3" w:rsidTr="00840B5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840B58" w:rsidRPr="00C62CF3" w:rsidTr="00840B58">
              <w:tc>
                <w:tcPr>
                  <w:tcW w:w="5000" w:type="pct"/>
                  <w:tcBorders>
                    <w:top w:val="nil"/>
                    <w:bottom w:val="nil"/>
                  </w:tcBorders>
                </w:tcPr>
                <w:p w:rsidR="00840B58" w:rsidRPr="00C62CF3" w:rsidRDefault="00122DBD" w:rsidP="00840B58">
                  <w:pPr>
                    <w:pStyle w:val="Figure"/>
                    <w:spacing w:before="60" w:after="60"/>
                  </w:pPr>
                  <w:r>
                    <w:rPr>
                      <w:noProof/>
                    </w:rPr>
                    <w:drawing>
                      <wp:inline distT="0" distB="0" distL="0" distR="0">
                        <wp:extent cx="5390515" cy="2700655"/>
                        <wp:effectExtent l="0" t="0" r="635" b="4445"/>
                        <wp:docPr id="3" name="Picture 3" descr="Figure 2.3 Weekly individual income of $299 or less, by sex, Indigenous status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840B58" w:rsidRPr="00C62CF3" w:rsidRDefault="00840B58" w:rsidP="00840B58">
            <w:pPr>
              <w:pStyle w:val="Figure"/>
            </w:pPr>
          </w:p>
        </w:tc>
      </w:tr>
      <w:tr w:rsidR="00840B58" w:rsidRPr="00C62CF3" w:rsidTr="00840B58">
        <w:tc>
          <w:tcPr>
            <w:tcW w:w="8771" w:type="dxa"/>
            <w:tcBorders>
              <w:top w:val="nil"/>
              <w:left w:val="nil"/>
              <w:bottom w:val="nil"/>
              <w:right w:val="nil"/>
            </w:tcBorders>
            <w:shd w:val="clear" w:color="auto" w:fill="auto"/>
          </w:tcPr>
          <w:p w:rsidR="00840B58" w:rsidRPr="00C62CF3" w:rsidRDefault="00840B58" w:rsidP="00840B58">
            <w:pPr>
              <w:pStyle w:val="Note"/>
            </w:pPr>
            <w:r w:rsidRPr="00C62CF3">
              <w:rPr>
                <w:rStyle w:val="NoteLabel"/>
              </w:rPr>
              <w:t>a</w:t>
            </w:r>
            <w:r w:rsidRPr="00C62CF3">
              <w:t xml:space="preserve"> ‘Australia’ includes other territories.</w:t>
            </w:r>
          </w:p>
        </w:tc>
      </w:tr>
      <w:tr w:rsidR="00840B58" w:rsidRPr="00C62CF3" w:rsidTr="00840B58">
        <w:tc>
          <w:tcPr>
            <w:tcW w:w="8771" w:type="dxa"/>
            <w:tcBorders>
              <w:top w:val="nil"/>
              <w:left w:val="nil"/>
              <w:bottom w:val="nil"/>
              <w:right w:val="nil"/>
            </w:tcBorders>
            <w:shd w:val="clear" w:color="auto" w:fill="auto"/>
          </w:tcPr>
          <w:p w:rsidR="00840B58" w:rsidRPr="00C62CF3" w:rsidRDefault="00840B58" w:rsidP="003240FD">
            <w:pPr>
              <w:pStyle w:val="Source"/>
            </w:pPr>
            <w:r w:rsidRPr="00C62CF3">
              <w:rPr>
                <w:i/>
              </w:rPr>
              <w:t>Source</w:t>
            </w:r>
            <w:r w:rsidRPr="00C62CF3">
              <w:t xml:space="preserve">: ABS (2012) </w:t>
            </w:r>
            <w:r w:rsidRPr="00C62CF3">
              <w:rPr>
                <w:i/>
              </w:rPr>
              <w:t>2011 Census of Population and Housing</w:t>
            </w:r>
            <w:r w:rsidRPr="00C62CF3">
              <w:t>,</w:t>
            </w:r>
            <w:r w:rsidRPr="00C62CF3">
              <w:rPr>
                <w:i/>
              </w:rPr>
              <w:t xml:space="preserve"> Australia, States and Territories, Basic Community Profile, Table </w:t>
            </w:r>
            <w:proofErr w:type="spellStart"/>
            <w:r w:rsidRPr="00C62CF3">
              <w:rPr>
                <w:i/>
              </w:rPr>
              <w:t>B17</w:t>
            </w:r>
            <w:proofErr w:type="spellEnd"/>
            <w:r w:rsidRPr="00C62CF3">
              <w:rPr>
                <w:i/>
              </w:rPr>
              <w:t xml:space="preserve"> — Total personal income (weekly) by age by sex</w:t>
            </w:r>
            <w:r w:rsidRPr="00C62CF3">
              <w:t xml:space="preserve">, Cat. no. 2001.0, Canberra; ABS (unpublished) </w:t>
            </w:r>
            <w:r w:rsidRPr="00C62CF3">
              <w:rPr>
                <w:i/>
              </w:rPr>
              <w:t>2011 Census of Population and Housing</w:t>
            </w:r>
            <w:r w:rsidRPr="00C62CF3">
              <w:t>,</w:t>
            </w:r>
            <w:r w:rsidRPr="00C62CF3">
              <w:rPr>
                <w:i/>
              </w:rPr>
              <w:t xml:space="preserve"> Australia</w:t>
            </w:r>
            <w:r w:rsidRPr="00C62CF3">
              <w:t>, Table generated on 3/10/201</w:t>
            </w:r>
            <w:r w:rsidR="003240FD" w:rsidRPr="00C62CF3">
              <w:t xml:space="preserve">2 using ABS </w:t>
            </w:r>
            <w:proofErr w:type="spellStart"/>
            <w:r w:rsidR="003240FD" w:rsidRPr="00C62CF3">
              <w:t>TableBulider</w:t>
            </w:r>
            <w:proofErr w:type="spellEnd"/>
            <w:r w:rsidR="003240FD" w:rsidRPr="00C62CF3">
              <w:t xml:space="preserve">; table </w:t>
            </w:r>
            <w:proofErr w:type="spellStart"/>
            <w:r w:rsidR="003240FD" w:rsidRPr="00C62CF3">
              <w:t>2A.34</w:t>
            </w:r>
            <w:proofErr w:type="spellEnd"/>
            <w:r w:rsidR="003240FD" w:rsidRPr="00C62CF3">
              <w:t xml:space="preserve"> and 2015 Report, tables </w:t>
            </w:r>
            <w:proofErr w:type="spellStart"/>
            <w:r w:rsidR="003240FD" w:rsidRPr="00C62CF3">
              <w:t>2A.31</w:t>
            </w:r>
            <w:proofErr w:type="spellEnd"/>
            <w:r w:rsidRPr="00C62CF3">
              <w:t xml:space="preserve"> and </w:t>
            </w:r>
            <w:proofErr w:type="spellStart"/>
            <w:r w:rsidRPr="00C62CF3">
              <w:t>2A.37</w:t>
            </w:r>
            <w:proofErr w:type="spellEnd"/>
            <w:r w:rsidR="003240FD" w:rsidRPr="00C62CF3">
              <w:t>; 2015 Report, figure 2.8, p. 2.10.</w:t>
            </w:r>
          </w:p>
        </w:tc>
      </w:tr>
      <w:tr w:rsidR="00840B58" w:rsidRPr="00C62CF3" w:rsidTr="00840B58">
        <w:tc>
          <w:tcPr>
            <w:tcW w:w="8771" w:type="dxa"/>
            <w:tcBorders>
              <w:top w:val="nil"/>
              <w:left w:val="nil"/>
              <w:bottom w:val="single" w:sz="6" w:space="0" w:color="78A22F"/>
              <w:right w:val="nil"/>
            </w:tcBorders>
            <w:shd w:val="clear" w:color="auto" w:fill="auto"/>
          </w:tcPr>
          <w:p w:rsidR="00840B58" w:rsidRPr="00C62CF3" w:rsidRDefault="00840B58" w:rsidP="00840B58">
            <w:pPr>
              <w:pStyle w:val="Figurespace"/>
            </w:pPr>
          </w:p>
        </w:tc>
      </w:tr>
      <w:tr w:rsidR="00840B58" w:rsidRPr="00C62CF3" w:rsidTr="00840B58">
        <w:tc>
          <w:tcPr>
            <w:tcW w:w="8771" w:type="dxa"/>
            <w:tcBorders>
              <w:top w:val="single" w:sz="6" w:space="0" w:color="78A22F"/>
              <w:left w:val="nil"/>
              <w:bottom w:val="nil"/>
              <w:right w:val="nil"/>
            </w:tcBorders>
          </w:tcPr>
          <w:p w:rsidR="00840B58" w:rsidRPr="00C62CF3" w:rsidRDefault="00840B58" w:rsidP="00840B58">
            <w:pPr>
              <w:pStyle w:val="BoxSpaceBelow"/>
            </w:pPr>
          </w:p>
        </w:tc>
      </w:tr>
    </w:tbl>
    <w:p w:rsidR="00840B58" w:rsidRPr="00C62CF3" w:rsidRDefault="00840B58" w:rsidP="00DC2A21">
      <w:pPr>
        <w:pStyle w:val="Heading3"/>
      </w:pPr>
      <w:bookmarkStart w:id="34" w:name="_Toc333919866"/>
      <w:bookmarkStart w:id="35" w:name="_Toc368582239"/>
      <w:bookmarkStart w:id="36" w:name="_Toc370136020"/>
      <w:bookmarkStart w:id="37" w:name="_Toc410121180"/>
      <w:bookmarkStart w:id="38" w:name="_Toc410121196"/>
      <w:r w:rsidRPr="00C62CF3">
        <w:t>Educational attainment</w:t>
      </w:r>
      <w:bookmarkEnd w:id="34"/>
      <w:bookmarkEnd w:id="35"/>
      <w:bookmarkEnd w:id="36"/>
      <w:bookmarkEnd w:id="37"/>
      <w:bookmarkEnd w:id="38"/>
    </w:p>
    <w:p w:rsidR="00840B58" w:rsidRPr="00C62CF3" w:rsidRDefault="00840B58" w:rsidP="0026602B">
      <w:pPr>
        <w:pStyle w:val="BodyText"/>
      </w:pPr>
      <w:r w:rsidRPr="00C62CF3">
        <w:t xml:space="preserve">Employment outcomes and income are closely linked to the education and skill levels of individuals. Tables </w:t>
      </w:r>
      <w:proofErr w:type="spellStart"/>
      <w:r w:rsidRPr="00C62CF3">
        <w:t>2A.39</w:t>
      </w:r>
      <w:proofErr w:type="spellEnd"/>
      <w:r w:rsidRPr="00C62CF3">
        <w:t>–46 and sector overview B Child care, education and training contain reporting on education and skill levels including highest level of school completed and tertiary education attendance and attainment.</w:t>
      </w:r>
    </w:p>
    <w:p w:rsidR="00840B58" w:rsidRPr="00C62CF3" w:rsidRDefault="00840B58" w:rsidP="00DC2A21">
      <w:pPr>
        <w:pStyle w:val="Heading3"/>
      </w:pPr>
      <w:bookmarkStart w:id="39" w:name="_Toc274759652"/>
      <w:bookmarkStart w:id="40" w:name="_Toc327870760"/>
      <w:bookmarkStart w:id="41" w:name="_Toc368581986"/>
      <w:bookmarkStart w:id="42" w:name="_Toc368582242"/>
      <w:bookmarkStart w:id="43" w:name="_Toc370136024"/>
      <w:bookmarkStart w:id="44" w:name="_Toc396743485"/>
      <w:bookmarkStart w:id="45" w:name="_Toc410121181"/>
      <w:bookmarkStart w:id="46" w:name="_Toc410121197"/>
      <w:r w:rsidRPr="00C62CF3">
        <w:t>Statistical concepts used in the Report</w:t>
      </w:r>
      <w:bookmarkEnd w:id="39"/>
      <w:bookmarkEnd w:id="40"/>
      <w:bookmarkEnd w:id="41"/>
      <w:bookmarkEnd w:id="42"/>
      <w:bookmarkEnd w:id="43"/>
      <w:bookmarkEnd w:id="44"/>
      <w:r w:rsidR="003505E9" w:rsidRPr="00C62CF3">
        <w:t xml:space="preserve">  — reliability of estimates</w:t>
      </w:r>
      <w:bookmarkEnd w:id="45"/>
      <w:bookmarkEnd w:id="46"/>
    </w:p>
    <w:p w:rsidR="00840B58" w:rsidRPr="00C62CF3" w:rsidRDefault="00840B58" w:rsidP="00DC2A21">
      <w:pPr>
        <w:pStyle w:val="Heading4"/>
      </w:pPr>
      <w:bookmarkStart w:id="47" w:name="_Toc333919871"/>
      <w:r w:rsidRPr="00C62CF3">
        <w:t>Variability bands</w:t>
      </w:r>
    </w:p>
    <w:p w:rsidR="00840B58" w:rsidRPr="00B82C09" w:rsidRDefault="00840B58" w:rsidP="0026602B">
      <w:pPr>
        <w:pStyle w:val="BodyText"/>
      </w:pPr>
      <w:r w:rsidRPr="00B82C09">
        <w:t>Variability bands accompanying mortality data should be used for the purpose of within jurisdiction analysis at a point in time and over time (box 2</w:t>
      </w:r>
      <w:r w:rsidR="003505E9" w:rsidRPr="00B82C09">
        <w:t>.1</w:t>
      </w:r>
      <w:r w:rsidRPr="00B82C09">
        <w:t xml:space="preserve">). They should not be used for comparing mortality rates at a single point in time or over time between jurisdictions as the variability bands and mortality rates do not take into account differences in </w:t>
      </w:r>
      <w:r w:rsidRPr="00B82C09">
        <w:lastRenderedPageBreak/>
        <w:t>under</w:t>
      </w:r>
      <w:r w:rsidRPr="00B82C09">
        <w:noBreakHyphen/>
        <w:t xml:space="preserve">identification of Aboriginal and Torres Strait Islander </w:t>
      </w:r>
      <w:r w:rsidRPr="00B82C09">
        <w:rPr>
          <w:shd w:val="clear" w:color="auto" w:fill="FCFCFC" w:themeFill="accent4" w:themeFillTint="33"/>
        </w:rPr>
        <w:t>people’s</w:t>
      </w:r>
      <w:r w:rsidRPr="00B82C09">
        <w:t xml:space="preserve"> deaths between jurisdictions.</w:t>
      </w:r>
    </w:p>
    <w:p w:rsidR="00840B58" w:rsidRPr="00B82C09" w:rsidRDefault="00840B58" w:rsidP="0026602B">
      <w:pPr>
        <w:pStyle w:val="BodyText"/>
      </w:pPr>
      <w:r w:rsidRPr="00B82C09">
        <w:t>Rates derived from administrative data counts are not subject to sampling error but might be subject to natural random variation, especially for small counts.</w:t>
      </w:r>
    </w:p>
    <w:p w:rsidR="00840B58" w:rsidRPr="00B82C09" w:rsidRDefault="00840B58" w:rsidP="0026602B">
      <w:pPr>
        <w:pStyle w:val="BodyText"/>
      </w:pPr>
      <w:r w:rsidRPr="00B82C09">
        <w:t>Typically in this standard method, the observed rate is assumed to have natural variability in the numerator count (for example, deaths, hospital visits) but not in the population denominator count. Variations in Aboriginal and Torres Strait Islander people’s death rates may arise from uncertainty in the recording of Indigenous status on the death registration forms (in particular, under</w:t>
      </w:r>
      <w:r w:rsidRPr="00B82C09">
        <w:noBreakHyphen/>
        <w:t xml:space="preserve">identification of Aboriginal and Torres Strait Islander people’s deaths) and in the </w:t>
      </w:r>
      <w:r w:rsidRPr="00B82C09">
        <w:rPr>
          <w:i/>
        </w:rPr>
        <w:t>Census of Population and Housing</w:t>
      </w:r>
      <w:r w:rsidRPr="00B82C09">
        <w:t>, from which population estimates are derived. These variations are not considered in this method. Also, the rate is assumed to have been generated from a normal distribution (</w:t>
      </w:r>
      <w:r w:rsidR="003505E9" w:rsidRPr="00B82C09">
        <w:t xml:space="preserve">2015 Report, </w:t>
      </w:r>
      <w:r w:rsidRPr="00B82C09">
        <w:t>figure 2.11). Random variation in the numerator count is assumed to be centred around the true value — that is, there is no systematic bias.</w:t>
      </w:r>
    </w:p>
    <w:p w:rsidR="00840B58" w:rsidRPr="00B82C09"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0B58" w:rsidRPr="00B82C09" w:rsidTr="00840B58">
        <w:tc>
          <w:tcPr>
            <w:tcW w:w="8771" w:type="dxa"/>
            <w:tcBorders>
              <w:top w:val="single" w:sz="6" w:space="0" w:color="78A22F"/>
              <w:left w:val="nil"/>
              <w:bottom w:val="nil"/>
              <w:right w:val="nil"/>
            </w:tcBorders>
            <w:shd w:val="clear" w:color="auto" w:fill="F2F2F2" w:themeFill="background1" w:themeFillShade="F2"/>
          </w:tcPr>
          <w:p w:rsidR="00840B58" w:rsidRPr="00B82C09" w:rsidRDefault="00840B58" w:rsidP="003505E9">
            <w:pPr>
              <w:pStyle w:val="BoxTitle"/>
            </w:pPr>
            <w:r w:rsidRPr="00B82C09">
              <w:rPr>
                <w:b w:val="0"/>
              </w:rPr>
              <w:t>Box 2</w:t>
            </w:r>
            <w:r w:rsidR="003505E9" w:rsidRPr="00B82C09">
              <w:rPr>
                <w:b w:val="0"/>
              </w:rPr>
              <w:t>.1</w:t>
            </w:r>
            <w:r w:rsidRPr="00B82C09">
              <w:tab/>
              <w:t>Technical concepts and formulas — variability bands</w:t>
            </w:r>
          </w:p>
        </w:tc>
      </w:tr>
      <w:tr w:rsidR="00840B58" w:rsidRPr="00B82C09" w:rsidTr="00840B58">
        <w:trPr>
          <w:cantSplit/>
        </w:trPr>
        <w:tc>
          <w:tcPr>
            <w:tcW w:w="8771" w:type="dxa"/>
            <w:tcBorders>
              <w:top w:val="nil"/>
              <w:left w:val="nil"/>
              <w:bottom w:val="nil"/>
              <w:right w:val="nil"/>
            </w:tcBorders>
            <w:shd w:val="clear" w:color="auto" w:fill="F2F2F2" w:themeFill="background1" w:themeFillShade="F2"/>
          </w:tcPr>
          <w:p w:rsidR="00840B58" w:rsidRPr="00B82C09" w:rsidRDefault="00840B58" w:rsidP="00840B58">
            <w:pPr>
              <w:keepNext/>
              <w:spacing w:before="200" w:line="280" w:lineRule="atLeast"/>
              <w:jc w:val="both"/>
              <w:rPr>
                <w:rFonts w:ascii="Arial" w:hAnsi="Arial"/>
                <w:b/>
                <w:sz w:val="20"/>
                <w:szCs w:val="20"/>
              </w:rPr>
            </w:pPr>
            <w:r w:rsidRPr="00B82C09">
              <w:rPr>
                <w:rFonts w:ascii="Arial" w:hAnsi="Arial"/>
                <w:b/>
                <w:sz w:val="20"/>
                <w:szCs w:val="20"/>
              </w:rPr>
              <w:t>Variability bands</w:t>
            </w:r>
          </w:p>
          <w:p w:rsidR="00840B58" w:rsidRPr="00B82C09" w:rsidRDefault="00840B58" w:rsidP="0016452E">
            <w:pPr>
              <w:pStyle w:val="Box"/>
            </w:pPr>
            <w:r w:rsidRPr="00B82C09">
              <w:t xml:space="preserve">The variability bands to be calculated using the standard method for estimating </w:t>
            </w:r>
            <w:r w:rsidRPr="00B82C09">
              <w:br/>
              <w:t>95 per cent confidence intervals are:</w:t>
            </w:r>
          </w:p>
          <w:p w:rsidR="00840B58" w:rsidRPr="00B82C09" w:rsidRDefault="00840B58" w:rsidP="0016452E">
            <w:pPr>
              <w:pStyle w:val="Box"/>
              <w:rPr>
                <w:i/>
              </w:rPr>
            </w:pPr>
            <w:r w:rsidRPr="00B82C09">
              <w:rPr>
                <w:i/>
              </w:rPr>
              <w:t>Crude rate (CR)</w:t>
            </w:r>
          </w:p>
          <w:p w:rsidR="00840B58" w:rsidRPr="00B82C09" w:rsidRDefault="00840B58" w:rsidP="00840B58">
            <w:pPr>
              <w:keepNext/>
              <w:tabs>
                <w:tab w:val="left" w:pos="2246"/>
              </w:tabs>
              <w:spacing w:before="120" w:line="280" w:lineRule="atLeast"/>
              <w:jc w:val="both"/>
              <w:rPr>
                <w:rFonts w:ascii="Arial" w:hAnsi="Arial"/>
                <w:sz w:val="20"/>
                <w:szCs w:val="20"/>
              </w:rPr>
            </w:pPr>
            <w:r w:rsidRPr="00B82C09">
              <w:rPr>
                <w:rFonts w:ascii="Arial" w:hAnsi="Arial"/>
                <w:noProof/>
                <w:sz w:val="20"/>
                <w:szCs w:val="20"/>
              </w:rPr>
              <w:drawing>
                <wp:inline distT="0" distB="0" distL="0" distR="0" wp14:anchorId="3ED04011" wp14:editId="5636A1AB">
                  <wp:extent cx="1892300" cy="669925"/>
                  <wp:effectExtent l="0" t="0" r="0" b="0"/>
                  <wp:docPr id="42" name="Picture 42"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2300" cy="669925"/>
                          </a:xfrm>
                          <a:prstGeom prst="rect">
                            <a:avLst/>
                          </a:prstGeom>
                          <a:noFill/>
                          <a:ln>
                            <a:noFill/>
                          </a:ln>
                        </pic:spPr>
                      </pic:pic>
                    </a:graphicData>
                  </a:graphic>
                </wp:inline>
              </w:drawing>
            </w:r>
            <w:r w:rsidRPr="00B82C09">
              <w:rPr>
                <w:rFonts w:ascii="Arial" w:hAnsi="Arial"/>
                <w:sz w:val="20"/>
                <w:szCs w:val="20"/>
              </w:rPr>
              <w:tab/>
              <w:t>(equation 2.9)</w:t>
            </w:r>
          </w:p>
          <w:p w:rsidR="00840B58" w:rsidRPr="00B82C09" w:rsidRDefault="00840B58" w:rsidP="0016452E">
            <w:pPr>
              <w:pStyle w:val="Box"/>
            </w:pPr>
            <w:r w:rsidRPr="00B82C09">
              <w:t>Where:</w:t>
            </w:r>
          </w:p>
          <w:p w:rsidR="00840B58" w:rsidRPr="00B82C09" w:rsidRDefault="00840B58" w:rsidP="0016452E">
            <w:pPr>
              <w:pStyle w:val="Box"/>
            </w:pPr>
            <w:r w:rsidRPr="00B82C09">
              <w:rPr>
                <w:i/>
                <w:noProof/>
                <w:color w:val="FF99CC"/>
              </w:rPr>
              <w:drawing>
                <wp:inline distT="0" distB="0" distL="0" distR="0" wp14:anchorId="08E500A1" wp14:editId="5455DC5B">
                  <wp:extent cx="138430" cy="180975"/>
                  <wp:effectExtent l="0" t="0" r="0" b="9525"/>
                  <wp:docPr id="43" name="Picture 43"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430" cy="180975"/>
                          </a:xfrm>
                          <a:prstGeom prst="rect">
                            <a:avLst/>
                          </a:prstGeom>
                          <a:noFill/>
                          <a:ln>
                            <a:noFill/>
                          </a:ln>
                        </pic:spPr>
                      </pic:pic>
                    </a:graphicData>
                  </a:graphic>
                </wp:inline>
              </w:drawing>
            </w:r>
            <w:r w:rsidRPr="00B82C09">
              <w:rPr>
                <w:i/>
                <w:color w:val="FF99CC"/>
              </w:rPr>
              <w:t xml:space="preserve"> </w:t>
            </w:r>
            <w:r w:rsidRPr="00B82C09">
              <w:t>is the numerator of the estimated proportion</w:t>
            </w:r>
          </w:p>
          <w:p w:rsidR="00840B58" w:rsidRPr="00B82C09" w:rsidRDefault="00840B58" w:rsidP="0016452E">
            <w:pPr>
              <w:pStyle w:val="Box"/>
              <w:rPr>
                <w:i/>
              </w:rPr>
            </w:pPr>
            <w:r w:rsidRPr="00B82C09">
              <w:rPr>
                <w:i/>
              </w:rPr>
              <w:t>Age-standardised rate (ASR)</w:t>
            </w:r>
          </w:p>
          <w:p w:rsidR="00840B58" w:rsidRPr="00B82C09" w:rsidRDefault="00840B58" w:rsidP="00840B58">
            <w:pPr>
              <w:keepNext/>
              <w:tabs>
                <w:tab w:val="left" w:pos="2246"/>
              </w:tabs>
              <w:spacing w:before="120" w:line="280" w:lineRule="atLeast"/>
              <w:jc w:val="both"/>
              <w:rPr>
                <w:rFonts w:ascii="Arial" w:hAnsi="Arial"/>
                <w:sz w:val="20"/>
                <w:szCs w:val="20"/>
              </w:rPr>
            </w:pPr>
            <w:r w:rsidRPr="00B82C09">
              <w:rPr>
                <w:rFonts w:ascii="Arial" w:hAnsi="Arial"/>
                <w:noProof/>
                <w:sz w:val="20"/>
                <w:szCs w:val="20"/>
              </w:rPr>
              <w:drawing>
                <wp:inline distT="0" distB="0" distL="0" distR="0" wp14:anchorId="7CF36DEA" wp14:editId="21CCA890">
                  <wp:extent cx="2286000" cy="499745"/>
                  <wp:effectExtent l="0" t="0" r="0" b="0"/>
                  <wp:docPr id="44" name="Picture 44"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0" cy="499745"/>
                          </a:xfrm>
                          <a:prstGeom prst="rect">
                            <a:avLst/>
                          </a:prstGeom>
                          <a:noFill/>
                          <a:ln>
                            <a:noFill/>
                          </a:ln>
                        </pic:spPr>
                      </pic:pic>
                    </a:graphicData>
                  </a:graphic>
                </wp:inline>
              </w:drawing>
            </w:r>
            <w:r w:rsidRPr="00B82C09">
              <w:rPr>
                <w:rFonts w:ascii="Arial" w:hAnsi="Arial"/>
                <w:sz w:val="20"/>
                <w:szCs w:val="20"/>
              </w:rPr>
              <w:tab/>
              <w:t>(equation 2.10)</w:t>
            </w:r>
          </w:p>
          <w:p w:rsidR="00840B58" w:rsidRPr="00B82C09" w:rsidRDefault="00840B58" w:rsidP="0016452E">
            <w:pPr>
              <w:pStyle w:val="Box"/>
            </w:pPr>
            <w:r w:rsidRPr="00B82C09">
              <w:t>Where:</w:t>
            </w:r>
          </w:p>
          <w:p w:rsidR="00840B58" w:rsidRPr="00B82C09" w:rsidRDefault="00840B58" w:rsidP="00840B58">
            <w:pPr>
              <w:keepNext/>
              <w:spacing w:before="120" w:line="280" w:lineRule="atLeast"/>
              <w:ind w:left="120"/>
              <w:rPr>
                <w:rFonts w:ascii="Arial" w:hAnsi="Arial"/>
                <w:sz w:val="20"/>
                <w:szCs w:val="20"/>
              </w:rPr>
            </w:pPr>
            <w:r w:rsidRPr="00B82C09">
              <w:rPr>
                <w:rFonts w:ascii="Arial" w:hAnsi="Arial"/>
                <w:i/>
                <w:noProof/>
                <w:color w:val="FF99CC"/>
                <w:sz w:val="20"/>
                <w:szCs w:val="20"/>
              </w:rPr>
              <w:drawing>
                <wp:inline distT="0" distB="0" distL="0" distR="0" wp14:anchorId="436B6E36" wp14:editId="0B6FD58D">
                  <wp:extent cx="170180" cy="233680"/>
                  <wp:effectExtent l="0" t="0" r="1270" b="0"/>
                  <wp:docPr id="45" name="Picture 45"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Pr="00B82C09">
              <w:rPr>
                <w:rFonts w:ascii="Arial" w:hAnsi="Arial"/>
                <w:i/>
                <w:color w:val="FF99CC"/>
                <w:sz w:val="20"/>
                <w:szCs w:val="20"/>
              </w:rPr>
              <w:t xml:space="preserve"> </w:t>
            </w:r>
            <w:r w:rsidRPr="00B82C09">
              <w:rPr>
                <w:rFonts w:ascii="Arial" w:hAnsi="Arial"/>
                <w:sz w:val="20"/>
                <w:szCs w:val="20"/>
              </w:rPr>
              <w:t xml:space="preserve">is the proportion of the standard population in age group </w:t>
            </w:r>
            <w:r w:rsidRPr="00B82C09">
              <w:rPr>
                <w:rFonts w:ascii="Arial" w:hAnsi="Arial"/>
                <w:noProof/>
                <w:sz w:val="20"/>
                <w:szCs w:val="20"/>
              </w:rPr>
              <w:drawing>
                <wp:inline distT="0" distB="0" distL="0" distR="0" wp14:anchorId="5C604415" wp14:editId="7420CCDE">
                  <wp:extent cx="85090" cy="170180"/>
                  <wp:effectExtent l="0" t="0" r="0" b="1270"/>
                  <wp:docPr id="46" name="Picture 46"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B82C09">
              <w:rPr>
                <w:rFonts w:ascii="Arial" w:hAnsi="Arial"/>
                <w:sz w:val="20"/>
                <w:szCs w:val="20"/>
              </w:rPr>
              <w:br/>
            </w:r>
            <w:r w:rsidRPr="00B82C09">
              <w:rPr>
                <w:rFonts w:ascii="Arial" w:hAnsi="Arial"/>
                <w:noProof/>
                <w:sz w:val="20"/>
                <w:szCs w:val="20"/>
              </w:rPr>
              <w:drawing>
                <wp:inline distT="0" distB="0" distL="0" distR="0" wp14:anchorId="2960486D" wp14:editId="6DC7471A">
                  <wp:extent cx="159385" cy="233680"/>
                  <wp:effectExtent l="0" t="0" r="0" b="0"/>
                  <wp:docPr id="47" name="Picture 47"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Pr="00B82C09">
              <w:rPr>
                <w:rFonts w:ascii="Arial" w:hAnsi="Arial"/>
                <w:i/>
                <w:color w:val="FF99CC"/>
                <w:sz w:val="20"/>
                <w:szCs w:val="20"/>
              </w:rPr>
              <w:t xml:space="preserve"> </w:t>
            </w:r>
            <w:r w:rsidRPr="00B82C09">
              <w:rPr>
                <w:rFonts w:ascii="Arial" w:hAnsi="Arial"/>
                <w:sz w:val="20"/>
                <w:szCs w:val="20"/>
              </w:rPr>
              <w:t xml:space="preserve">is the number of deaths in age group </w:t>
            </w:r>
            <w:r w:rsidRPr="00B82C09">
              <w:rPr>
                <w:rFonts w:ascii="Arial" w:hAnsi="Arial"/>
                <w:noProof/>
                <w:sz w:val="20"/>
                <w:szCs w:val="20"/>
              </w:rPr>
              <w:drawing>
                <wp:inline distT="0" distB="0" distL="0" distR="0" wp14:anchorId="10FF918E" wp14:editId="377FB7A6">
                  <wp:extent cx="85090" cy="170180"/>
                  <wp:effectExtent l="0" t="0" r="0" b="1270"/>
                  <wp:docPr id="48" name="Picture 48"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B82C09">
              <w:rPr>
                <w:rFonts w:ascii="Arial" w:hAnsi="Arial"/>
                <w:sz w:val="20"/>
                <w:szCs w:val="20"/>
              </w:rPr>
              <w:br/>
            </w:r>
            <w:r w:rsidRPr="00B82C09">
              <w:rPr>
                <w:rFonts w:ascii="Arial" w:hAnsi="Arial"/>
                <w:noProof/>
                <w:sz w:val="20"/>
                <w:szCs w:val="20"/>
              </w:rPr>
              <w:drawing>
                <wp:inline distT="0" distB="0" distL="0" distR="0" wp14:anchorId="39B52496" wp14:editId="75495AB1">
                  <wp:extent cx="159385" cy="233680"/>
                  <wp:effectExtent l="0" t="0" r="0" b="0"/>
                  <wp:docPr id="49" name="Picture 49"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Pr="00B82C09">
              <w:rPr>
                <w:rFonts w:ascii="Arial" w:hAnsi="Arial"/>
                <w:i/>
                <w:color w:val="FF99CC"/>
                <w:sz w:val="20"/>
                <w:szCs w:val="20"/>
              </w:rPr>
              <w:t xml:space="preserve"> </w:t>
            </w:r>
            <w:r w:rsidRPr="00B82C09">
              <w:rPr>
                <w:rFonts w:ascii="Arial" w:hAnsi="Arial"/>
                <w:sz w:val="20"/>
                <w:szCs w:val="20"/>
              </w:rPr>
              <w:t xml:space="preserve">is the number of people in the population in age group </w:t>
            </w:r>
            <w:r w:rsidRPr="00B82C09">
              <w:rPr>
                <w:rFonts w:ascii="Arial" w:hAnsi="Arial"/>
                <w:noProof/>
                <w:sz w:val="20"/>
                <w:szCs w:val="20"/>
              </w:rPr>
              <w:drawing>
                <wp:inline distT="0" distB="0" distL="0" distR="0" wp14:anchorId="1A292E17" wp14:editId="38D9F083">
                  <wp:extent cx="85090" cy="170180"/>
                  <wp:effectExtent l="0" t="0" r="0" b="1270"/>
                  <wp:docPr id="50" name="Picture 50"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B82C09">
              <w:rPr>
                <w:rFonts w:ascii="Arial" w:hAnsi="Arial"/>
                <w:sz w:val="20"/>
                <w:szCs w:val="20"/>
              </w:rPr>
              <w:t>.</w:t>
            </w:r>
          </w:p>
          <w:p w:rsidR="00840B58" w:rsidRPr="00B82C09" w:rsidRDefault="00840B58" w:rsidP="0016452E">
            <w:pPr>
              <w:pStyle w:val="Box"/>
            </w:pPr>
            <w:r w:rsidRPr="00B82C09">
              <w:t>Infant mortality rate (</w:t>
            </w:r>
            <w:proofErr w:type="spellStart"/>
            <w:r w:rsidRPr="00B82C09">
              <w:t>IMR</w:t>
            </w:r>
            <w:proofErr w:type="spellEnd"/>
            <w:r w:rsidRPr="00B82C09">
              <w:t>)</w:t>
            </w:r>
          </w:p>
          <w:p w:rsidR="00840B58" w:rsidRPr="00B82C09" w:rsidRDefault="00840B58" w:rsidP="00840B58">
            <w:pPr>
              <w:keepNext/>
              <w:tabs>
                <w:tab w:val="left" w:pos="2246"/>
              </w:tabs>
              <w:spacing w:before="120" w:line="280" w:lineRule="atLeast"/>
              <w:jc w:val="both"/>
              <w:rPr>
                <w:rFonts w:ascii="Arial" w:hAnsi="Arial"/>
                <w:sz w:val="20"/>
                <w:szCs w:val="20"/>
              </w:rPr>
            </w:pPr>
            <w:r w:rsidRPr="00B82C09">
              <w:rPr>
                <w:rFonts w:ascii="Arial" w:hAnsi="Arial"/>
                <w:noProof/>
                <w:sz w:val="20"/>
                <w:szCs w:val="20"/>
              </w:rPr>
              <w:drawing>
                <wp:inline distT="0" distB="0" distL="0" distR="0" wp14:anchorId="1BECA85C" wp14:editId="610391EF">
                  <wp:extent cx="1956435" cy="467995"/>
                  <wp:effectExtent l="0" t="0" r="5715" b="8255"/>
                  <wp:docPr id="51" name="Picture 51"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56435" cy="467995"/>
                          </a:xfrm>
                          <a:prstGeom prst="rect">
                            <a:avLst/>
                          </a:prstGeom>
                          <a:noFill/>
                          <a:ln>
                            <a:noFill/>
                          </a:ln>
                        </pic:spPr>
                      </pic:pic>
                    </a:graphicData>
                  </a:graphic>
                </wp:inline>
              </w:drawing>
            </w:r>
            <w:r w:rsidRPr="00B82C09">
              <w:rPr>
                <w:rFonts w:ascii="Arial" w:hAnsi="Arial"/>
                <w:sz w:val="20"/>
                <w:szCs w:val="20"/>
              </w:rPr>
              <w:tab/>
              <w:t>(equation 2.11)</w:t>
            </w:r>
          </w:p>
          <w:p w:rsidR="00840B58" w:rsidRPr="00B82C09" w:rsidRDefault="00840B58" w:rsidP="0016452E">
            <w:pPr>
              <w:pStyle w:val="Box"/>
            </w:pPr>
            <w:r w:rsidRPr="00B82C09">
              <w:t>Where:</w:t>
            </w:r>
          </w:p>
          <w:p w:rsidR="00840B58" w:rsidRPr="00B82C09" w:rsidRDefault="00840B58" w:rsidP="00840B58">
            <w:pPr>
              <w:keepNext/>
              <w:spacing w:before="120" w:line="280" w:lineRule="atLeast"/>
              <w:ind w:left="120"/>
              <w:rPr>
                <w:rFonts w:ascii="Arial" w:hAnsi="Arial"/>
                <w:sz w:val="22"/>
                <w:szCs w:val="20"/>
              </w:rPr>
            </w:pPr>
            <w:r w:rsidRPr="00B82C09">
              <w:rPr>
                <w:rFonts w:ascii="Arial" w:hAnsi="Arial"/>
                <w:i/>
                <w:noProof/>
                <w:color w:val="FF99CC"/>
                <w:sz w:val="20"/>
                <w:szCs w:val="20"/>
              </w:rPr>
              <w:drawing>
                <wp:inline distT="0" distB="0" distL="0" distR="0" wp14:anchorId="610266B9" wp14:editId="342BAC70">
                  <wp:extent cx="170180" cy="233680"/>
                  <wp:effectExtent l="0" t="0" r="1270" b="0"/>
                  <wp:docPr id="52" name="Picture 52"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Pr="00B82C09">
              <w:rPr>
                <w:rFonts w:ascii="Arial" w:hAnsi="Arial"/>
                <w:i/>
                <w:color w:val="FF99CC"/>
                <w:sz w:val="20"/>
                <w:szCs w:val="20"/>
              </w:rPr>
              <w:t xml:space="preserve"> </w:t>
            </w:r>
            <w:r w:rsidRPr="00B82C09">
              <w:rPr>
                <w:rFonts w:ascii="Arial" w:hAnsi="Arial"/>
                <w:sz w:val="20"/>
                <w:szCs w:val="20"/>
              </w:rPr>
              <w:t>is the number of deaths in infants aged less than 1 year.</w:t>
            </w:r>
          </w:p>
        </w:tc>
      </w:tr>
      <w:tr w:rsidR="00840B58" w:rsidRPr="00B82C09" w:rsidTr="00840B58">
        <w:trPr>
          <w:cantSplit/>
        </w:trPr>
        <w:tc>
          <w:tcPr>
            <w:tcW w:w="8771" w:type="dxa"/>
            <w:tcBorders>
              <w:top w:val="nil"/>
              <w:left w:val="nil"/>
              <w:bottom w:val="single" w:sz="6" w:space="0" w:color="78A22F"/>
              <w:right w:val="nil"/>
            </w:tcBorders>
            <w:shd w:val="clear" w:color="auto" w:fill="F2F2F2" w:themeFill="background1" w:themeFillShade="F2"/>
          </w:tcPr>
          <w:p w:rsidR="00840B58" w:rsidRPr="00B82C09" w:rsidRDefault="00840B58" w:rsidP="00840B58">
            <w:pPr>
              <w:pStyle w:val="Box"/>
              <w:spacing w:before="0" w:line="120" w:lineRule="exact"/>
            </w:pPr>
          </w:p>
        </w:tc>
      </w:tr>
      <w:tr w:rsidR="00840B58" w:rsidRPr="00B82C09" w:rsidTr="00840B58">
        <w:tc>
          <w:tcPr>
            <w:tcW w:w="8771" w:type="dxa"/>
            <w:tcBorders>
              <w:top w:val="single" w:sz="6" w:space="0" w:color="78A22F"/>
              <w:left w:val="nil"/>
              <w:bottom w:val="nil"/>
              <w:right w:val="nil"/>
            </w:tcBorders>
          </w:tcPr>
          <w:p w:rsidR="00840B58" w:rsidRPr="00B82C09" w:rsidRDefault="00840B58" w:rsidP="00840B58">
            <w:pPr>
              <w:pStyle w:val="BoxSpaceBelow"/>
            </w:pPr>
          </w:p>
        </w:tc>
      </w:tr>
    </w:tbl>
    <w:p w:rsidR="00840B58" w:rsidRPr="00B82C09" w:rsidRDefault="003505E9" w:rsidP="00DC2A21">
      <w:pPr>
        <w:pStyle w:val="Heading3"/>
      </w:pPr>
      <w:bookmarkStart w:id="48" w:name="_Toc333919874"/>
      <w:bookmarkStart w:id="49" w:name="_Toc368582247"/>
      <w:bookmarkStart w:id="50" w:name="_Toc370136028"/>
      <w:bookmarkStart w:id="51" w:name="_Toc410121182"/>
      <w:bookmarkStart w:id="52" w:name="_Toc410121198"/>
      <w:bookmarkEnd w:id="47"/>
      <w:r w:rsidRPr="00B82C09">
        <w:t>Statistical concepts used in the Report  — a</w:t>
      </w:r>
      <w:r w:rsidR="00840B58" w:rsidRPr="00B82C09">
        <w:t>ge standardisation of data</w:t>
      </w:r>
      <w:bookmarkEnd w:id="48"/>
      <w:bookmarkEnd w:id="49"/>
      <w:bookmarkEnd w:id="50"/>
      <w:bookmarkEnd w:id="51"/>
      <w:bookmarkEnd w:id="52"/>
    </w:p>
    <w:p w:rsidR="00840B58" w:rsidRPr="00B82C09" w:rsidRDefault="00840B58" w:rsidP="00DC2A21">
      <w:pPr>
        <w:pStyle w:val="Heading4"/>
      </w:pPr>
      <w:r w:rsidRPr="00B82C09">
        <w:t>Rationale for age standardisation of data</w:t>
      </w:r>
    </w:p>
    <w:p w:rsidR="00840B58" w:rsidRPr="008F4446" w:rsidRDefault="00840B58" w:rsidP="0026602B">
      <w:pPr>
        <w:pStyle w:val="BodyText"/>
      </w:pPr>
      <w:r w:rsidRPr="008F4446">
        <w:t>The age profile of Australians varies across jurisdictions, periods of time, geographic areas and/or population sub</w:t>
      </w:r>
      <w:r w:rsidRPr="008F4446">
        <w:noBreakHyphen/>
        <w:t>groups (for example, between Aboriginal and Torres Strait Islander and non</w:t>
      </w:r>
      <w:r w:rsidRPr="008F4446">
        <w:noBreakHyphen/>
        <w:t xml:space="preserve">Indigenous populations). Variations in age profiles are important because they can affect the likelihood of using a particular service (such as a public hospital) or particular ‘events’ occurring (such as death, incidence of disease or incarceration). Age </w:t>
      </w:r>
      <w:r w:rsidRPr="008F4446">
        <w:lastRenderedPageBreak/>
        <w:t>standardisation adjusts for the effect of variations in age profiles when comparing service usage, or rates, of particular events across different populations.</w:t>
      </w:r>
    </w:p>
    <w:p w:rsidR="00840B58" w:rsidRPr="008F4446" w:rsidRDefault="00840B58" w:rsidP="00DC2A21">
      <w:pPr>
        <w:pStyle w:val="Heading4"/>
      </w:pPr>
      <w:r w:rsidRPr="008F4446">
        <w:t>Calculating age standardised rates</w:t>
      </w:r>
    </w:p>
    <w:p w:rsidR="00840B58" w:rsidRPr="008F4446" w:rsidRDefault="00840B58" w:rsidP="0026602B">
      <w:pPr>
        <w:pStyle w:val="BodyText"/>
      </w:pPr>
      <w:r w:rsidRPr="008F4446">
        <w:t>Age standardisation adjusts each of the comparison/study populations (for example, Aboriginal and Torres Strait Islander and non</w:t>
      </w:r>
      <w:r w:rsidRPr="008F4446">
        <w:noBreakHyphen/>
        <w:t>Indigenous populations) against a standard population (box 2.</w:t>
      </w:r>
      <w:r w:rsidR="004758E4" w:rsidRPr="008F4446">
        <w:t>2</w:t>
      </w:r>
      <w:r w:rsidRPr="008F4446">
        <w:t>).</w:t>
      </w:r>
    </w:p>
    <w:p w:rsidR="00840B58" w:rsidRPr="008F4446" w:rsidRDefault="00840B58" w:rsidP="0026602B">
      <w:pPr>
        <w:pStyle w:val="BodyText"/>
      </w:pPr>
      <w:r w:rsidRPr="008F4446">
        <w:t>Prior to the 2011 ERP rebasing cycle, it was generally accepted that the ABS produces a new ‘standard population’ every ten years, with the last standard population being 30 June 2001 and the next population was expected to be 30 June 2011. While following this advice has been accepted practice in Australia in recent years, it is important to note that neither demographic nor epidemiological methodology require the standard population to be updated this frequently. In fact, analysis recently undertaken by a joint ABS</w:t>
      </w:r>
      <w:r w:rsidRPr="008F4446">
        <w:noBreakHyphen/>
        <w:t>Australian Institute of Health and Welfare (AIHW) working group demonstrated that the frequency of the change in the standard population resulted in negligible difference in the comparison of key indicators over time. The use of age</w:t>
      </w:r>
      <w:r w:rsidRPr="008F4446">
        <w:noBreakHyphen/>
        <w:t>standardisation in statistical analysis in Australia, particularly involving health and demographic data, has increased substantially. As more age</w:t>
      </w:r>
      <w:r w:rsidRPr="008F4446">
        <w:noBreakHyphen/>
        <w:t>standardised data are used, and as age</w:t>
      </w:r>
      <w:r w:rsidRPr="008F4446">
        <w:noBreakHyphen/>
        <w:t>standardised time series become longer, a regular revision to the standard process becomes increasingly more resource</w:t>
      </w:r>
      <w:r w:rsidRPr="008F4446">
        <w:noBreakHyphen/>
        <w:t>intensive and onerous.</w:t>
      </w:r>
    </w:p>
    <w:p w:rsidR="00840B58" w:rsidRPr="008F4446" w:rsidRDefault="00840B58" w:rsidP="0026602B">
      <w:pPr>
        <w:pStyle w:val="BodyText"/>
      </w:pPr>
      <w:r w:rsidRPr="008F4446">
        <w:t>Therefore, ABS and AIHW are recommending that the standard population be revised every 25 years (that is, 2001, 2026, 2051 etc.) instead of every 10 years, which would reduce the frequency of revisions without reducing the effectiveness of age</w:t>
      </w:r>
      <w:r w:rsidRPr="008F4446">
        <w:noBreakHyphen/>
        <w:t>standardised comparisons. This would also align the revision cycle with what demographers generally consider to be the timespan of a generation. The latest standard population used is the final 30 June ERP for the 2001 (AIHW 2013). The result is a standardised estimate for each of the comparison/study populations.</w:t>
      </w:r>
    </w:p>
    <w:p w:rsidR="00840B58" w:rsidRPr="008F4446" w:rsidRDefault="00840B58" w:rsidP="0026602B">
      <w:pPr>
        <w:pStyle w:val="BodyText"/>
      </w:pPr>
      <w:r w:rsidRPr="008F4446">
        <w:t>T</w:t>
      </w:r>
      <w:r w:rsidR="00B82C09" w:rsidRPr="008F4446">
        <w:t xml:space="preserve">he Review generally reports age </w:t>
      </w:r>
      <w:r w:rsidRPr="008F4446">
        <w:t>standardised rates that have been calculated using either one of two methods, as appropriate. The direct method is generally used for comparisons between study groups. The indirect method is recommended when the age</w:t>
      </w:r>
      <w:r w:rsidRPr="008F4446">
        <w:noBreakHyphen/>
        <w:t>specific rates for the population being studied are not known (or are unreliable), but the total number of events is known (AIHW 2013).</w:t>
      </w:r>
    </w:p>
    <w:p w:rsidR="00840B58" w:rsidRPr="008F4446" w:rsidRDefault="00840B58" w:rsidP="0026602B">
      <w:pPr>
        <w:pStyle w:val="BodyText"/>
      </w:pPr>
      <w:r w:rsidRPr="008F4446">
        <w:t xml:space="preserve">The </w:t>
      </w:r>
      <w:r w:rsidRPr="008F4446">
        <w:rPr>
          <w:i/>
        </w:rPr>
        <w:t>direct</w:t>
      </w:r>
      <w:r w:rsidRPr="008F4446">
        <w:t xml:space="preserve"> </w:t>
      </w:r>
      <w:r w:rsidRPr="008F4446">
        <w:rPr>
          <w:i/>
        </w:rPr>
        <w:t>method</w:t>
      </w:r>
      <w:r w:rsidRPr="008F4446">
        <w:t xml:space="preserve"> has three steps:</w:t>
      </w:r>
    </w:p>
    <w:p w:rsidR="0016452E" w:rsidRPr="008F4446" w:rsidRDefault="00840B58" w:rsidP="0016452E">
      <w:pPr>
        <w:pStyle w:val="ListBullet2"/>
        <w:numPr>
          <w:ilvl w:val="0"/>
          <w:numId w:val="0"/>
        </w:numPr>
        <w:ind w:left="680"/>
      </w:pPr>
      <w:r w:rsidRPr="008F4446">
        <w:t>Step 1: Calculate the age</w:t>
      </w:r>
      <w:r w:rsidRPr="008F4446">
        <w:noBreakHyphen/>
        <w:t>specific rate for each age group for the study/comparison group.</w:t>
      </w:r>
    </w:p>
    <w:p w:rsidR="0016452E" w:rsidRPr="008F4446" w:rsidRDefault="00840B58" w:rsidP="0016452E">
      <w:pPr>
        <w:pStyle w:val="ListBullet2"/>
        <w:numPr>
          <w:ilvl w:val="0"/>
          <w:numId w:val="0"/>
        </w:numPr>
        <w:ind w:left="680"/>
      </w:pPr>
      <w:r w:rsidRPr="008F4446">
        <w:t>Step 2: Calculate the expected number of ‘events’ in each age group by multiplying the age</w:t>
      </w:r>
      <w:r w:rsidRPr="008F4446">
        <w:noBreakHyphen/>
        <w:t>specific rates by the corresponding standard population.</w:t>
      </w:r>
    </w:p>
    <w:p w:rsidR="00840B58" w:rsidRPr="008F4446" w:rsidRDefault="00840B58" w:rsidP="0016452E">
      <w:pPr>
        <w:pStyle w:val="ListBullet2"/>
        <w:numPr>
          <w:ilvl w:val="0"/>
          <w:numId w:val="0"/>
        </w:numPr>
        <w:ind w:left="680"/>
      </w:pPr>
      <w:r w:rsidRPr="008F4446">
        <w:t>Step 3: Sum the expected number of cases in each age group and divide by the total of the standard population (box 2.</w:t>
      </w:r>
      <w:r w:rsidR="004758E4" w:rsidRPr="008F4446">
        <w:t>2</w:t>
      </w:r>
      <w:r w:rsidRPr="008F4446">
        <w:t>, equation 2.15).</w:t>
      </w:r>
    </w:p>
    <w:p w:rsidR="00840B58" w:rsidRPr="008F4446" w:rsidRDefault="00840B58" w:rsidP="00840B58">
      <w:pPr>
        <w:tabs>
          <w:tab w:val="num" w:pos="360"/>
        </w:tabs>
        <w:spacing w:before="120" w:line="320" w:lineRule="atLeast"/>
        <w:ind w:left="340" w:hanging="340"/>
        <w:jc w:val="both"/>
        <w:rPr>
          <w:szCs w:val="20"/>
        </w:rPr>
      </w:pPr>
      <w:r w:rsidRPr="008F4446">
        <w:rPr>
          <w:szCs w:val="20"/>
        </w:rPr>
        <w:lastRenderedPageBreak/>
        <w:t xml:space="preserve">The </w:t>
      </w:r>
      <w:r w:rsidRPr="008F4446">
        <w:rPr>
          <w:i/>
          <w:szCs w:val="20"/>
        </w:rPr>
        <w:t>indirect method</w:t>
      </w:r>
      <w:r w:rsidRPr="008F4446">
        <w:rPr>
          <w:szCs w:val="20"/>
        </w:rPr>
        <w:t xml:space="preserve"> has four steps:</w:t>
      </w:r>
    </w:p>
    <w:p w:rsidR="00840B58" w:rsidRPr="008F4446" w:rsidRDefault="00840B58" w:rsidP="00976849">
      <w:pPr>
        <w:pStyle w:val="ListBullet2"/>
        <w:numPr>
          <w:ilvl w:val="0"/>
          <w:numId w:val="0"/>
        </w:numPr>
        <w:ind w:left="680"/>
      </w:pPr>
      <w:r w:rsidRPr="008F4446">
        <w:t>Step 1: Calculate the age</w:t>
      </w:r>
      <w:r w:rsidRPr="008F4446">
        <w:noBreakHyphen/>
        <w:t>specific rates for each age group in the standard population.</w:t>
      </w:r>
    </w:p>
    <w:p w:rsidR="00840B58" w:rsidRPr="008F4446" w:rsidRDefault="00840B58" w:rsidP="00976849">
      <w:pPr>
        <w:pStyle w:val="ListBullet2"/>
        <w:numPr>
          <w:ilvl w:val="0"/>
          <w:numId w:val="0"/>
        </w:numPr>
        <w:ind w:left="680"/>
      </w:pPr>
      <w:r w:rsidRPr="008F4446">
        <w:t>Step 2: Apply the age</w:t>
      </w:r>
      <w:r w:rsidRPr="008F4446">
        <w:noBreakHyphen/>
        <w:t>specific rates resulting from step 1 to the number in each age group of the study population and sum to derive the total ‘expected’ number of cases for the study population.</w:t>
      </w:r>
    </w:p>
    <w:p w:rsidR="00840B58" w:rsidRPr="008F4446" w:rsidRDefault="00840B58" w:rsidP="00976849">
      <w:pPr>
        <w:pStyle w:val="ListBullet2"/>
        <w:numPr>
          <w:ilvl w:val="0"/>
          <w:numId w:val="0"/>
        </w:numPr>
        <w:ind w:left="680"/>
      </w:pPr>
      <w:r w:rsidRPr="008F4446">
        <w:t>Step 3: Divide the observed number of events in the study population by the ‘expected’ number of cases for the study population derived in step 2.</w:t>
      </w:r>
    </w:p>
    <w:p w:rsidR="00840B58" w:rsidRPr="008F4446" w:rsidRDefault="00840B58" w:rsidP="00976849">
      <w:pPr>
        <w:pStyle w:val="ListBullet2"/>
        <w:numPr>
          <w:ilvl w:val="0"/>
          <w:numId w:val="0"/>
        </w:numPr>
        <w:ind w:left="680"/>
      </w:pPr>
      <w:r w:rsidRPr="008F4446">
        <w:t xml:space="preserve">Step 4: Multiply the result of step 3 by the crude rate in the standard population </w:t>
      </w:r>
      <w:r w:rsidRPr="008F4446">
        <w:br/>
        <w:t>(box 2.</w:t>
      </w:r>
      <w:r w:rsidR="004758E4" w:rsidRPr="008F4446">
        <w:t>2</w:t>
      </w:r>
      <w:r w:rsidRPr="008F4446">
        <w:t>, equation 2.16).</w:t>
      </w:r>
    </w:p>
    <w:p w:rsidR="00840B58" w:rsidRPr="008F4446"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0B58" w:rsidRPr="008F4446" w:rsidTr="00840B58">
        <w:tc>
          <w:tcPr>
            <w:tcW w:w="8771" w:type="dxa"/>
            <w:tcBorders>
              <w:top w:val="single" w:sz="6" w:space="0" w:color="78A22F"/>
              <w:left w:val="nil"/>
              <w:bottom w:val="nil"/>
              <w:right w:val="nil"/>
            </w:tcBorders>
            <w:shd w:val="clear" w:color="auto" w:fill="F2F2F2" w:themeFill="background1" w:themeFillShade="F2"/>
          </w:tcPr>
          <w:p w:rsidR="00840B58" w:rsidRPr="008F4446" w:rsidRDefault="00840B58" w:rsidP="004758E4">
            <w:pPr>
              <w:pStyle w:val="BoxTitle"/>
            </w:pPr>
            <w:r w:rsidRPr="008F4446">
              <w:rPr>
                <w:b w:val="0"/>
              </w:rPr>
              <w:t>Box 2</w:t>
            </w:r>
            <w:r w:rsidR="004758E4" w:rsidRPr="008F4446">
              <w:rPr>
                <w:b w:val="0"/>
              </w:rPr>
              <w:t>.2</w:t>
            </w:r>
            <w:r w:rsidRPr="008F4446">
              <w:tab/>
              <w:t>Technical concepts and formulas — direct and indirect age standardisation</w:t>
            </w:r>
          </w:p>
        </w:tc>
      </w:tr>
      <w:tr w:rsidR="00840B58" w:rsidRPr="008F4446" w:rsidTr="00840B58">
        <w:trPr>
          <w:cantSplit/>
        </w:trPr>
        <w:tc>
          <w:tcPr>
            <w:tcW w:w="8771" w:type="dxa"/>
            <w:tcBorders>
              <w:top w:val="nil"/>
              <w:left w:val="nil"/>
              <w:bottom w:val="nil"/>
              <w:right w:val="nil"/>
            </w:tcBorders>
            <w:shd w:val="clear" w:color="auto" w:fill="F2F2F2" w:themeFill="background1" w:themeFillShade="F2"/>
          </w:tcPr>
          <w:p w:rsidR="00840B58" w:rsidRPr="008F4446" w:rsidRDefault="00840B58" w:rsidP="00976849">
            <w:pPr>
              <w:pStyle w:val="Box"/>
            </w:pPr>
            <w:r w:rsidRPr="008F4446">
              <w:t>The formula for deriving the age standardised rate using the direct method is:</w:t>
            </w:r>
          </w:p>
          <w:p w:rsidR="00840B58" w:rsidRPr="008F4446" w:rsidRDefault="00840B58" w:rsidP="00840B58">
            <w:pPr>
              <w:keepNext/>
              <w:tabs>
                <w:tab w:val="left" w:pos="2104"/>
              </w:tabs>
              <w:spacing w:before="120" w:line="280" w:lineRule="atLeast"/>
              <w:jc w:val="both"/>
              <w:rPr>
                <w:rFonts w:ascii="Arial" w:hAnsi="Arial"/>
                <w:sz w:val="20"/>
                <w:szCs w:val="20"/>
              </w:rPr>
            </w:pPr>
            <w:r w:rsidRPr="008F4446">
              <w:rPr>
                <w:rFonts w:ascii="Arial" w:hAnsi="Arial"/>
                <w:noProof/>
                <w:color w:val="FF99CC"/>
                <w:position w:val="-32"/>
                <w:sz w:val="20"/>
                <w:szCs w:val="20"/>
              </w:rPr>
              <w:drawing>
                <wp:inline distT="0" distB="0" distL="0" distR="0" wp14:anchorId="4CCAE43A" wp14:editId="1EA2577E">
                  <wp:extent cx="903605" cy="488950"/>
                  <wp:effectExtent l="0" t="0" r="0" b="6350"/>
                  <wp:docPr id="64" name="Picture 64"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03605" cy="488950"/>
                          </a:xfrm>
                          <a:prstGeom prst="rect">
                            <a:avLst/>
                          </a:prstGeom>
                          <a:noFill/>
                          <a:ln>
                            <a:noFill/>
                          </a:ln>
                        </pic:spPr>
                      </pic:pic>
                    </a:graphicData>
                  </a:graphic>
                </wp:inline>
              </w:drawing>
            </w:r>
            <w:r w:rsidRPr="008F4446">
              <w:rPr>
                <w:rFonts w:ascii="Arial" w:hAnsi="Arial"/>
                <w:color w:val="FF99CC"/>
                <w:position w:val="-32"/>
                <w:sz w:val="20"/>
                <w:szCs w:val="20"/>
              </w:rPr>
              <w:t xml:space="preserve"> </w:t>
            </w:r>
            <w:r w:rsidRPr="008F4446">
              <w:rPr>
                <w:rFonts w:ascii="Arial" w:hAnsi="Arial"/>
                <w:sz w:val="20"/>
                <w:szCs w:val="20"/>
              </w:rPr>
              <w:tab/>
              <w:t>(equation 2.15)</w:t>
            </w:r>
          </w:p>
          <w:p w:rsidR="00840B58" w:rsidRPr="008F4446" w:rsidRDefault="00840B58" w:rsidP="00976849">
            <w:pPr>
              <w:pStyle w:val="Box"/>
            </w:pPr>
            <w:r w:rsidRPr="008F4446">
              <w:t>The formula for deriving the age standardised rate using the indirect method is:</w:t>
            </w:r>
          </w:p>
          <w:p w:rsidR="00840B58" w:rsidRPr="008F4446" w:rsidRDefault="00840B58" w:rsidP="00840B58">
            <w:pPr>
              <w:keepNext/>
              <w:tabs>
                <w:tab w:val="left" w:pos="2104"/>
              </w:tabs>
              <w:spacing w:before="120" w:line="280" w:lineRule="atLeast"/>
              <w:jc w:val="both"/>
              <w:rPr>
                <w:rFonts w:ascii="Arial" w:hAnsi="Arial"/>
                <w:sz w:val="20"/>
                <w:szCs w:val="20"/>
              </w:rPr>
            </w:pPr>
            <w:r w:rsidRPr="008F4446">
              <w:rPr>
                <w:rFonts w:ascii="Arial" w:hAnsi="Arial"/>
                <w:noProof/>
                <w:sz w:val="20"/>
                <w:szCs w:val="20"/>
              </w:rPr>
              <w:drawing>
                <wp:inline distT="0" distB="0" distL="0" distR="0" wp14:anchorId="55034F1E" wp14:editId="7AFF23A3">
                  <wp:extent cx="1190625" cy="446405"/>
                  <wp:effectExtent l="0" t="0" r="9525" b="0"/>
                  <wp:docPr id="65" name="Picture 65"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90625" cy="446405"/>
                          </a:xfrm>
                          <a:prstGeom prst="rect">
                            <a:avLst/>
                          </a:prstGeom>
                          <a:noFill/>
                          <a:ln>
                            <a:noFill/>
                          </a:ln>
                        </pic:spPr>
                      </pic:pic>
                    </a:graphicData>
                  </a:graphic>
                </wp:inline>
              </w:drawing>
            </w:r>
            <w:r w:rsidRPr="008F4446">
              <w:rPr>
                <w:rFonts w:ascii="Arial" w:hAnsi="Arial"/>
                <w:sz w:val="20"/>
                <w:szCs w:val="20"/>
              </w:rPr>
              <w:tab/>
              <w:t>(equation 2.16)</w:t>
            </w:r>
          </w:p>
          <w:p w:rsidR="00840B58" w:rsidRPr="008F4446" w:rsidRDefault="00840B58" w:rsidP="00976849">
            <w:pPr>
              <w:pStyle w:val="Box"/>
            </w:pPr>
            <w:r w:rsidRPr="008F4446">
              <w:t>The formula for deriving the age standardised ratio using the indirect method is:</w:t>
            </w:r>
          </w:p>
          <w:p w:rsidR="00840B58" w:rsidRPr="008F4446" w:rsidRDefault="00840B58" w:rsidP="00840B58">
            <w:pPr>
              <w:keepNext/>
              <w:tabs>
                <w:tab w:val="left" w:pos="2104"/>
              </w:tabs>
              <w:spacing w:before="120" w:line="280" w:lineRule="atLeast"/>
              <w:jc w:val="both"/>
              <w:rPr>
                <w:rFonts w:ascii="Arial" w:hAnsi="Arial"/>
                <w:sz w:val="20"/>
                <w:szCs w:val="20"/>
              </w:rPr>
            </w:pPr>
            <w:r w:rsidRPr="008F4446">
              <w:rPr>
                <w:rFonts w:ascii="Arial" w:hAnsi="Arial"/>
                <w:noProof/>
                <w:sz w:val="20"/>
                <w:szCs w:val="20"/>
              </w:rPr>
              <w:drawing>
                <wp:inline distT="0" distB="0" distL="0" distR="0" wp14:anchorId="29071A14" wp14:editId="10804078">
                  <wp:extent cx="1042035" cy="446405"/>
                  <wp:effectExtent l="0" t="0" r="5715" b="0"/>
                  <wp:docPr id="66" name="Picture 66"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42035" cy="446405"/>
                          </a:xfrm>
                          <a:prstGeom prst="rect">
                            <a:avLst/>
                          </a:prstGeom>
                          <a:noFill/>
                          <a:ln>
                            <a:noFill/>
                          </a:ln>
                        </pic:spPr>
                      </pic:pic>
                    </a:graphicData>
                  </a:graphic>
                </wp:inline>
              </w:drawing>
            </w:r>
            <w:r w:rsidRPr="008F4446">
              <w:rPr>
                <w:rFonts w:ascii="Arial" w:hAnsi="Arial"/>
                <w:sz w:val="20"/>
                <w:szCs w:val="20"/>
              </w:rPr>
              <w:tab/>
              <w:t>(equation 2.17)</w:t>
            </w:r>
          </w:p>
          <w:p w:rsidR="00840B58" w:rsidRPr="008F4446" w:rsidRDefault="00840B58" w:rsidP="00976849">
            <w:pPr>
              <w:pStyle w:val="Box"/>
            </w:pPr>
            <w:r w:rsidRPr="008F4446">
              <w:t>Where:</w:t>
            </w:r>
          </w:p>
          <w:p w:rsidR="00840B58" w:rsidRPr="008F4446" w:rsidRDefault="00840B58" w:rsidP="00840B58">
            <w:pPr>
              <w:keepNext/>
              <w:spacing w:before="120" w:line="280" w:lineRule="atLeast"/>
              <w:rPr>
                <w:rFonts w:ascii="Arial" w:hAnsi="Arial"/>
                <w:sz w:val="20"/>
                <w:szCs w:val="20"/>
              </w:rPr>
            </w:pPr>
            <w:r w:rsidRPr="008F4446">
              <w:rPr>
                <w:rFonts w:ascii="Arial" w:hAnsi="Arial"/>
                <w:noProof/>
                <w:sz w:val="20"/>
                <w:szCs w:val="20"/>
              </w:rPr>
              <w:drawing>
                <wp:inline distT="0" distB="0" distL="0" distR="0" wp14:anchorId="2335EED9" wp14:editId="6718B799">
                  <wp:extent cx="233680" cy="180975"/>
                  <wp:effectExtent l="0" t="0" r="0" b="9525"/>
                  <wp:docPr id="67" name="Picture 67"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3680" cy="180975"/>
                          </a:xfrm>
                          <a:prstGeom prst="rect">
                            <a:avLst/>
                          </a:prstGeom>
                          <a:noFill/>
                          <a:ln>
                            <a:noFill/>
                          </a:ln>
                        </pic:spPr>
                      </pic:pic>
                    </a:graphicData>
                  </a:graphic>
                </wp:inline>
              </w:drawing>
            </w:r>
            <w:r w:rsidRPr="008F4446">
              <w:rPr>
                <w:rFonts w:ascii="Arial" w:hAnsi="Arial"/>
                <w:sz w:val="20"/>
                <w:szCs w:val="20"/>
              </w:rPr>
              <w:t xml:space="preserve"> is the age</w:t>
            </w:r>
            <w:r w:rsidRPr="008F4446">
              <w:rPr>
                <w:rFonts w:ascii="Arial" w:hAnsi="Arial"/>
                <w:sz w:val="20"/>
                <w:szCs w:val="20"/>
              </w:rPr>
              <w:noBreakHyphen/>
              <w:t>standardised rate for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3A484E56" wp14:editId="02F20659">
                  <wp:extent cx="266065" cy="233680"/>
                  <wp:effectExtent l="0" t="0" r="635" b="0"/>
                  <wp:docPr id="68" name="Picture 68"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Pr="008F4446">
              <w:rPr>
                <w:rFonts w:ascii="Arial" w:hAnsi="Arial"/>
                <w:sz w:val="20"/>
                <w:szCs w:val="20"/>
              </w:rPr>
              <w:t xml:space="preserve"> is the standardised ratio for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19EA344A" wp14:editId="48E4B7F4">
                  <wp:extent cx="127635" cy="233680"/>
                  <wp:effectExtent l="0" t="0" r="5715" b="0"/>
                  <wp:docPr id="69" name="Picture 69"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7635" cy="233680"/>
                          </a:xfrm>
                          <a:prstGeom prst="rect">
                            <a:avLst/>
                          </a:prstGeom>
                          <a:noFill/>
                          <a:ln>
                            <a:noFill/>
                          </a:ln>
                        </pic:spPr>
                      </pic:pic>
                    </a:graphicData>
                  </a:graphic>
                </wp:inline>
              </w:drawing>
            </w:r>
            <w:r w:rsidRPr="008F4446">
              <w:rPr>
                <w:rFonts w:ascii="Arial" w:hAnsi="Arial"/>
                <w:sz w:val="20"/>
                <w:szCs w:val="20"/>
              </w:rPr>
              <w:t xml:space="preserve"> is the age</w:t>
            </w:r>
            <w:r w:rsidRPr="008F4446">
              <w:rPr>
                <w:rFonts w:ascii="Arial" w:hAnsi="Arial"/>
                <w:sz w:val="20"/>
                <w:szCs w:val="20"/>
              </w:rPr>
              <w:noBreakHyphen/>
              <w:t xml:space="preserve">group specific rate for age group </w:t>
            </w:r>
            <w:proofErr w:type="spellStart"/>
            <w:r w:rsidRPr="008F4446">
              <w:rPr>
                <w:rFonts w:ascii="Arial" w:hAnsi="Arial"/>
                <w:b/>
                <w:i/>
                <w:sz w:val="20"/>
                <w:szCs w:val="20"/>
              </w:rPr>
              <w:t>i</w:t>
            </w:r>
            <w:proofErr w:type="spellEnd"/>
            <w:r w:rsidRPr="008F4446">
              <w:rPr>
                <w:rFonts w:ascii="Arial" w:hAnsi="Arial"/>
                <w:sz w:val="20"/>
                <w:szCs w:val="20"/>
              </w:rPr>
              <w:t xml:space="preserve"> in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0971D78C" wp14:editId="6F66C968">
                  <wp:extent cx="148590" cy="233680"/>
                  <wp:effectExtent l="0" t="0" r="3810" b="0"/>
                  <wp:docPr id="70" name="Picture 70"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8590" cy="233680"/>
                          </a:xfrm>
                          <a:prstGeom prst="rect">
                            <a:avLst/>
                          </a:prstGeom>
                          <a:noFill/>
                          <a:ln>
                            <a:noFill/>
                          </a:ln>
                        </pic:spPr>
                      </pic:pic>
                    </a:graphicData>
                  </a:graphic>
                </wp:inline>
              </w:drawing>
            </w:r>
            <w:r w:rsidRPr="008F4446">
              <w:rPr>
                <w:rFonts w:ascii="Arial" w:hAnsi="Arial"/>
                <w:sz w:val="20"/>
                <w:szCs w:val="20"/>
              </w:rPr>
              <w:t xml:space="preserve"> is the population of age group </w:t>
            </w:r>
            <w:proofErr w:type="spellStart"/>
            <w:r w:rsidRPr="008F4446">
              <w:rPr>
                <w:rFonts w:ascii="Arial" w:hAnsi="Arial"/>
                <w:b/>
                <w:i/>
                <w:sz w:val="20"/>
                <w:szCs w:val="20"/>
              </w:rPr>
              <w:t>i</w:t>
            </w:r>
            <w:proofErr w:type="spellEnd"/>
            <w:r w:rsidRPr="008F4446">
              <w:rPr>
                <w:rFonts w:ascii="Arial" w:hAnsi="Arial"/>
                <w:sz w:val="20"/>
                <w:szCs w:val="20"/>
              </w:rPr>
              <w:t xml:space="preserve"> in the standard population</w:t>
            </w:r>
            <w:r w:rsidRPr="008F4446">
              <w:rPr>
                <w:rFonts w:ascii="Arial" w:hAnsi="Arial"/>
                <w:sz w:val="20"/>
                <w:szCs w:val="20"/>
              </w:rPr>
              <w:br/>
            </w:r>
            <w:r w:rsidRPr="008F4446">
              <w:rPr>
                <w:rFonts w:ascii="Arial" w:hAnsi="Arial"/>
                <w:noProof/>
                <w:sz w:val="20"/>
                <w:szCs w:val="20"/>
              </w:rPr>
              <w:drawing>
                <wp:inline distT="0" distB="0" distL="0" distR="0" wp14:anchorId="554999C9" wp14:editId="039D895E">
                  <wp:extent cx="148590" cy="180975"/>
                  <wp:effectExtent l="0" t="0" r="3810" b="9525"/>
                  <wp:docPr id="71" name="Picture 71"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8590" cy="180975"/>
                          </a:xfrm>
                          <a:prstGeom prst="rect">
                            <a:avLst/>
                          </a:prstGeom>
                          <a:noFill/>
                          <a:ln>
                            <a:noFill/>
                          </a:ln>
                        </pic:spPr>
                      </pic:pic>
                    </a:graphicData>
                  </a:graphic>
                </wp:inline>
              </w:drawing>
            </w:r>
            <w:r w:rsidRPr="008F4446">
              <w:rPr>
                <w:rFonts w:ascii="Arial" w:hAnsi="Arial"/>
                <w:sz w:val="20"/>
                <w:szCs w:val="20"/>
              </w:rPr>
              <w:t xml:space="preserve"> is the observed number of events in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4DAB8A5A" wp14:editId="48E7892B">
                  <wp:extent cx="605790" cy="255270"/>
                  <wp:effectExtent l="0" t="0" r="3810" b="0"/>
                  <wp:docPr id="72" name="Picture 72"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05790" cy="255270"/>
                          </a:xfrm>
                          <a:prstGeom prst="rect">
                            <a:avLst/>
                          </a:prstGeom>
                          <a:noFill/>
                          <a:ln>
                            <a:noFill/>
                          </a:ln>
                        </pic:spPr>
                      </pic:pic>
                    </a:graphicData>
                  </a:graphic>
                </wp:inline>
              </w:drawing>
            </w:r>
            <w:r w:rsidRPr="008F4446">
              <w:rPr>
                <w:rFonts w:ascii="Arial" w:hAnsi="Arial"/>
                <w:sz w:val="20"/>
                <w:szCs w:val="20"/>
              </w:rPr>
              <w:t xml:space="preserve"> is the expected number of events in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758614BA" wp14:editId="33D6292B">
                  <wp:extent cx="191135" cy="233680"/>
                  <wp:effectExtent l="0" t="0" r="0" b="0"/>
                  <wp:docPr id="73" name="Picture 73"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Pr="008F4446">
              <w:rPr>
                <w:rFonts w:ascii="Arial" w:hAnsi="Arial"/>
                <w:sz w:val="20"/>
                <w:szCs w:val="20"/>
              </w:rPr>
              <w:t xml:space="preserve"> is the age</w:t>
            </w:r>
            <w:r w:rsidRPr="008F4446">
              <w:rPr>
                <w:rFonts w:ascii="Arial" w:hAnsi="Arial"/>
                <w:sz w:val="20"/>
                <w:szCs w:val="20"/>
              </w:rPr>
              <w:noBreakHyphen/>
              <w:t xml:space="preserve">group specific rate for age group </w:t>
            </w:r>
            <w:proofErr w:type="spellStart"/>
            <w:r w:rsidRPr="008F4446">
              <w:rPr>
                <w:rFonts w:ascii="Arial" w:hAnsi="Arial"/>
                <w:b/>
                <w:i/>
                <w:sz w:val="20"/>
                <w:szCs w:val="20"/>
              </w:rPr>
              <w:t>i</w:t>
            </w:r>
            <w:proofErr w:type="spellEnd"/>
            <w:r w:rsidRPr="008F4446">
              <w:rPr>
                <w:rFonts w:ascii="Arial" w:hAnsi="Arial"/>
                <w:sz w:val="20"/>
                <w:szCs w:val="20"/>
              </w:rPr>
              <w:t xml:space="preserve"> in the standard population</w:t>
            </w:r>
            <w:r w:rsidRPr="008F4446">
              <w:rPr>
                <w:rFonts w:ascii="Arial" w:hAnsi="Arial"/>
                <w:sz w:val="20"/>
                <w:szCs w:val="20"/>
              </w:rPr>
              <w:br/>
            </w:r>
            <w:r w:rsidRPr="008F4446">
              <w:rPr>
                <w:rFonts w:ascii="Arial" w:hAnsi="Arial"/>
                <w:noProof/>
                <w:sz w:val="20"/>
                <w:szCs w:val="20"/>
              </w:rPr>
              <w:drawing>
                <wp:inline distT="0" distB="0" distL="0" distR="0" wp14:anchorId="39F62B5E" wp14:editId="33EA7956">
                  <wp:extent cx="180975" cy="233680"/>
                  <wp:effectExtent l="0" t="0" r="9525" b="0"/>
                  <wp:docPr id="74" name="Picture 74"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Pr="008F4446">
              <w:rPr>
                <w:rFonts w:ascii="Arial" w:hAnsi="Arial"/>
                <w:sz w:val="20"/>
                <w:szCs w:val="20"/>
              </w:rPr>
              <w:t xml:space="preserve"> is the population for age group </w:t>
            </w:r>
            <w:proofErr w:type="spellStart"/>
            <w:r w:rsidRPr="008F4446">
              <w:rPr>
                <w:rFonts w:ascii="Arial" w:hAnsi="Arial"/>
                <w:b/>
                <w:i/>
                <w:sz w:val="20"/>
                <w:szCs w:val="20"/>
              </w:rPr>
              <w:t>i</w:t>
            </w:r>
            <w:proofErr w:type="spellEnd"/>
            <w:r w:rsidRPr="008F4446">
              <w:rPr>
                <w:rFonts w:ascii="Arial" w:hAnsi="Arial"/>
                <w:sz w:val="20"/>
                <w:szCs w:val="20"/>
              </w:rPr>
              <w:t xml:space="preserve"> in the population being studied</w:t>
            </w:r>
            <w:r w:rsidRPr="008F4446">
              <w:rPr>
                <w:rFonts w:ascii="Arial" w:hAnsi="Arial"/>
                <w:sz w:val="20"/>
                <w:szCs w:val="20"/>
              </w:rPr>
              <w:br/>
            </w:r>
            <w:r w:rsidRPr="008F4446">
              <w:rPr>
                <w:rFonts w:ascii="Arial" w:hAnsi="Arial"/>
                <w:noProof/>
                <w:sz w:val="20"/>
                <w:szCs w:val="20"/>
              </w:rPr>
              <w:drawing>
                <wp:inline distT="0" distB="0" distL="0" distR="0" wp14:anchorId="453D96F5" wp14:editId="66D5101D">
                  <wp:extent cx="159385" cy="159385"/>
                  <wp:effectExtent l="0" t="0" r="0" b="0"/>
                  <wp:docPr id="75" name="Picture 75"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r w:rsidRPr="008F4446">
              <w:rPr>
                <w:rFonts w:ascii="Arial" w:hAnsi="Arial"/>
                <w:sz w:val="20"/>
                <w:szCs w:val="20"/>
              </w:rPr>
              <w:t xml:space="preserve"> is the crude rate in the standard population.</w:t>
            </w:r>
          </w:p>
        </w:tc>
      </w:tr>
      <w:tr w:rsidR="00840B58" w:rsidRPr="008F4446" w:rsidTr="00840B58">
        <w:trPr>
          <w:cantSplit/>
        </w:trPr>
        <w:tc>
          <w:tcPr>
            <w:tcW w:w="8771" w:type="dxa"/>
            <w:tcBorders>
              <w:top w:val="nil"/>
              <w:left w:val="nil"/>
              <w:bottom w:val="nil"/>
              <w:right w:val="nil"/>
            </w:tcBorders>
            <w:shd w:val="clear" w:color="auto" w:fill="F2F2F2" w:themeFill="background1" w:themeFillShade="F2"/>
          </w:tcPr>
          <w:p w:rsidR="00840B58" w:rsidRPr="008F4446" w:rsidRDefault="00840B58" w:rsidP="00840B58">
            <w:pPr>
              <w:pStyle w:val="BoxSource"/>
            </w:pPr>
            <w:r w:rsidRPr="008F4446">
              <w:rPr>
                <w:i/>
              </w:rPr>
              <w:t>Source</w:t>
            </w:r>
            <w:r w:rsidRPr="008F4446">
              <w:t>: AIHW (2013).</w:t>
            </w:r>
          </w:p>
        </w:tc>
      </w:tr>
      <w:tr w:rsidR="00840B58" w:rsidRPr="008F4446" w:rsidTr="00840B58">
        <w:trPr>
          <w:cantSplit/>
        </w:trPr>
        <w:tc>
          <w:tcPr>
            <w:tcW w:w="8771" w:type="dxa"/>
            <w:tcBorders>
              <w:top w:val="nil"/>
              <w:left w:val="nil"/>
              <w:bottom w:val="single" w:sz="6" w:space="0" w:color="78A22F"/>
              <w:right w:val="nil"/>
            </w:tcBorders>
            <w:shd w:val="clear" w:color="auto" w:fill="F2F2F2" w:themeFill="background1" w:themeFillShade="F2"/>
          </w:tcPr>
          <w:p w:rsidR="00840B58" w:rsidRPr="008F4446" w:rsidRDefault="00840B58" w:rsidP="00840B58">
            <w:pPr>
              <w:pStyle w:val="Box"/>
              <w:spacing w:before="0" w:line="120" w:lineRule="exact"/>
            </w:pPr>
          </w:p>
        </w:tc>
      </w:tr>
      <w:tr w:rsidR="00840B58" w:rsidRPr="008F4446" w:rsidTr="00840B58">
        <w:tc>
          <w:tcPr>
            <w:tcW w:w="8771" w:type="dxa"/>
            <w:tcBorders>
              <w:top w:val="single" w:sz="6" w:space="0" w:color="78A22F"/>
              <w:left w:val="nil"/>
              <w:bottom w:val="nil"/>
              <w:right w:val="nil"/>
            </w:tcBorders>
          </w:tcPr>
          <w:p w:rsidR="00840B58" w:rsidRPr="008F4446" w:rsidRDefault="00840B58" w:rsidP="00840B58">
            <w:pPr>
              <w:pStyle w:val="BoxSpaceBelow"/>
            </w:pPr>
          </w:p>
        </w:tc>
      </w:tr>
    </w:tbl>
    <w:p w:rsidR="00840B58" w:rsidRPr="002E7AEC" w:rsidRDefault="00840B58" w:rsidP="0026602B">
      <w:pPr>
        <w:pStyle w:val="BodyText"/>
      </w:pPr>
      <w:r w:rsidRPr="002E7AEC">
        <w:lastRenderedPageBreak/>
        <w:t xml:space="preserve">Tables </w:t>
      </w:r>
      <w:proofErr w:type="spellStart"/>
      <w:r w:rsidRPr="002E7AEC">
        <w:t>2A.52</w:t>
      </w:r>
      <w:proofErr w:type="spellEnd"/>
      <w:r w:rsidRPr="002E7AEC">
        <w:t>–53 in the attachment contain examples of the application of direct and indirect age standardisation, respectively. Standardised rates are generally multiplied by 1000 or 100 000 to avoid small decimal fractions. They are then reported as age standardised rates per 1000 or 100 000 population (AIHW 2013).</w:t>
      </w:r>
    </w:p>
    <w:p w:rsidR="00840B58" w:rsidRPr="002E7AEC" w:rsidRDefault="00840B58" w:rsidP="0026602B">
      <w:pPr>
        <w:pStyle w:val="BodyText"/>
      </w:pPr>
      <w:r w:rsidRPr="002E7AEC">
        <w:t>Figure 2</w:t>
      </w:r>
      <w:r w:rsidR="004758E4" w:rsidRPr="002E7AEC">
        <w:t>.4</w:t>
      </w:r>
      <w:r w:rsidRPr="002E7AEC">
        <w:t xml:space="preserve"> compares crude imprisonment rates and imprisonment rates standardised against the age profile of the total Australian prisoner population for Aboriginal and Torres Strait Islander and non</w:t>
      </w:r>
      <w:r w:rsidRPr="002E7AEC">
        <w:noBreakHyphen/>
        <w:t>Indigenous Australians.</w:t>
      </w:r>
    </w:p>
    <w:p w:rsidR="00840B58" w:rsidRPr="002E7AEC" w:rsidRDefault="00840B58" w:rsidP="00840B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4"/>
      </w:tblGrid>
      <w:tr w:rsidR="00840B58" w:rsidRPr="002E7AEC" w:rsidTr="00840B58">
        <w:tc>
          <w:tcPr>
            <w:tcW w:w="8774" w:type="dxa"/>
            <w:tcBorders>
              <w:top w:val="single" w:sz="6" w:space="0" w:color="78A22F"/>
              <w:left w:val="nil"/>
              <w:bottom w:val="nil"/>
              <w:right w:val="nil"/>
            </w:tcBorders>
            <w:shd w:val="clear" w:color="auto" w:fill="auto"/>
          </w:tcPr>
          <w:p w:rsidR="00840B58" w:rsidRPr="002E7AEC" w:rsidRDefault="00840B58" w:rsidP="004758E4">
            <w:pPr>
              <w:pStyle w:val="FigureTitle"/>
            </w:pPr>
            <w:r w:rsidRPr="002E7AEC">
              <w:rPr>
                <w:b w:val="0"/>
              </w:rPr>
              <w:t>Figure 2</w:t>
            </w:r>
            <w:r w:rsidR="004758E4" w:rsidRPr="002E7AEC">
              <w:rPr>
                <w:b w:val="0"/>
              </w:rPr>
              <w:t>.4</w:t>
            </w:r>
            <w:r w:rsidRPr="002E7AEC">
              <w:tab/>
              <w:t>Aboriginal and Torres Strait Islander</w:t>
            </w:r>
            <w:r w:rsidRPr="002E7AEC">
              <w:rPr>
                <w:szCs w:val="20"/>
              </w:rPr>
              <w:t xml:space="preserve"> </w:t>
            </w:r>
            <w:r w:rsidRPr="002E7AEC">
              <w:t>and non</w:t>
            </w:r>
            <w:r w:rsidRPr="002E7AEC">
              <w:noBreakHyphen/>
              <w:t>Indigenous Australians crude and age standardised imprisonment rates, 2007</w:t>
            </w:r>
            <w:r w:rsidRPr="002E7AEC">
              <w:noBreakHyphen/>
              <w:t>08</w:t>
            </w:r>
            <w:r w:rsidRPr="002E7AEC">
              <w:rPr>
                <w:position w:val="6"/>
                <w:sz w:val="18"/>
              </w:rPr>
              <w:t>a, b</w:t>
            </w:r>
          </w:p>
        </w:tc>
      </w:tr>
      <w:tr w:rsidR="00840B58" w:rsidRPr="00C408BA" w:rsidTr="00840B58">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90"/>
            </w:tblGrid>
            <w:tr w:rsidR="00840B58" w:rsidRPr="00C408BA" w:rsidTr="002E7AEC">
              <w:tc>
                <w:tcPr>
                  <w:tcW w:w="8490" w:type="dxa"/>
                  <w:tcBorders>
                    <w:top w:val="nil"/>
                    <w:bottom w:val="nil"/>
                  </w:tcBorders>
                </w:tcPr>
                <w:p w:rsidR="00840B58" w:rsidRPr="00C408BA" w:rsidRDefault="002E7AEC" w:rsidP="00840B58">
                  <w:pPr>
                    <w:pStyle w:val="Figure"/>
                    <w:spacing w:before="60" w:after="60"/>
                  </w:pPr>
                  <w:r w:rsidRPr="00C408BA">
                    <w:rPr>
                      <w:noProof/>
                    </w:rPr>
                    <w:drawing>
                      <wp:inline distT="0" distB="0" distL="0" distR="0" wp14:anchorId="65DEC0C0" wp14:editId="2D958548">
                        <wp:extent cx="5400000" cy="288000"/>
                        <wp:effectExtent l="0" t="0" r="0" b="0"/>
                        <wp:docPr id="5" name="Chart 5" descr="Figure 2.4 Aboriginal and Torres Strait Islander and non-Indigenous Australians crude and age standardised imprisonment rates, 2007-08&#10;&#10;Legend to Figure &#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r w:rsidR="00840B58" w:rsidRPr="00C408BA" w:rsidTr="002E7AEC">
              <w:tc>
                <w:tcPr>
                  <w:tcW w:w="8490" w:type="dxa"/>
                  <w:tcBorders>
                    <w:top w:val="nil"/>
                    <w:bottom w:val="nil"/>
                  </w:tcBorders>
                </w:tcPr>
                <w:p w:rsidR="00840B58" w:rsidRPr="00C408BA" w:rsidRDefault="00840B58" w:rsidP="00840B58">
                  <w:pPr>
                    <w:pStyle w:val="Figure"/>
                    <w:spacing w:before="60" w:after="60"/>
                    <w:rPr>
                      <w:rFonts w:ascii="Arial" w:hAnsi="Arial" w:cs="Arial"/>
                      <w:b/>
                      <w:sz w:val="20"/>
                    </w:rPr>
                  </w:pPr>
                  <w:r w:rsidRPr="00C408BA">
                    <w:rPr>
                      <w:rFonts w:ascii="Arial" w:hAnsi="Arial" w:cs="Arial"/>
                      <w:b/>
                      <w:sz w:val="20"/>
                    </w:rPr>
                    <w:t>Aboriginal and Torres Strait Islander</w:t>
                  </w:r>
                  <w:r w:rsidR="002E7AEC" w:rsidRPr="00C408BA">
                    <w:rPr>
                      <w:rFonts w:ascii="Arial" w:hAnsi="Arial" w:cs="Arial"/>
                      <w:b/>
                      <w:sz w:val="20"/>
                    </w:rPr>
                    <w:t xml:space="preserve"> Australians</w:t>
                  </w:r>
                </w:p>
                <w:p w:rsidR="00840B58" w:rsidRPr="00C408BA" w:rsidRDefault="00840B58" w:rsidP="00840B58">
                  <w:pPr>
                    <w:pStyle w:val="Figure"/>
                    <w:spacing w:before="60" w:after="60"/>
                    <w:rPr>
                      <w:rFonts w:ascii="Arial" w:hAnsi="Arial" w:cs="Arial"/>
                      <w:b/>
                      <w:sz w:val="20"/>
                    </w:rPr>
                  </w:pPr>
                  <w:r w:rsidRPr="00C408BA">
                    <w:rPr>
                      <w:noProof/>
                    </w:rPr>
                    <w:drawing>
                      <wp:inline distT="0" distB="0" distL="0" distR="0" wp14:anchorId="5C26D47A" wp14:editId="58B2246F">
                        <wp:extent cx="5400000" cy="2700000"/>
                        <wp:effectExtent l="0" t="0" r="0" b="5715"/>
                        <wp:docPr id="77" name="Chart 77" descr="Figure 2.13 Aboriginal and Torres Strait Islander and non-Indigenous Australians crude and age standardised imprisonment rates, 2007-08&#10;&#10;Aboriginal and Torres Strait Islan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Pr="00C408BA">
                    <w:rPr>
                      <w:rFonts w:ascii="Arial" w:hAnsi="Arial" w:cs="Arial"/>
                      <w:b/>
                      <w:sz w:val="20"/>
                    </w:rPr>
                    <w:t>Non</w:t>
                  </w:r>
                  <w:r w:rsidRPr="00C408BA">
                    <w:rPr>
                      <w:rFonts w:ascii="Arial" w:hAnsi="Arial" w:cs="Arial"/>
                      <w:b/>
                      <w:sz w:val="20"/>
                    </w:rPr>
                    <w:noBreakHyphen/>
                    <w:t>Indigenous</w:t>
                  </w:r>
                  <w:r w:rsidR="002E7AEC" w:rsidRPr="00C408BA">
                    <w:rPr>
                      <w:rFonts w:ascii="Arial" w:hAnsi="Arial" w:cs="Arial"/>
                      <w:b/>
                      <w:sz w:val="20"/>
                    </w:rPr>
                    <w:t xml:space="preserve"> Australians</w:t>
                  </w:r>
                </w:p>
                <w:p w:rsidR="00840B58" w:rsidRPr="00C408BA" w:rsidRDefault="00840B58" w:rsidP="00840B58">
                  <w:pPr>
                    <w:pStyle w:val="Figure"/>
                    <w:spacing w:before="60" w:after="60"/>
                    <w:rPr>
                      <w:noProof/>
                    </w:rPr>
                  </w:pPr>
                  <w:r w:rsidRPr="00C408BA">
                    <w:rPr>
                      <w:noProof/>
                    </w:rPr>
                    <w:drawing>
                      <wp:inline distT="0" distB="0" distL="0" distR="0" wp14:anchorId="452CA78A" wp14:editId="5D244494">
                        <wp:extent cx="5400000" cy="2700000"/>
                        <wp:effectExtent l="0" t="0" r="0" b="5715"/>
                        <wp:docPr id="78" name="Chart 78" descr="Figure 2.13 Aboriginal and Torres Strait Islander and non-Indigenous Australians crude and age standardised imprisonment rates, 2007-08&#10;&#10;Non-Indigenou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rsidR="00840B58" w:rsidRPr="00C408BA" w:rsidRDefault="00840B58" w:rsidP="00840B58">
            <w:pPr>
              <w:pStyle w:val="Figure"/>
            </w:pPr>
          </w:p>
        </w:tc>
      </w:tr>
      <w:tr w:rsidR="00840B58" w:rsidRPr="00C408BA" w:rsidTr="00840B58">
        <w:tc>
          <w:tcPr>
            <w:tcW w:w="8774" w:type="dxa"/>
            <w:tcBorders>
              <w:top w:val="nil"/>
              <w:left w:val="nil"/>
              <w:bottom w:val="nil"/>
              <w:right w:val="nil"/>
            </w:tcBorders>
            <w:shd w:val="clear" w:color="auto" w:fill="auto"/>
          </w:tcPr>
          <w:p w:rsidR="00840B58" w:rsidRPr="00C408BA" w:rsidRDefault="00840B58" w:rsidP="00840B58">
            <w:pPr>
              <w:pStyle w:val="Note"/>
            </w:pPr>
            <w:proofErr w:type="spellStart"/>
            <w:r w:rsidRPr="00C408BA">
              <w:rPr>
                <w:rStyle w:val="NoteLabel"/>
              </w:rPr>
              <w:t>a</w:t>
            </w:r>
            <w:proofErr w:type="spellEnd"/>
            <w:r w:rsidRPr="00C408BA">
              <w:t xml:space="preserve"> For detailed notes relating to these figures, please see the </w:t>
            </w:r>
            <w:r w:rsidRPr="00C408BA">
              <w:rPr>
                <w:i/>
              </w:rPr>
              <w:t>Report on Government Services 2009</w:t>
            </w:r>
            <w:r w:rsidRPr="00C408BA">
              <w:t xml:space="preserve">, </w:t>
            </w:r>
            <w:r w:rsidRPr="00C408BA">
              <w:br/>
              <w:t xml:space="preserve">table </w:t>
            </w:r>
            <w:proofErr w:type="spellStart"/>
            <w:r w:rsidRPr="00C408BA">
              <w:t>8A.4</w:t>
            </w:r>
            <w:proofErr w:type="spellEnd"/>
            <w:r w:rsidRPr="00C408BA">
              <w:t xml:space="preserve">. </w:t>
            </w:r>
            <w:r w:rsidRPr="00C408BA">
              <w:rPr>
                <w:rStyle w:val="NoteLabel"/>
              </w:rPr>
              <w:t>b</w:t>
            </w:r>
            <w:r w:rsidRPr="00C408BA">
              <w:t xml:space="preserve"> Rates are based on the indirect standardisation method, applying age</w:t>
            </w:r>
            <w:r w:rsidRPr="00C408BA">
              <w:noBreakHyphen/>
              <w:t>group imprisonment rates derived from Prison Census data.</w:t>
            </w:r>
          </w:p>
        </w:tc>
      </w:tr>
      <w:tr w:rsidR="00840B58" w:rsidRPr="00C408BA" w:rsidTr="00840B58">
        <w:tc>
          <w:tcPr>
            <w:tcW w:w="8774" w:type="dxa"/>
            <w:tcBorders>
              <w:top w:val="nil"/>
              <w:left w:val="nil"/>
              <w:bottom w:val="nil"/>
              <w:right w:val="nil"/>
            </w:tcBorders>
            <w:shd w:val="clear" w:color="auto" w:fill="auto"/>
          </w:tcPr>
          <w:p w:rsidR="00840B58" w:rsidRPr="00C408BA" w:rsidRDefault="00840B58" w:rsidP="004758E4">
            <w:pPr>
              <w:pStyle w:val="Source"/>
            </w:pPr>
            <w:r w:rsidRPr="00C408BA">
              <w:rPr>
                <w:i/>
              </w:rPr>
              <w:t>Source</w:t>
            </w:r>
            <w:r w:rsidRPr="00C408BA">
              <w:t xml:space="preserve">: </w:t>
            </w:r>
            <w:bookmarkStart w:id="53" w:name="OLE_LINK34"/>
            <w:bookmarkStart w:id="54" w:name="OLE_LINK35"/>
            <w:r w:rsidRPr="00C408BA">
              <w:t xml:space="preserve">ABS (unpublished) </w:t>
            </w:r>
            <w:r w:rsidRPr="00C408BA">
              <w:rPr>
                <w:i/>
              </w:rPr>
              <w:t>Australian Demographic Statistics, December 2007</w:t>
            </w:r>
            <w:r w:rsidRPr="00C408BA">
              <w:t xml:space="preserve">, Cat. no. 3101.0; </w:t>
            </w:r>
            <w:r w:rsidRPr="00C408BA">
              <w:br/>
              <w:t xml:space="preserve">ABS (unpublished) </w:t>
            </w:r>
            <w:r w:rsidRPr="00C408BA">
              <w:rPr>
                <w:i/>
              </w:rPr>
              <w:t>Experimental Projections Aboriginal and Torres Strait Islander Population</w:t>
            </w:r>
            <w:r w:rsidRPr="00C408BA">
              <w:t xml:space="preserve">, Cat. no. 3231.0; ABS (unpublished) </w:t>
            </w:r>
            <w:r w:rsidRPr="00C408BA">
              <w:rPr>
                <w:i/>
              </w:rPr>
              <w:t>Prisoners in Australia</w:t>
            </w:r>
            <w:r w:rsidRPr="00C408BA">
              <w:t>, Cat. no. 4517.0;</w:t>
            </w:r>
            <w:bookmarkEnd w:id="53"/>
            <w:bookmarkEnd w:id="54"/>
            <w:r w:rsidRPr="00C408BA">
              <w:t xml:space="preserve"> State and Territory governments (unpublished); SCRGSP (2009) </w:t>
            </w:r>
            <w:r w:rsidRPr="00C408BA">
              <w:rPr>
                <w:i/>
              </w:rPr>
              <w:t>Report on Government Services 2009</w:t>
            </w:r>
            <w:r w:rsidR="004758E4" w:rsidRPr="00C408BA">
              <w:t xml:space="preserve">, table </w:t>
            </w:r>
            <w:proofErr w:type="spellStart"/>
            <w:r w:rsidR="004758E4" w:rsidRPr="00C408BA">
              <w:t>8A.4</w:t>
            </w:r>
            <w:proofErr w:type="spellEnd"/>
            <w:r w:rsidR="004758E4" w:rsidRPr="00C408BA">
              <w:t xml:space="preserve">; table </w:t>
            </w:r>
            <w:proofErr w:type="spellStart"/>
            <w:r w:rsidR="004758E4" w:rsidRPr="00C408BA">
              <w:t>2A.53</w:t>
            </w:r>
            <w:proofErr w:type="spellEnd"/>
            <w:r w:rsidR="004758E4" w:rsidRPr="00C408BA">
              <w:t xml:space="preserve">; </w:t>
            </w:r>
            <w:r w:rsidR="004758E4" w:rsidRPr="00C408BA">
              <w:br/>
              <w:t>2015 Report, figure 2.13, p. 2.30.</w:t>
            </w:r>
          </w:p>
        </w:tc>
      </w:tr>
      <w:tr w:rsidR="00840B58" w:rsidRPr="00C408BA" w:rsidTr="00840B58">
        <w:tc>
          <w:tcPr>
            <w:tcW w:w="8774" w:type="dxa"/>
            <w:tcBorders>
              <w:top w:val="nil"/>
              <w:left w:val="nil"/>
              <w:bottom w:val="single" w:sz="6" w:space="0" w:color="78A22F"/>
              <w:right w:val="nil"/>
            </w:tcBorders>
            <w:shd w:val="clear" w:color="auto" w:fill="auto"/>
          </w:tcPr>
          <w:p w:rsidR="00840B58" w:rsidRPr="00C408BA" w:rsidRDefault="00840B58" w:rsidP="00840B58">
            <w:pPr>
              <w:pStyle w:val="Box"/>
              <w:spacing w:before="0" w:line="120" w:lineRule="exact"/>
            </w:pPr>
          </w:p>
        </w:tc>
      </w:tr>
      <w:tr w:rsidR="00840B58" w:rsidRPr="00C408BA" w:rsidTr="00840B58">
        <w:tc>
          <w:tcPr>
            <w:tcW w:w="8774" w:type="dxa"/>
            <w:tcBorders>
              <w:top w:val="single" w:sz="6" w:space="0" w:color="78A22F"/>
              <w:left w:val="nil"/>
              <w:bottom w:val="nil"/>
              <w:right w:val="nil"/>
            </w:tcBorders>
          </w:tcPr>
          <w:p w:rsidR="00840B58" w:rsidRPr="00C408BA" w:rsidRDefault="00840B58" w:rsidP="00840B58">
            <w:pPr>
              <w:pStyle w:val="BoxSpaceBelow"/>
            </w:pPr>
          </w:p>
        </w:tc>
      </w:tr>
    </w:tbl>
    <w:p w:rsidR="00840B58" w:rsidRPr="00C408BA" w:rsidRDefault="00840B58" w:rsidP="00DC2A21">
      <w:pPr>
        <w:pStyle w:val="Heading4"/>
      </w:pPr>
      <w:r w:rsidRPr="00C408BA">
        <w:lastRenderedPageBreak/>
        <w:t>Calculating age standardised ratios</w:t>
      </w:r>
    </w:p>
    <w:p w:rsidR="00840B58" w:rsidRPr="00C408BA" w:rsidRDefault="00840B58" w:rsidP="0026602B">
      <w:pPr>
        <w:pStyle w:val="BodyText"/>
      </w:pPr>
      <w:r w:rsidRPr="00C408BA">
        <w:t xml:space="preserve">A variation of the </w:t>
      </w:r>
      <w:r w:rsidRPr="00C408BA">
        <w:rPr>
          <w:i/>
        </w:rPr>
        <w:t>indirect method</w:t>
      </w:r>
      <w:r w:rsidRPr="00C408BA">
        <w:t xml:space="preserve"> is used to calculate age standardised ratios </w:t>
      </w:r>
      <w:r w:rsidR="004758E4" w:rsidRPr="00C408BA">
        <w:br/>
      </w:r>
      <w:r w:rsidRPr="00C408BA">
        <w:t>(</w:t>
      </w:r>
      <w:r w:rsidR="004758E4" w:rsidRPr="00C408BA">
        <w:t xml:space="preserve">2015 Report, </w:t>
      </w:r>
      <w:r w:rsidRPr="00C408BA">
        <w:t>box 2.6). These ratios express the overall experience of a study population in terms of a standard population, where the standard population is the population to which the study population is being compared.</w:t>
      </w:r>
    </w:p>
    <w:p w:rsidR="00840B58" w:rsidRPr="00C408BA" w:rsidRDefault="00840B58" w:rsidP="00DC2A21">
      <w:pPr>
        <w:pStyle w:val="Heading5"/>
      </w:pPr>
      <w:r w:rsidRPr="00C408BA">
        <w:t>Application of age standardised ratios</w:t>
      </w:r>
    </w:p>
    <w:p w:rsidR="00840B58" w:rsidRPr="00C408BA" w:rsidRDefault="00840B58" w:rsidP="0026602B">
      <w:pPr>
        <w:pStyle w:val="BodyText"/>
      </w:pPr>
      <w:r w:rsidRPr="00C408BA">
        <w:t>Standardised Mortality Ratios (</w:t>
      </w:r>
      <w:proofErr w:type="spellStart"/>
      <w:r w:rsidRPr="00C408BA">
        <w:t>SMRs</w:t>
      </w:r>
      <w:proofErr w:type="spellEnd"/>
      <w:r w:rsidRPr="00C408BA">
        <w:t>) have been used to compare death rates between the Aboriginal and Torres Strait Islander and non</w:t>
      </w:r>
      <w:r w:rsidRPr="00C408BA">
        <w:noBreakHyphen/>
        <w:t>Indigenous populations (table 2.</w:t>
      </w:r>
      <w:r w:rsidR="004758E4" w:rsidRPr="00C408BA">
        <w:t>1</w:t>
      </w:r>
      <w:r w:rsidRPr="00C408BA">
        <w:t xml:space="preserve">). The </w:t>
      </w:r>
      <w:proofErr w:type="spellStart"/>
      <w:r w:rsidRPr="00C408BA">
        <w:t>SMR</w:t>
      </w:r>
      <w:proofErr w:type="spellEnd"/>
      <w:r w:rsidRPr="00C408BA">
        <w:t xml:space="preserve"> is the ratio between the observed number of deaths in the Aboriginal and Torres Strait Islander population and the expected number of deaths that would have occurred if the Aboriginal and </w:t>
      </w:r>
      <w:r w:rsidRPr="00C408BA">
        <w:rPr>
          <w:shd w:val="clear" w:color="auto" w:fill="FCFCFC" w:themeFill="accent4" w:themeFillTint="33"/>
        </w:rPr>
        <w:t>Torres Strait Islander</w:t>
      </w:r>
      <w:r w:rsidRPr="00C408BA">
        <w:t xml:space="preserve"> population experienced the same age</w:t>
      </w:r>
      <w:r w:rsidRPr="00C408BA">
        <w:noBreakHyphen/>
        <w:t>specific death rates as the non</w:t>
      </w:r>
      <w:r w:rsidRPr="00C408BA">
        <w:noBreakHyphen/>
        <w:t xml:space="preserve">Indigenous population. Where the number of observed deaths is higher than the number of expected deaths, the </w:t>
      </w:r>
      <w:proofErr w:type="spellStart"/>
      <w:r w:rsidRPr="00C408BA">
        <w:t>SMR</w:t>
      </w:r>
      <w:proofErr w:type="spellEnd"/>
      <w:r w:rsidRPr="00C408BA">
        <w:t xml:space="preserve"> is greater than 1 and the difference in deaths is the excess number of deaths of Aboriginal and Torres Strait Islander Australians (</w:t>
      </w:r>
      <w:proofErr w:type="spellStart"/>
      <w:r w:rsidRPr="00C408BA">
        <w:t>AIHW</w:t>
      </w:r>
      <w:proofErr w:type="spellEnd"/>
      <w:r w:rsidRPr="00C408BA">
        <w:t xml:space="preserve"> </w:t>
      </w:r>
      <w:proofErr w:type="spellStart"/>
      <w:r w:rsidRPr="00C408BA">
        <w:t>2011a</w:t>
      </w:r>
      <w:proofErr w:type="spellEnd"/>
      <w:r w:rsidRPr="00C408BA">
        <w:t>).</w:t>
      </w:r>
    </w:p>
    <w:p w:rsidR="00840B58" w:rsidRPr="00C408BA" w:rsidRDefault="00840B58" w:rsidP="00DC2A21">
      <w:pPr>
        <w:pStyle w:val="Heading4"/>
      </w:pPr>
      <w:r w:rsidRPr="00C408BA">
        <w:t>New developments in age standardisation techniques</w:t>
      </w:r>
    </w:p>
    <w:p w:rsidR="00840B58" w:rsidRPr="00C408BA" w:rsidRDefault="00840B58" w:rsidP="0026602B">
      <w:pPr>
        <w:pStyle w:val="BodyText"/>
      </w:pPr>
      <w:r w:rsidRPr="00C408BA">
        <w:t>The ABS and the AIHW have r</w:t>
      </w:r>
      <w:r w:rsidR="002E7AEC" w:rsidRPr="00C408BA">
        <w:t xml:space="preserve">ecently worked on improving age </w:t>
      </w:r>
      <w:r w:rsidRPr="00C408BA">
        <w:t>standardisation techniques.</w:t>
      </w:r>
    </w:p>
    <w:p w:rsidR="00840B58" w:rsidRPr="00C408BA" w:rsidRDefault="00840B58" w:rsidP="0026602B">
      <w:pPr>
        <w:pStyle w:val="BodyText"/>
      </w:pPr>
      <w:r w:rsidRPr="00C408BA">
        <w:rPr>
          <w:i/>
        </w:rPr>
        <w:t>Principles on the use of direct age</w:t>
      </w:r>
      <w:r w:rsidRPr="00C408BA">
        <w:rPr>
          <w:i/>
        </w:rPr>
        <w:noBreakHyphen/>
        <w:t>standardisation in administrative data collections: for measuring the gap between Aboriginal and Torres Strait Islander Australians and non</w:t>
      </w:r>
      <w:r w:rsidRPr="00C408BA">
        <w:rPr>
          <w:i/>
        </w:rPr>
        <w:noBreakHyphen/>
        <w:t>Indigenous Australians</w:t>
      </w:r>
      <w:r w:rsidRPr="00C408BA">
        <w:t xml:space="preserve"> (</w:t>
      </w:r>
      <w:proofErr w:type="spellStart"/>
      <w:r w:rsidRPr="00C408BA">
        <w:t>AIHW</w:t>
      </w:r>
      <w:proofErr w:type="spellEnd"/>
      <w:r w:rsidRPr="00C408BA">
        <w:t xml:space="preserve"> </w:t>
      </w:r>
      <w:proofErr w:type="spellStart"/>
      <w:r w:rsidRPr="00C408BA">
        <w:t>2011b</w:t>
      </w:r>
      <w:proofErr w:type="spellEnd"/>
      <w:r w:rsidRPr="00C408BA">
        <w:t>) recommends that the direct method of age</w:t>
      </w:r>
      <w:r w:rsidRPr="00C408BA">
        <w:noBreakHyphen/>
        <w:t>standardisation be used for purposes of comparing health and welfare outcome measures (for example, mortality rates, life expectancy, hospital separation rates and disease incidence rates) of the Aboriginal and Torres Strait Islander population and non</w:t>
      </w:r>
      <w:r w:rsidRPr="00C408BA">
        <w:noBreakHyphen/>
        <w:t>Indigenous population. The principles provide consistency and guidance on whe</w:t>
      </w:r>
      <w:r w:rsidR="002E7AEC" w:rsidRPr="00C408BA">
        <w:t xml:space="preserve">n and how to use the direct age </w:t>
      </w:r>
      <w:r w:rsidRPr="00C408BA">
        <w:t>standardisation method and under what circumstances it should not be used.</w:t>
      </w:r>
    </w:p>
    <w:p w:rsidR="00840B58" w:rsidRPr="00C408BA" w:rsidRDefault="00840B58" w:rsidP="00840B5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40B58" w:rsidRPr="00C408BA" w:rsidTr="00840B58">
        <w:tc>
          <w:tcPr>
            <w:tcW w:w="8771" w:type="dxa"/>
            <w:tcBorders>
              <w:top w:val="single" w:sz="6" w:space="0" w:color="78A22F" w:themeColor="accent1"/>
              <w:left w:val="nil"/>
              <w:bottom w:val="nil"/>
              <w:right w:val="nil"/>
            </w:tcBorders>
            <w:shd w:val="clear" w:color="auto" w:fill="auto"/>
          </w:tcPr>
          <w:p w:rsidR="00840B58" w:rsidRPr="00C408BA" w:rsidRDefault="00840B58" w:rsidP="004758E4">
            <w:pPr>
              <w:pStyle w:val="TableTitle"/>
              <w:ind w:left="1304" w:hanging="1304"/>
            </w:pPr>
            <w:r w:rsidRPr="00C408BA">
              <w:rPr>
                <w:b w:val="0"/>
              </w:rPr>
              <w:t>Table 2</w:t>
            </w:r>
            <w:r w:rsidR="004758E4" w:rsidRPr="00C408BA">
              <w:rPr>
                <w:b w:val="0"/>
              </w:rPr>
              <w:t>.1</w:t>
            </w:r>
            <w:r w:rsidRPr="00C408BA">
              <w:tab/>
              <w:t>Aboriginal and Torres Strait Islander</w:t>
            </w:r>
            <w:r w:rsidRPr="00C408BA">
              <w:rPr>
                <w:szCs w:val="20"/>
              </w:rPr>
              <w:t xml:space="preserve"> Australians’</w:t>
            </w:r>
            <w:r w:rsidRPr="00C408BA">
              <w:t xml:space="preserve"> deaths, main causes and standardised mortality ratios, 2004–2008</w:t>
            </w:r>
            <w:r w:rsidRPr="00C408BA">
              <w:rPr>
                <w:position w:val="6"/>
                <w:sz w:val="18"/>
              </w:rPr>
              <w:t>a, b, c</w:t>
            </w:r>
          </w:p>
        </w:tc>
      </w:tr>
      <w:tr w:rsidR="00840B58" w:rsidRPr="00C408BA" w:rsidTr="00840B5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937"/>
              <w:gridCol w:w="900"/>
              <w:gridCol w:w="961"/>
              <w:gridCol w:w="711"/>
              <w:gridCol w:w="283"/>
              <w:gridCol w:w="991"/>
              <w:gridCol w:w="991"/>
              <w:gridCol w:w="713"/>
            </w:tblGrid>
            <w:tr w:rsidR="00840B58" w:rsidRPr="00C408BA" w:rsidTr="00840B58">
              <w:tc>
                <w:tcPr>
                  <w:tcW w:w="1730" w:type="pct"/>
                  <w:tcBorders>
                    <w:top w:val="single" w:sz="6" w:space="0" w:color="BFBFBF"/>
                    <w:bottom w:val="single" w:sz="6" w:space="0" w:color="BFBFBF"/>
                  </w:tcBorders>
                  <w:shd w:val="clear" w:color="auto" w:fill="auto"/>
                  <w:tcMar>
                    <w:top w:w="28" w:type="dxa"/>
                  </w:tcMar>
                </w:tcPr>
                <w:p w:rsidR="00840B58" w:rsidRPr="00C408BA" w:rsidRDefault="00840B58" w:rsidP="00840B58">
                  <w:pPr>
                    <w:pStyle w:val="TableColumnHeading"/>
                    <w:jc w:val="left"/>
                  </w:pPr>
                </w:p>
              </w:tc>
              <w:tc>
                <w:tcPr>
                  <w:tcW w:w="1515" w:type="pct"/>
                  <w:gridSpan w:val="3"/>
                  <w:tcBorders>
                    <w:top w:val="single" w:sz="6" w:space="0" w:color="BFBFBF"/>
                    <w:bottom w:val="single" w:sz="6" w:space="0" w:color="BFBFBF"/>
                  </w:tcBorders>
                </w:tcPr>
                <w:p w:rsidR="00840B58" w:rsidRPr="00C408BA" w:rsidRDefault="00840B58" w:rsidP="00840B58">
                  <w:pPr>
                    <w:pStyle w:val="TableColumnHeading"/>
                    <w:jc w:val="center"/>
                  </w:pPr>
                  <w:r w:rsidRPr="00C408BA">
                    <w:t>Male</w:t>
                  </w:r>
                </w:p>
              </w:tc>
              <w:tc>
                <w:tcPr>
                  <w:tcW w:w="167" w:type="pct"/>
                  <w:tcBorders>
                    <w:top w:val="single" w:sz="6" w:space="0" w:color="BFBFBF"/>
                    <w:bottom w:val="single" w:sz="6" w:space="0" w:color="BFBFBF"/>
                  </w:tcBorders>
                </w:tcPr>
                <w:p w:rsidR="00840B58" w:rsidRPr="00C408BA" w:rsidRDefault="00840B58" w:rsidP="00840B58">
                  <w:pPr>
                    <w:pStyle w:val="TableColumnHeading"/>
                  </w:pPr>
                </w:p>
              </w:tc>
              <w:tc>
                <w:tcPr>
                  <w:tcW w:w="1588" w:type="pct"/>
                  <w:gridSpan w:val="3"/>
                  <w:tcBorders>
                    <w:top w:val="single" w:sz="6" w:space="0" w:color="BFBFBF"/>
                    <w:bottom w:val="single" w:sz="6" w:space="0" w:color="BFBFBF"/>
                  </w:tcBorders>
                </w:tcPr>
                <w:p w:rsidR="00840B58" w:rsidRPr="00C408BA" w:rsidRDefault="00840B58" w:rsidP="00840B58">
                  <w:pPr>
                    <w:pStyle w:val="TableColumnHeading"/>
                    <w:ind w:right="28"/>
                    <w:jc w:val="center"/>
                  </w:pPr>
                  <w:r w:rsidRPr="00C408BA">
                    <w:t>Female</w:t>
                  </w:r>
                </w:p>
              </w:tc>
            </w:tr>
            <w:tr w:rsidR="00840B58" w:rsidRPr="00C408BA" w:rsidTr="00840B58">
              <w:tc>
                <w:tcPr>
                  <w:tcW w:w="1730" w:type="pct"/>
                  <w:tcBorders>
                    <w:top w:val="single" w:sz="6" w:space="0" w:color="BFBFBF"/>
                  </w:tcBorders>
                </w:tcPr>
                <w:p w:rsidR="00840B58" w:rsidRPr="00C408BA" w:rsidRDefault="00840B58" w:rsidP="00840B58">
                  <w:pPr>
                    <w:pStyle w:val="TableUnitsRow"/>
                    <w:jc w:val="left"/>
                  </w:pPr>
                </w:p>
              </w:tc>
              <w:tc>
                <w:tcPr>
                  <w:tcW w:w="530" w:type="pct"/>
                  <w:tcBorders>
                    <w:top w:val="single" w:sz="6" w:space="0" w:color="BFBFBF"/>
                  </w:tcBorders>
                </w:tcPr>
                <w:p w:rsidR="00840B58" w:rsidRPr="00C408BA" w:rsidRDefault="00840B58" w:rsidP="00840B58">
                  <w:pPr>
                    <w:pStyle w:val="TableColumnHeading"/>
                  </w:pPr>
                  <w:r w:rsidRPr="00C408BA">
                    <w:t>Observed</w:t>
                  </w:r>
                  <w:r w:rsidRPr="00C408BA">
                    <w:br/>
                    <w:t>deaths</w:t>
                  </w:r>
                </w:p>
              </w:tc>
              <w:tc>
                <w:tcPr>
                  <w:tcW w:w="566" w:type="pct"/>
                  <w:tcBorders>
                    <w:top w:val="single" w:sz="6" w:space="0" w:color="BFBFBF"/>
                  </w:tcBorders>
                </w:tcPr>
                <w:p w:rsidR="00840B58" w:rsidRPr="00C408BA" w:rsidRDefault="00840B58" w:rsidP="00840B58">
                  <w:pPr>
                    <w:pStyle w:val="TableColumnHeading"/>
                  </w:pPr>
                  <w:r w:rsidRPr="00C408BA">
                    <w:t>Expected</w:t>
                  </w:r>
                  <w:r w:rsidRPr="00C408BA">
                    <w:br/>
                    <w:t>deaths</w:t>
                  </w:r>
                </w:p>
              </w:tc>
              <w:tc>
                <w:tcPr>
                  <w:tcW w:w="419" w:type="pct"/>
                  <w:tcBorders>
                    <w:top w:val="single" w:sz="6" w:space="0" w:color="BFBFBF"/>
                  </w:tcBorders>
                </w:tcPr>
                <w:p w:rsidR="00840B58" w:rsidRPr="00C408BA" w:rsidRDefault="00840B58" w:rsidP="00840B58">
                  <w:pPr>
                    <w:pStyle w:val="TableColumnHeading"/>
                  </w:pPr>
                  <w:r w:rsidRPr="00C408BA">
                    <w:br/>
                  </w:r>
                  <w:proofErr w:type="spellStart"/>
                  <w:r w:rsidRPr="00C408BA">
                    <w:t>SMR</w:t>
                  </w:r>
                  <w:proofErr w:type="spellEnd"/>
                </w:p>
              </w:tc>
              <w:tc>
                <w:tcPr>
                  <w:tcW w:w="167" w:type="pct"/>
                  <w:tcBorders>
                    <w:top w:val="single" w:sz="6" w:space="0" w:color="BFBFBF"/>
                  </w:tcBorders>
                </w:tcPr>
                <w:p w:rsidR="00840B58" w:rsidRPr="00C408BA" w:rsidRDefault="00840B58" w:rsidP="00840B58">
                  <w:pPr>
                    <w:pStyle w:val="TableUnitsRow"/>
                  </w:pPr>
                </w:p>
              </w:tc>
              <w:tc>
                <w:tcPr>
                  <w:tcW w:w="584" w:type="pct"/>
                  <w:tcBorders>
                    <w:top w:val="single" w:sz="6" w:space="0" w:color="BFBFBF"/>
                  </w:tcBorders>
                </w:tcPr>
                <w:p w:rsidR="00840B58" w:rsidRPr="00C408BA" w:rsidRDefault="00840B58" w:rsidP="00840B58">
                  <w:pPr>
                    <w:pStyle w:val="TableColumnHeading"/>
                  </w:pPr>
                  <w:r w:rsidRPr="00C408BA">
                    <w:t>Observed</w:t>
                  </w:r>
                  <w:r w:rsidRPr="00C408BA">
                    <w:br/>
                    <w:t>deaths</w:t>
                  </w:r>
                </w:p>
              </w:tc>
              <w:tc>
                <w:tcPr>
                  <w:tcW w:w="584" w:type="pct"/>
                  <w:tcBorders>
                    <w:top w:val="single" w:sz="6" w:space="0" w:color="BFBFBF"/>
                  </w:tcBorders>
                </w:tcPr>
                <w:p w:rsidR="00840B58" w:rsidRPr="00C408BA" w:rsidRDefault="00840B58" w:rsidP="00840B58">
                  <w:pPr>
                    <w:pStyle w:val="TableColumnHeading"/>
                  </w:pPr>
                  <w:r w:rsidRPr="00C408BA">
                    <w:t>Expected</w:t>
                  </w:r>
                  <w:r w:rsidRPr="00C408BA">
                    <w:br/>
                    <w:t>deaths</w:t>
                  </w:r>
                </w:p>
              </w:tc>
              <w:tc>
                <w:tcPr>
                  <w:tcW w:w="420" w:type="pct"/>
                  <w:tcBorders>
                    <w:top w:val="single" w:sz="6" w:space="0" w:color="BFBFBF"/>
                  </w:tcBorders>
                </w:tcPr>
                <w:p w:rsidR="00840B58" w:rsidRPr="00C408BA" w:rsidRDefault="00840B58" w:rsidP="00840B58">
                  <w:pPr>
                    <w:pStyle w:val="TableColumnHeading"/>
                  </w:pPr>
                  <w:r w:rsidRPr="00C408BA">
                    <w:br/>
                  </w:r>
                  <w:proofErr w:type="spellStart"/>
                  <w:r w:rsidRPr="00C408BA">
                    <w:t>SMR</w:t>
                  </w:r>
                  <w:proofErr w:type="spellEnd"/>
                </w:p>
              </w:tc>
            </w:tr>
            <w:tr w:rsidR="00840B58" w:rsidRPr="00C408BA" w:rsidTr="00840B58">
              <w:tc>
                <w:tcPr>
                  <w:tcW w:w="1730" w:type="pct"/>
                </w:tcPr>
                <w:p w:rsidR="00840B58" w:rsidRPr="00C408BA" w:rsidRDefault="00840B58" w:rsidP="00840B58">
                  <w:pPr>
                    <w:pStyle w:val="TableBodyText"/>
                    <w:ind w:left="142" w:hanging="136"/>
                    <w:jc w:val="left"/>
                  </w:pPr>
                  <w:r w:rsidRPr="00C408BA">
                    <w:t>Diseases of the circulatory system</w:t>
                  </w:r>
                </w:p>
              </w:tc>
              <w:tc>
                <w:tcPr>
                  <w:tcW w:w="530" w:type="pct"/>
                </w:tcPr>
                <w:p w:rsidR="00840B58" w:rsidRPr="00C408BA" w:rsidRDefault="00840B58" w:rsidP="00840B58">
                  <w:pPr>
                    <w:pStyle w:val="TableBodyText"/>
                  </w:pPr>
                  <w:r w:rsidRPr="00C408BA">
                    <w:t>321</w:t>
                  </w:r>
                </w:p>
              </w:tc>
              <w:tc>
                <w:tcPr>
                  <w:tcW w:w="566" w:type="pct"/>
                </w:tcPr>
                <w:p w:rsidR="00840B58" w:rsidRPr="00C408BA" w:rsidRDefault="00840B58" w:rsidP="00840B58">
                  <w:pPr>
                    <w:pStyle w:val="TableBodyText"/>
                  </w:pPr>
                  <w:r w:rsidRPr="00C408BA">
                    <w:t>107</w:t>
                  </w:r>
                </w:p>
              </w:tc>
              <w:tc>
                <w:tcPr>
                  <w:tcW w:w="419" w:type="pct"/>
                </w:tcPr>
                <w:p w:rsidR="00840B58" w:rsidRPr="00C408BA" w:rsidRDefault="00840B58" w:rsidP="00840B58">
                  <w:pPr>
                    <w:pStyle w:val="TableBodyText"/>
                  </w:pPr>
                  <w:r w:rsidRPr="00C408BA">
                    <w:t>3.0</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260</w:t>
                  </w:r>
                </w:p>
              </w:tc>
              <w:tc>
                <w:tcPr>
                  <w:tcW w:w="584" w:type="pct"/>
                </w:tcPr>
                <w:p w:rsidR="00840B58" w:rsidRPr="00C408BA" w:rsidRDefault="00840B58" w:rsidP="00840B58">
                  <w:pPr>
                    <w:pStyle w:val="TableBodyText"/>
                  </w:pPr>
                  <w:r w:rsidRPr="00C408BA">
                    <w:t>148</w:t>
                  </w:r>
                </w:p>
              </w:tc>
              <w:tc>
                <w:tcPr>
                  <w:tcW w:w="420" w:type="pct"/>
                </w:tcPr>
                <w:p w:rsidR="00840B58" w:rsidRPr="00C408BA" w:rsidRDefault="00840B58" w:rsidP="00840B58">
                  <w:pPr>
                    <w:pStyle w:val="TableBodyText"/>
                    <w:ind w:right="28"/>
                  </w:pPr>
                  <w:r w:rsidRPr="00C408BA">
                    <w:t>1.8</w:t>
                  </w:r>
                </w:p>
              </w:tc>
            </w:tr>
            <w:tr w:rsidR="00840B58" w:rsidRPr="00C408BA" w:rsidTr="00840B58">
              <w:tc>
                <w:tcPr>
                  <w:tcW w:w="1730" w:type="pct"/>
                </w:tcPr>
                <w:p w:rsidR="00840B58" w:rsidRPr="00C408BA" w:rsidRDefault="00840B58" w:rsidP="00840B58">
                  <w:pPr>
                    <w:pStyle w:val="TableBodyText"/>
                    <w:ind w:left="142" w:hanging="136"/>
                    <w:jc w:val="left"/>
                  </w:pPr>
                  <w:r w:rsidRPr="00C408BA">
                    <w:t>Neoplasms</w:t>
                  </w:r>
                </w:p>
              </w:tc>
              <w:tc>
                <w:tcPr>
                  <w:tcW w:w="530" w:type="pct"/>
                </w:tcPr>
                <w:p w:rsidR="00840B58" w:rsidRPr="00C408BA" w:rsidRDefault="00840B58" w:rsidP="00840B58">
                  <w:pPr>
                    <w:pStyle w:val="TableBodyText"/>
                  </w:pPr>
                  <w:r w:rsidRPr="00C408BA">
                    <w:t>200</w:t>
                  </w:r>
                </w:p>
              </w:tc>
              <w:tc>
                <w:tcPr>
                  <w:tcW w:w="566" w:type="pct"/>
                </w:tcPr>
                <w:p w:rsidR="00840B58" w:rsidRPr="00C408BA" w:rsidRDefault="00840B58" w:rsidP="00840B58">
                  <w:pPr>
                    <w:pStyle w:val="TableBodyText"/>
                  </w:pPr>
                  <w:r w:rsidRPr="00C408BA">
                    <w:t>120</w:t>
                  </w:r>
                </w:p>
              </w:tc>
              <w:tc>
                <w:tcPr>
                  <w:tcW w:w="419" w:type="pct"/>
                </w:tcPr>
                <w:p w:rsidR="00840B58" w:rsidRPr="00C408BA" w:rsidRDefault="00840B58" w:rsidP="00840B58">
                  <w:pPr>
                    <w:pStyle w:val="TableBodyText"/>
                  </w:pPr>
                  <w:r w:rsidRPr="00C408BA">
                    <w:t>1.7</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191</w:t>
                  </w:r>
                </w:p>
              </w:tc>
              <w:tc>
                <w:tcPr>
                  <w:tcW w:w="584" w:type="pct"/>
                </w:tcPr>
                <w:p w:rsidR="00840B58" w:rsidRPr="00C408BA" w:rsidRDefault="00840B58" w:rsidP="00840B58">
                  <w:pPr>
                    <w:pStyle w:val="TableBodyText"/>
                  </w:pPr>
                  <w:r w:rsidRPr="00C408BA">
                    <w:t>150</w:t>
                  </w:r>
                </w:p>
              </w:tc>
              <w:tc>
                <w:tcPr>
                  <w:tcW w:w="420" w:type="pct"/>
                </w:tcPr>
                <w:p w:rsidR="00840B58" w:rsidRPr="00C408BA" w:rsidRDefault="00840B58" w:rsidP="00840B58">
                  <w:pPr>
                    <w:pStyle w:val="TableBodyText"/>
                    <w:ind w:right="28"/>
                  </w:pPr>
                  <w:r w:rsidRPr="00C408BA">
                    <w:t>1.3</w:t>
                  </w:r>
                </w:p>
              </w:tc>
            </w:tr>
            <w:tr w:rsidR="00840B58" w:rsidRPr="00C408BA" w:rsidTr="00840B58">
              <w:tc>
                <w:tcPr>
                  <w:tcW w:w="1730" w:type="pct"/>
                </w:tcPr>
                <w:p w:rsidR="00840B58" w:rsidRPr="00C408BA" w:rsidRDefault="00840B58" w:rsidP="00840B58">
                  <w:pPr>
                    <w:pStyle w:val="TableBodyText"/>
                    <w:ind w:left="142" w:hanging="136"/>
                    <w:jc w:val="left"/>
                  </w:pPr>
                  <w:r w:rsidRPr="00C408BA">
                    <w:t>External causes</w:t>
                  </w:r>
                </w:p>
              </w:tc>
              <w:tc>
                <w:tcPr>
                  <w:tcW w:w="530" w:type="pct"/>
                </w:tcPr>
                <w:p w:rsidR="00840B58" w:rsidRPr="00C408BA" w:rsidRDefault="00840B58" w:rsidP="00840B58">
                  <w:pPr>
                    <w:pStyle w:val="TableBodyText"/>
                  </w:pPr>
                  <w:r w:rsidRPr="00C408BA">
                    <w:t>225</w:t>
                  </w:r>
                </w:p>
              </w:tc>
              <w:tc>
                <w:tcPr>
                  <w:tcW w:w="566" w:type="pct"/>
                </w:tcPr>
                <w:p w:rsidR="00840B58" w:rsidRPr="00C408BA" w:rsidRDefault="00840B58" w:rsidP="00840B58">
                  <w:pPr>
                    <w:pStyle w:val="TableBodyText"/>
                  </w:pPr>
                  <w:r w:rsidRPr="00C408BA">
                    <w:t>61</w:t>
                  </w:r>
                </w:p>
              </w:tc>
              <w:tc>
                <w:tcPr>
                  <w:tcW w:w="419" w:type="pct"/>
                </w:tcPr>
                <w:p w:rsidR="00840B58" w:rsidRPr="00C408BA" w:rsidRDefault="00840B58" w:rsidP="00840B58">
                  <w:pPr>
                    <w:pStyle w:val="TableBodyText"/>
                  </w:pPr>
                  <w:r w:rsidRPr="00C408BA">
                    <w:t>3.7</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98</w:t>
                  </w:r>
                </w:p>
              </w:tc>
              <w:tc>
                <w:tcPr>
                  <w:tcW w:w="584" w:type="pct"/>
                </w:tcPr>
                <w:p w:rsidR="00840B58" w:rsidRPr="00C408BA" w:rsidRDefault="00840B58" w:rsidP="00840B58">
                  <w:pPr>
                    <w:pStyle w:val="TableBodyText"/>
                  </w:pPr>
                  <w:r w:rsidRPr="00C408BA">
                    <w:t>64</w:t>
                  </w:r>
                </w:p>
              </w:tc>
              <w:tc>
                <w:tcPr>
                  <w:tcW w:w="420" w:type="pct"/>
                </w:tcPr>
                <w:p w:rsidR="00840B58" w:rsidRPr="00C408BA" w:rsidRDefault="00840B58" w:rsidP="00840B58">
                  <w:pPr>
                    <w:pStyle w:val="TableBodyText"/>
                    <w:ind w:right="28"/>
                  </w:pPr>
                  <w:r w:rsidRPr="00C408BA">
                    <w:t>1.5</w:t>
                  </w:r>
                </w:p>
              </w:tc>
            </w:tr>
            <w:tr w:rsidR="00840B58" w:rsidRPr="00C408BA" w:rsidTr="00840B58">
              <w:tc>
                <w:tcPr>
                  <w:tcW w:w="1730" w:type="pct"/>
                </w:tcPr>
                <w:p w:rsidR="00840B58" w:rsidRPr="00C408BA" w:rsidRDefault="00840B58" w:rsidP="00840B58">
                  <w:pPr>
                    <w:pStyle w:val="TableBodyText"/>
                    <w:ind w:left="142" w:hanging="136"/>
                    <w:jc w:val="left"/>
                  </w:pPr>
                  <w:r w:rsidRPr="00C408BA">
                    <w:t>Endocrine, metabolic and nutritional disorders</w:t>
                  </w:r>
                </w:p>
              </w:tc>
              <w:tc>
                <w:tcPr>
                  <w:tcW w:w="530" w:type="pct"/>
                </w:tcPr>
                <w:p w:rsidR="00840B58" w:rsidRPr="00C408BA" w:rsidRDefault="00840B58" w:rsidP="00840B58">
                  <w:pPr>
                    <w:pStyle w:val="TableBodyText"/>
                  </w:pPr>
                  <w:r w:rsidRPr="00C408BA">
                    <w:t>86</w:t>
                  </w:r>
                </w:p>
              </w:tc>
              <w:tc>
                <w:tcPr>
                  <w:tcW w:w="566" w:type="pct"/>
                </w:tcPr>
                <w:p w:rsidR="00840B58" w:rsidRPr="00C408BA" w:rsidRDefault="00840B58" w:rsidP="00840B58">
                  <w:pPr>
                    <w:pStyle w:val="TableBodyText"/>
                  </w:pPr>
                  <w:r w:rsidRPr="00C408BA">
                    <w:t>12</w:t>
                  </w:r>
                </w:p>
              </w:tc>
              <w:tc>
                <w:tcPr>
                  <w:tcW w:w="419" w:type="pct"/>
                </w:tcPr>
                <w:p w:rsidR="00840B58" w:rsidRPr="00C408BA" w:rsidRDefault="00840B58" w:rsidP="00840B58">
                  <w:pPr>
                    <w:pStyle w:val="TableBodyText"/>
                  </w:pPr>
                  <w:r w:rsidRPr="00C408BA">
                    <w:t>7.2</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96</w:t>
                  </w:r>
                </w:p>
              </w:tc>
              <w:tc>
                <w:tcPr>
                  <w:tcW w:w="584" w:type="pct"/>
                </w:tcPr>
                <w:p w:rsidR="00840B58" w:rsidRPr="00C408BA" w:rsidRDefault="00840B58" w:rsidP="00840B58">
                  <w:pPr>
                    <w:pStyle w:val="TableBodyText"/>
                  </w:pPr>
                  <w:r w:rsidRPr="00C408BA">
                    <w:t>15</w:t>
                  </w:r>
                </w:p>
              </w:tc>
              <w:tc>
                <w:tcPr>
                  <w:tcW w:w="420" w:type="pct"/>
                </w:tcPr>
                <w:p w:rsidR="00840B58" w:rsidRPr="00C408BA" w:rsidRDefault="00840B58" w:rsidP="00840B58">
                  <w:pPr>
                    <w:pStyle w:val="TableBodyText"/>
                    <w:ind w:right="28"/>
                  </w:pPr>
                  <w:r w:rsidRPr="00C408BA">
                    <w:t>6.4</w:t>
                  </w:r>
                </w:p>
              </w:tc>
            </w:tr>
            <w:tr w:rsidR="00840B58" w:rsidRPr="00C408BA" w:rsidTr="00840B58">
              <w:tc>
                <w:tcPr>
                  <w:tcW w:w="1730" w:type="pct"/>
                </w:tcPr>
                <w:p w:rsidR="00840B58" w:rsidRPr="00C408BA" w:rsidRDefault="00840B58" w:rsidP="00840B58">
                  <w:pPr>
                    <w:pStyle w:val="TableBodyText"/>
                    <w:ind w:left="142" w:hanging="136"/>
                    <w:jc w:val="left"/>
                  </w:pPr>
                  <w:r w:rsidRPr="00C408BA">
                    <w:t>Diseases of the respiratory system</w:t>
                  </w:r>
                </w:p>
              </w:tc>
              <w:tc>
                <w:tcPr>
                  <w:tcW w:w="530" w:type="pct"/>
                </w:tcPr>
                <w:p w:rsidR="00840B58" w:rsidRPr="00C408BA" w:rsidRDefault="00840B58" w:rsidP="00840B58">
                  <w:pPr>
                    <w:pStyle w:val="TableBodyText"/>
                  </w:pPr>
                  <w:r w:rsidRPr="00C408BA">
                    <w:t>94</w:t>
                  </w:r>
                </w:p>
              </w:tc>
              <w:tc>
                <w:tcPr>
                  <w:tcW w:w="566" w:type="pct"/>
                </w:tcPr>
                <w:p w:rsidR="00840B58" w:rsidRPr="00C408BA" w:rsidRDefault="00840B58" w:rsidP="00840B58">
                  <w:pPr>
                    <w:pStyle w:val="TableBodyText"/>
                  </w:pPr>
                  <w:r w:rsidRPr="00C408BA">
                    <w:t>24</w:t>
                  </w:r>
                </w:p>
              </w:tc>
              <w:tc>
                <w:tcPr>
                  <w:tcW w:w="419" w:type="pct"/>
                </w:tcPr>
                <w:p w:rsidR="00840B58" w:rsidRPr="00C408BA" w:rsidRDefault="00840B58" w:rsidP="00840B58">
                  <w:pPr>
                    <w:pStyle w:val="TableBodyText"/>
                  </w:pPr>
                  <w:r w:rsidRPr="00C408BA">
                    <w:t>3.9</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96</w:t>
                  </w:r>
                </w:p>
              </w:tc>
              <w:tc>
                <w:tcPr>
                  <w:tcW w:w="584" w:type="pct"/>
                </w:tcPr>
                <w:p w:rsidR="00840B58" w:rsidRPr="00C408BA" w:rsidRDefault="00840B58" w:rsidP="00840B58">
                  <w:pPr>
                    <w:pStyle w:val="TableBodyText"/>
                  </w:pPr>
                  <w:r w:rsidRPr="00C408BA">
                    <w:t>33</w:t>
                  </w:r>
                </w:p>
              </w:tc>
              <w:tc>
                <w:tcPr>
                  <w:tcW w:w="420" w:type="pct"/>
                </w:tcPr>
                <w:p w:rsidR="00840B58" w:rsidRPr="00C408BA" w:rsidRDefault="00840B58" w:rsidP="00840B58">
                  <w:pPr>
                    <w:pStyle w:val="TableBodyText"/>
                    <w:ind w:right="28"/>
                  </w:pPr>
                  <w:r w:rsidRPr="00C408BA">
                    <w:t>2.3</w:t>
                  </w:r>
                </w:p>
              </w:tc>
            </w:tr>
            <w:tr w:rsidR="00840B58" w:rsidRPr="00C408BA" w:rsidTr="00840B58">
              <w:tc>
                <w:tcPr>
                  <w:tcW w:w="1730" w:type="pct"/>
                </w:tcPr>
                <w:p w:rsidR="00840B58" w:rsidRPr="00C408BA" w:rsidRDefault="00840B58" w:rsidP="00840B58">
                  <w:pPr>
                    <w:pStyle w:val="TableBodyText"/>
                    <w:ind w:left="142" w:hanging="136"/>
                    <w:jc w:val="left"/>
                  </w:pPr>
                  <w:r w:rsidRPr="00C408BA">
                    <w:t>Diseases of the digestive system</w:t>
                  </w:r>
                </w:p>
              </w:tc>
              <w:tc>
                <w:tcPr>
                  <w:tcW w:w="530" w:type="pct"/>
                </w:tcPr>
                <w:p w:rsidR="00840B58" w:rsidRPr="00C408BA" w:rsidRDefault="00840B58" w:rsidP="00840B58">
                  <w:pPr>
                    <w:pStyle w:val="TableBodyText"/>
                  </w:pPr>
                  <w:r w:rsidRPr="00C408BA">
                    <w:t>70</w:t>
                  </w:r>
                </w:p>
              </w:tc>
              <w:tc>
                <w:tcPr>
                  <w:tcW w:w="566" w:type="pct"/>
                </w:tcPr>
                <w:p w:rsidR="00840B58" w:rsidRPr="00C408BA" w:rsidRDefault="00840B58" w:rsidP="00840B58">
                  <w:pPr>
                    <w:pStyle w:val="TableBodyText"/>
                  </w:pPr>
                  <w:r w:rsidRPr="00C408BA">
                    <w:t>11</w:t>
                  </w:r>
                </w:p>
              </w:tc>
              <w:tc>
                <w:tcPr>
                  <w:tcW w:w="419" w:type="pct"/>
                </w:tcPr>
                <w:p w:rsidR="00840B58" w:rsidRPr="00C408BA" w:rsidRDefault="00840B58" w:rsidP="00840B58">
                  <w:pPr>
                    <w:pStyle w:val="TableBodyText"/>
                  </w:pPr>
                  <w:r w:rsidRPr="00C408BA">
                    <w:t>6.4</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76</w:t>
                  </w:r>
                </w:p>
              </w:tc>
              <w:tc>
                <w:tcPr>
                  <w:tcW w:w="584" w:type="pct"/>
                </w:tcPr>
                <w:p w:rsidR="00840B58" w:rsidRPr="00C408BA" w:rsidRDefault="00840B58" w:rsidP="00840B58">
                  <w:pPr>
                    <w:pStyle w:val="TableBodyText"/>
                  </w:pPr>
                  <w:r w:rsidRPr="00C408BA">
                    <w:t>14</w:t>
                  </w:r>
                </w:p>
              </w:tc>
              <w:tc>
                <w:tcPr>
                  <w:tcW w:w="420" w:type="pct"/>
                </w:tcPr>
                <w:p w:rsidR="00840B58" w:rsidRPr="00C408BA" w:rsidRDefault="00840B58" w:rsidP="00840B58">
                  <w:pPr>
                    <w:pStyle w:val="TableBodyText"/>
                    <w:ind w:right="28"/>
                  </w:pPr>
                  <w:r w:rsidRPr="00C408BA">
                    <w:t>4.2</w:t>
                  </w:r>
                </w:p>
              </w:tc>
            </w:tr>
            <w:tr w:rsidR="00840B58" w:rsidRPr="00C408BA" w:rsidTr="00840B58">
              <w:tc>
                <w:tcPr>
                  <w:tcW w:w="1730" w:type="pct"/>
                </w:tcPr>
                <w:p w:rsidR="00840B58" w:rsidRPr="00C408BA" w:rsidRDefault="00840B58" w:rsidP="00840B58">
                  <w:pPr>
                    <w:pStyle w:val="TableBodyText"/>
                    <w:ind w:left="142" w:hanging="136"/>
                    <w:jc w:val="left"/>
                  </w:pPr>
                  <w:r w:rsidRPr="00C408BA">
                    <w:t>Diseases of the nervous system</w:t>
                  </w:r>
                </w:p>
              </w:tc>
              <w:tc>
                <w:tcPr>
                  <w:tcW w:w="530" w:type="pct"/>
                </w:tcPr>
                <w:p w:rsidR="00840B58" w:rsidRPr="00C408BA" w:rsidRDefault="00840B58" w:rsidP="00840B58">
                  <w:pPr>
                    <w:pStyle w:val="TableBodyText"/>
                  </w:pPr>
                  <w:r w:rsidRPr="00C408BA">
                    <w:t>33</w:t>
                  </w:r>
                </w:p>
              </w:tc>
              <w:tc>
                <w:tcPr>
                  <w:tcW w:w="566" w:type="pct"/>
                </w:tcPr>
                <w:p w:rsidR="00840B58" w:rsidRPr="00C408BA" w:rsidRDefault="00840B58" w:rsidP="00840B58">
                  <w:pPr>
                    <w:pStyle w:val="TableBodyText"/>
                  </w:pPr>
                  <w:r w:rsidRPr="00C408BA">
                    <w:t>13</w:t>
                  </w:r>
                </w:p>
              </w:tc>
              <w:tc>
                <w:tcPr>
                  <w:tcW w:w="419" w:type="pct"/>
                </w:tcPr>
                <w:p w:rsidR="00840B58" w:rsidRPr="00C408BA" w:rsidRDefault="00840B58" w:rsidP="00840B58">
                  <w:pPr>
                    <w:pStyle w:val="TableBodyText"/>
                  </w:pPr>
                  <w:r w:rsidRPr="00C408BA">
                    <w:t>2.5</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59</w:t>
                  </w:r>
                </w:p>
              </w:tc>
              <w:tc>
                <w:tcPr>
                  <w:tcW w:w="584" w:type="pct"/>
                </w:tcPr>
                <w:p w:rsidR="00840B58" w:rsidRPr="00C408BA" w:rsidRDefault="00840B58" w:rsidP="00840B58">
                  <w:pPr>
                    <w:pStyle w:val="TableBodyText"/>
                  </w:pPr>
                  <w:r w:rsidRPr="00C408BA">
                    <w:t>16</w:t>
                  </w:r>
                </w:p>
              </w:tc>
              <w:tc>
                <w:tcPr>
                  <w:tcW w:w="420" w:type="pct"/>
                </w:tcPr>
                <w:p w:rsidR="00840B58" w:rsidRPr="00C408BA" w:rsidRDefault="00840B58" w:rsidP="00840B58">
                  <w:pPr>
                    <w:pStyle w:val="TableBodyText"/>
                    <w:ind w:right="28"/>
                  </w:pPr>
                  <w:r w:rsidRPr="00C408BA">
                    <w:t>1.3</w:t>
                  </w:r>
                </w:p>
              </w:tc>
            </w:tr>
            <w:tr w:rsidR="00840B58" w:rsidRPr="00C408BA" w:rsidTr="00840B58">
              <w:tc>
                <w:tcPr>
                  <w:tcW w:w="1730" w:type="pct"/>
                </w:tcPr>
                <w:p w:rsidR="00840B58" w:rsidRPr="00C408BA" w:rsidRDefault="00840B58" w:rsidP="00840B58">
                  <w:pPr>
                    <w:pStyle w:val="TableBodyText"/>
                    <w:ind w:left="142" w:hanging="136"/>
                    <w:jc w:val="left"/>
                  </w:pPr>
                  <w:r w:rsidRPr="00C408BA">
                    <w:t>Conditions originating in the perinatal period</w:t>
                  </w:r>
                </w:p>
              </w:tc>
              <w:tc>
                <w:tcPr>
                  <w:tcW w:w="530" w:type="pct"/>
                </w:tcPr>
                <w:p w:rsidR="00840B58" w:rsidRPr="00C408BA" w:rsidRDefault="00840B58" w:rsidP="00840B58">
                  <w:pPr>
                    <w:pStyle w:val="TableBodyText"/>
                  </w:pPr>
                  <w:r w:rsidRPr="00C408BA">
                    <w:t>31</w:t>
                  </w:r>
                </w:p>
              </w:tc>
              <w:tc>
                <w:tcPr>
                  <w:tcW w:w="566" w:type="pct"/>
                </w:tcPr>
                <w:p w:rsidR="00840B58" w:rsidRPr="00C408BA" w:rsidRDefault="00840B58" w:rsidP="00840B58">
                  <w:pPr>
                    <w:pStyle w:val="TableBodyText"/>
                  </w:pPr>
                  <w:r w:rsidRPr="00C408BA">
                    <w:t>14</w:t>
                  </w:r>
                </w:p>
              </w:tc>
              <w:tc>
                <w:tcPr>
                  <w:tcW w:w="419" w:type="pct"/>
                </w:tcPr>
                <w:p w:rsidR="00840B58" w:rsidRPr="00C408BA" w:rsidRDefault="00840B58" w:rsidP="00840B58">
                  <w:pPr>
                    <w:pStyle w:val="TableBodyText"/>
                  </w:pPr>
                  <w:r w:rsidRPr="00C408BA">
                    <w:t>2.2</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21</w:t>
                  </w:r>
                </w:p>
              </w:tc>
              <w:tc>
                <w:tcPr>
                  <w:tcW w:w="584" w:type="pct"/>
                </w:tcPr>
                <w:p w:rsidR="00840B58" w:rsidRPr="00C408BA" w:rsidRDefault="00840B58" w:rsidP="00840B58">
                  <w:pPr>
                    <w:pStyle w:val="TableBodyText"/>
                  </w:pPr>
                  <w:r w:rsidRPr="00C408BA">
                    <w:t>14</w:t>
                  </w:r>
                </w:p>
              </w:tc>
              <w:tc>
                <w:tcPr>
                  <w:tcW w:w="420" w:type="pct"/>
                </w:tcPr>
                <w:p w:rsidR="00840B58" w:rsidRPr="00C408BA" w:rsidRDefault="00840B58" w:rsidP="00840B58">
                  <w:pPr>
                    <w:pStyle w:val="TableBodyText"/>
                    <w:ind w:right="28"/>
                  </w:pPr>
                  <w:r w:rsidRPr="00C408BA">
                    <w:t>1.6</w:t>
                  </w:r>
                </w:p>
              </w:tc>
            </w:tr>
            <w:tr w:rsidR="00840B58" w:rsidRPr="00C408BA" w:rsidTr="00840B58">
              <w:tc>
                <w:tcPr>
                  <w:tcW w:w="1730" w:type="pct"/>
                </w:tcPr>
                <w:p w:rsidR="00840B58" w:rsidRPr="00C408BA" w:rsidRDefault="00840B58" w:rsidP="00840B58">
                  <w:pPr>
                    <w:pStyle w:val="TableBodyText"/>
                    <w:ind w:left="142" w:hanging="136"/>
                    <w:jc w:val="left"/>
                  </w:pPr>
                  <w:r w:rsidRPr="00C408BA">
                    <w:t>Certain infectious and parasitic diseases</w:t>
                  </w:r>
                </w:p>
              </w:tc>
              <w:tc>
                <w:tcPr>
                  <w:tcW w:w="530" w:type="pct"/>
                </w:tcPr>
                <w:p w:rsidR="00840B58" w:rsidRPr="00C408BA" w:rsidRDefault="00840B58" w:rsidP="00840B58">
                  <w:pPr>
                    <w:pStyle w:val="TableBodyText"/>
                  </w:pPr>
                  <w:r w:rsidRPr="00C408BA">
                    <w:t>27</w:t>
                  </w:r>
                </w:p>
              </w:tc>
              <w:tc>
                <w:tcPr>
                  <w:tcW w:w="566" w:type="pct"/>
                </w:tcPr>
                <w:p w:rsidR="00840B58" w:rsidRPr="00C408BA" w:rsidRDefault="00840B58" w:rsidP="00840B58">
                  <w:pPr>
                    <w:pStyle w:val="TableBodyText"/>
                  </w:pPr>
                  <w:r w:rsidRPr="00C408BA">
                    <w:t>6</w:t>
                  </w:r>
                </w:p>
              </w:tc>
              <w:tc>
                <w:tcPr>
                  <w:tcW w:w="419" w:type="pct"/>
                </w:tcPr>
                <w:p w:rsidR="00840B58" w:rsidRPr="00C408BA" w:rsidRDefault="00840B58" w:rsidP="00840B58">
                  <w:pPr>
                    <w:pStyle w:val="TableBodyText"/>
                  </w:pPr>
                  <w:r w:rsidRPr="00C408BA">
                    <w:t>4.5</w:t>
                  </w:r>
                </w:p>
              </w:tc>
              <w:tc>
                <w:tcPr>
                  <w:tcW w:w="167" w:type="pct"/>
                </w:tcPr>
                <w:p w:rsidR="00840B58" w:rsidRPr="00C408BA" w:rsidRDefault="00840B58" w:rsidP="00840B58">
                  <w:pPr>
                    <w:pStyle w:val="TableBodyText"/>
                  </w:pPr>
                </w:p>
              </w:tc>
              <w:tc>
                <w:tcPr>
                  <w:tcW w:w="584" w:type="pct"/>
                </w:tcPr>
                <w:p w:rsidR="00840B58" w:rsidRPr="00C408BA" w:rsidRDefault="00840B58" w:rsidP="00840B58">
                  <w:pPr>
                    <w:pStyle w:val="TableBodyText"/>
                  </w:pPr>
                  <w:r w:rsidRPr="00C408BA">
                    <w:t>22</w:t>
                  </w:r>
                </w:p>
              </w:tc>
              <w:tc>
                <w:tcPr>
                  <w:tcW w:w="584" w:type="pct"/>
                </w:tcPr>
                <w:p w:rsidR="00840B58" w:rsidRPr="00C408BA" w:rsidRDefault="00840B58" w:rsidP="00840B58">
                  <w:pPr>
                    <w:pStyle w:val="TableBodyText"/>
                  </w:pPr>
                  <w:r w:rsidRPr="00C408BA">
                    <w:t>7</w:t>
                  </w:r>
                </w:p>
              </w:tc>
              <w:tc>
                <w:tcPr>
                  <w:tcW w:w="420" w:type="pct"/>
                </w:tcPr>
                <w:p w:rsidR="00840B58" w:rsidRPr="00C408BA" w:rsidRDefault="00840B58" w:rsidP="00840B58">
                  <w:pPr>
                    <w:pStyle w:val="TableBodyText"/>
                    <w:ind w:right="28"/>
                  </w:pPr>
                  <w:r w:rsidRPr="00C408BA">
                    <w:t>3.1</w:t>
                  </w:r>
                </w:p>
              </w:tc>
            </w:tr>
            <w:tr w:rsidR="00840B58" w:rsidRPr="00C408BA" w:rsidTr="00840B58">
              <w:tc>
                <w:tcPr>
                  <w:tcW w:w="1730" w:type="pct"/>
                  <w:tcBorders>
                    <w:bottom w:val="single" w:sz="6" w:space="0" w:color="BFBFBF"/>
                  </w:tcBorders>
                  <w:shd w:val="clear" w:color="auto" w:fill="auto"/>
                </w:tcPr>
                <w:p w:rsidR="00840B58" w:rsidRPr="00C408BA" w:rsidRDefault="00840B58" w:rsidP="00840B58">
                  <w:pPr>
                    <w:pStyle w:val="TableBodyText"/>
                    <w:ind w:left="142" w:hanging="136"/>
                    <w:jc w:val="left"/>
                    <w:rPr>
                      <w:b/>
                    </w:rPr>
                  </w:pPr>
                  <w:r w:rsidRPr="00C408BA">
                    <w:rPr>
                      <w:b/>
                    </w:rPr>
                    <w:t>All causes</w:t>
                  </w:r>
                </w:p>
              </w:tc>
              <w:tc>
                <w:tcPr>
                  <w:tcW w:w="530" w:type="pct"/>
                  <w:tcBorders>
                    <w:bottom w:val="single" w:sz="6" w:space="0" w:color="BFBFBF"/>
                  </w:tcBorders>
                </w:tcPr>
                <w:p w:rsidR="00840B58" w:rsidRPr="00C408BA" w:rsidRDefault="00840B58" w:rsidP="00840B58">
                  <w:pPr>
                    <w:pStyle w:val="TableBodyText"/>
                    <w:rPr>
                      <w:b/>
                    </w:rPr>
                  </w:pPr>
                  <w:r w:rsidRPr="00C408BA">
                    <w:rPr>
                      <w:b/>
                    </w:rPr>
                    <w:t>1 211</w:t>
                  </w:r>
                </w:p>
              </w:tc>
              <w:tc>
                <w:tcPr>
                  <w:tcW w:w="566" w:type="pct"/>
                  <w:tcBorders>
                    <w:bottom w:val="single" w:sz="6" w:space="0" w:color="BFBFBF"/>
                  </w:tcBorders>
                </w:tcPr>
                <w:p w:rsidR="00840B58" w:rsidRPr="00C408BA" w:rsidRDefault="00840B58" w:rsidP="00840B58">
                  <w:pPr>
                    <w:pStyle w:val="TableBodyText"/>
                    <w:rPr>
                      <w:b/>
                    </w:rPr>
                  </w:pPr>
                  <w:r w:rsidRPr="00C408BA">
                    <w:rPr>
                      <w:b/>
                    </w:rPr>
                    <w:t>397</w:t>
                  </w:r>
                </w:p>
              </w:tc>
              <w:tc>
                <w:tcPr>
                  <w:tcW w:w="419" w:type="pct"/>
                  <w:tcBorders>
                    <w:bottom w:val="single" w:sz="6" w:space="0" w:color="BFBFBF"/>
                  </w:tcBorders>
                </w:tcPr>
                <w:p w:rsidR="00840B58" w:rsidRPr="00C408BA" w:rsidRDefault="00840B58" w:rsidP="00840B58">
                  <w:pPr>
                    <w:pStyle w:val="TableBodyText"/>
                    <w:rPr>
                      <w:b/>
                    </w:rPr>
                  </w:pPr>
                  <w:r w:rsidRPr="00C408BA">
                    <w:rPr>
                      <w:b/>
                    </w:rPr>
                    <w:t>3.1</w:t>
                  </w:r>
                </w:p>
              </w:tc>
              <w:tc>
                <w:tcPr>
                  <w:tcW w:w="167" w:type="pct"/>
                  <w:tcBorders>
                    <w:bottom w:val="single" w:sz="6" w:space="0" w:color="BFBFBF"/>
                  </w:tcBorders>
                </w:tcPr>
                <w:p w:rsidR="00840B58" w:rsidRPr="00C408BA" w:rsidRDefault="00840B58" w:rsidP="00840B58">
                  <w:pPr>
                    <w:pStyle w:val="TableBodyText"/>
                  </w:pPr>
                </w:p>
              </w:tc>
              <w:tc>
                <w:tcPr>
                  <w:tcW w:w="584" w:type="pct"/>
                  <w:tcBorders>
                    <w:bottom w:val="single" w:sz="6" w:space="0" w:color="BFBFBF"/>
                  </w:tcBorders>
                </w:tcPr>
                <w:p w:rsidR="00840B58" w:rsidRPr="00C408BA" w:rsidRDefault="00840B58" w:rsidP="00840B58">
                  <w:pPr>
                    <w:pStyle w:val="TableBodyText"/>
                    <w:rPr>
                      <w:b/>
                    </w:rPr>
                  </w:pPr>
                  <w:r w:rsidRPr="00C408BA">
                    <w:rPr>
                      <w:b/>
                    </w:rPr>
                    <w:t>957</w:t>
                  </w:r>
                </w:p>
              </w:tc>
              <w:tc>
                <w:tcPr>
                  <w:tcW w:w="584" w:type="pct"/>
                  <w:tcBorders>
                    <w:bottom w:val="single" w:sz="6" w:space="0" w:color="BFBFBF"/>
                  </w:tcBorders>
                  <w:shd w:val="clear" w:color="auto" w:fill="auto"/>
                </w:tcPr>
                <w:p w:rsidR="00840B58" w:rsidRPr="00C408BA" w:rsidRDefault="00840B58" w:rsidP="00840B58">
                  <w:pPr>
                    <w:pStyle w:val="TableBodyText"/>
                    <w:rPr>
                      <w:b/>
                    </w:rPr>
                  </w:pPr>
                  <w:r w:rsidRPr="00C408BA">
                    <w:rPr>
                      <w:b/>
                    </w:rPr>
                    <w:t>497</w:t>
                  </w:r>
                </w:p>
              </w:tc>
              <w:tc>
                <w:tcPr>
                  <w:tcW w:w="420" w:type="pct"/>
                  <w:tcBorders>
                    <w:bottom w:val="single" w:sz="6" w:space="0" w:color="BFBFBF"/>
                  </w:tcBorders>
                  <w:shd w:val="clear" w:color="auto" w:fill="auto"/>
                </w:tcPr>
                <w:p w:rsidR="00840B58" w:rsidRPr="00C408BA" w:rsidRDefault="00840B58" w:rsidP="00840B58">
                  <w:pPr>
                    <w:pStyle w:val="TableBodyText"/>
                    <w:ind w:right="28"/>
                    <w:rPr>
                      <w:b/>
                    </w:rPr>
                  </w:pPr>
                  <w:r w:rsidRPr="00C408BA">
                    <w:rPr>
                      <w:b/>
                    </w:rPr>
                    <w:t>1.9</w:t>
                  </w:r>
                </w:p>
              </w:tc>
            </w:tr>
          </w:tbl>
          <w:p w:rsidR="00840B58" w:rsidRPr="00C408BA" w:rsidRDefault="00840B58" w:rsidP="00840B58">
            <w:pPr>
              <w:pStyle w:val="Box"/>
            </w:pPr>
          </w:p>
        </w:tc>
      </w:tr>
      <w:tr w:rsidR="00840B58" w:rsidRPr="00C408BA" w:rsidTr="00840B58">
        <w:trPr>
          <w:cantSplit/>
        </w:trPr>
        <w:tc>
          <w:tcPr>
            <w:tcW w:w="8771" w:type="dxa"/>
            <w:tcBorders>
              <w:top w:val="nil"/>
              <w:left w:val="nil"/>
              <w:bottom w:val="nil"/>
              <w:right w:val="nil"/>
            </w:tcBorders>
            <w:shd w:val="clear" w:color="auto" w:fill="auto"/>
          </w:tcPr>
          <w:p w:rsidR="00840B58" w:rsidRPr="00C408BA" w:rsidRDefault="00840B58" w:rsidP="00840B58">
            <w:pPr>
              <w:pStyle w:val="Note"/>
              <w:rPr>
                <w:i/>
              </w:rPr>
            </w:pPr>
            <w:proofErr w:type="spellStart"/>
            <w:r w:rsidRPr="00C408BA">
              <w:t>SMR</w:t>
            </w:r>
            <w:proofErr w:type="spellEnd"/>
            <w:r w:rsidRPr="00C408BA">
              <w:t xml:space="preserve"> = Standardised Mortality Ratio. </w:t>
            </w:r>
            <w:r w:rsidRPr="00C408BA">
              <w:rPr>
                <w:rStyle w:val="NoteLabel"/>
              </w:rPr>
              <w:t>a</w:t>
            </w:r>
            <w:r w:rsidRPr="00C408BA">
              <w:t xml:space="preserve"> Data for Queensland, WA, SA and the NT combined. </w:t>
            </w:r>
            <w:r w:rsidRPr="00C408BA">
              <w:rPr>
                <w:rStyle w:val="NoteLabel"/>
              </w:rPr>
              <w:t>b</w:t>
            </w:r>
            <w:r w:rsidRPr="00C408BA">
              <w:t xml:space="preserve"> Observed and expected deaths are reported as average number of annual deaths from 2004–2008. Excepted deaths are based on non</w:t>
            </w:r>
            <w:r w:rsidRPr="00C408BA">
              <w:noBreakHyphen/>
              <w:t xml:space="preserve">Indigenous death rates. </w:t>
            </w:r>
            <w:r w:rsidRPr="00C408BA">
              <w:rPr>
                <w:rStyle w:val="NoteLabel"/>
              </w:rPr>
              <w:t>c</w:t>
            </w:r>
            <w:r w:rsidRPr="00C408BA">
              <w:t xml:space="preserve"> Standardised mortality ratio is the observed Aboriginal and Torres Strait Islander Australians deaths divided by expected Aboriginal and Torres Strait Islander Australians deaths, based on the age, sex and cause</w:t>
            </w:r>
            <w:r w:rsidRPr="00C408BA">
              <w:noBreakHyphen/>
              <w:t>specific rates for non</w:t>
            </w:r>
            <w:r w:rsidRPr="00C408BA">
              <w:noBreakHyphen/>
              <w:t>Indigenous Australians.</w:t>
            </w:r>
          </w:p>
        </w:tc>
      </w:tr>
      <w:tr w:rsidR="00840B58" w:rsidRPr="00C408BA" w:rsidTr="00840B58">
        <w:trPr>
          <w:cantSplit/>
        </w:trPr>
        <w:tc>
          <w:tcPr>
            <w:tcW w:w="8771" w:type="dxa"/>
            <w:tcBorders>
              <w:top w:val="nil"/>
              <w:left w:val="nil"/>
              <w:bottom w:val="nil"/>
              <w:right w:val="nil"/>
            </w:tcBorders>
            <w:shd w:val="clear" w:color="auto" w:fill="auto"/>
          </w:tcPr>
          <w:p w:rsidR="00840B58" w:rsidRPr="00C408BA" w:rsidRDefault="00840B58" w:rsidP="00840B58">
            <w:pPr>
              <w:pStyle w:val="Source"/>
            </w:pPr>
            <w:r w:rsidRPr="00C408BA">
              <w:rPr>
                <w:i/>
              </w:rPr>
              <w:t>Source</w:t>
            </w:r>
            <w:r w:rsidRPr="00C408BA">
              <w:t xml:space="preserve">: AIHW (2011) </w:t>
            </w:r>
            <w:r w:rsidRPr="00C408BA">
              <w:rPr>
                <w:i/>
              </w:rPr>
              <w:t>Life expectancy and mortality of Aboriginal and Torres Strait Islander people</w:t>
            </w:r>
            <w:r w:rsidRPr="00C408BA">
              <w:t xml:space="preserve">, Cat. no. </w:t>
            </w:r>
            <w:proofErr w:type="spellStart"/>
            <w:r w:rsidRPr="00C408BA">
              <w:t>IHW</w:t>
            </w:r>
            <w:proofErr w:type="spellEnd"/>
            <w:r w:rsidRPr="00C408BA">
              <w:t xml:space="preserve"> 51, Canberra.</w:t>
            </w:r>
          </w:p>
        </w:tc>
      </w:tr>
      <w:tr w:rsidR="00840B58" w:rsidRPr="00C408BA" w:rsidTr="00840B58">
        <w:trPr>
          <w:cantSplit/>
        </w:trPr>
        <w:tc>
          <w:tcPr>
            <w:tcW w:w="8771" w:type="dxa"/>
            <w:tcBorders>
              <w:top w:val="nil"/>
              <w:left w:val="nil"/>
              <w:bottom w:val="single" w:sz="6" w:space="0" w:color="78A22F" w:themeColor="accent1"/>
              <w:right w:val="nil"/>
            </w:tcBorders>
            <w:shd w:val="clear" w:color="auto" w:fill="auto"/>
          </w:tcPr>
          <w:p w:rsidR="00840B58" w:rsidRPr="00C408BA" w:rsidRDefault="00840B58" w:rsidP="00840B58">
            <w:pPr>
              <w:pStyle w:val="Box"/>
              <w:spacing w:before="0" w:line="120" w:lineRule="exact"/>
            </w:pPr>
          </w:p>
        </w:tc>
      </w:tr>
      <w:tr w:rsidR="00840B58" w:rsidRPr="00C408BA" w:rsidTr="00840B58">
        <w:tc>
          <w:tcPr>
            <w:tcW w:w="8771" w:type="dxa"/>
            <w:tcBorders>
              <w:top w:val="single" w:sz="6" w:space="0" w:color="78A22F" w:themeColor="accent1"/>
              <w:left w:val="nil"/>
              <w:bottom w:val="nil"/>
              <w:right w:val="nil"/>
            </w:tcBorders>
          </w:tcPr>
          <w:p w:rsidR="00840B58" w:rsidRPr="00C408BA" w:rsidRDefault="00840B58" w:rsidP="00840B58">
            <w:pPr>
              <w:pStyle w:val="BoxSpaceBelow"/>
            </w:pPr>
          </w:p>
        </w:tc>
      </w:tr>
    </w:tbl>
    <w:p w:rsidR="004758E4" w:rsidRPr="00C408BA" w:rsidRDefault="004758E4" w:rsidP="00DC2A21">
      <w:pPr>
        <w:pStyle w:val="Heading3"/>
      </w:pPr>
      <w:bookmarkStart w:id="55" w:name="_Toc379182710"/>
      <w:bookmarkStart w:id="56" w:name="_Toc410121183"/>
      <w:bookmarkStart w:id="57" w:name="_Toc410121199"/>
      <w:bookmarkStart w:id="58" w:name="OLE_LINK29"/>
      <w:bookmarkStart w:id="59" w:name="OLE_LINK30"/>
      <w:r w:rsidRPr="00C408BA">
        <w:t>List of attachment tables</w:t>
      </w:r>
      <w:bookmarkEnd w:id="55"/>
      <w:bookmarkEnd w:id="56"/>
      <w:bookmarkEnd w:id="57"/>
    </w:p>
    <w:p w:rsidR="004758E4" w:rsidRPr="00C408BA" w:rsidRDefault="004758E4" w:rsidP="004758E4">
      <w:pPr>
        <w:pStyle w:val="BodyText"/>
      </w:pPr>
      <w:r w:rsidRPr="00C408BA">
        <w:t>Attachment tables for data within this chapter are contained in the attachment to the Compendium. These tables are identified in references throughout this chapter by a ‘</w:t>
      </w:r>
      <w:proofErr w:type="spellStart"/>
      <w:r w:rsidRPr="00C408BA">
        <w:t>2A</w:t>
      </w:r>
      <w:proofErr w:type="spellEnd"/>
      <w:r w:rsidRPr="00C408BA">
        <w:t xml:space="preserve">’ prefix (for example, table </w:t>
      </w:r>
      <w:proofErr w:type="spellStart"/>
      <w:r w:rsidRPr="00C408BA">
        <w:t>2A.1</w:t>
      </w:r>
      <w:proofErr w:type="spellEnd"/>
      <w:r w:rsidRPr="00C408BA">
        <w:t xml:space="preserve"> is table 1 in the Statistical context attachment). Attachment tables are on the Review website (</w:t>
      </w:r>
      <w:r w:rsidR="002E7AEC" w:rsidRPr="00C408BA">
        <w:t>www.pc.gov.au/research/recurring/report-on-government-services</w:t>
      </w:r>
      <w:r w:rsidRPr="00C408BA">
        <w:t>).</w:t>
      </w:r>
    </w:p>
    <w:p w:rsidR="00840B58" w:rsidRPr="00C408BA" w:rsidRDefault="00840B58" w:rsidP="00840B58">
      <w:pPr>
        <w:spacing w:before="240" w:line="320" w:lineRule="atLeast"/>
        <w:jc w:val="both"/>
        <w:rPr>
          <w:szCs w:val="20"/>
        </w:rPr>
      </w:pPr>
    </w:p>
    <w:tbl>
      <w:tblPr>
        <w:tblW w:w="8789" w:type="dxa"/>
        <w:tblInd w:w="108" w:type="dxa"/>
        <w:tblLook w:val="04A0" w:firstRow="1" w:lastRow="0" w:firstColumn="1" w:lastColumn="0" w:noHBand="0" w:noVBand="1"/>
      </w:tblPr>
      <w:tblGrid>
        <w:gridCol w:w="1560"/>
        <w:gridCol w:w="7229"/>
      </w:tblGrid>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Population</w:t>
            </w:r>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2A.6</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country of birth, 2001</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2A.7</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country of birth, 2006</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2A.8</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country of birth, 2011</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2A.9</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language spoken at home, 2001 ('000)</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2A.10</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language spoken at home, 2006 ('000)</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2A.11</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by language spoken at home, 2011 ('000)</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bookmarkStart w:id="60" w:name="_GoBack"/>
            <w:bookmarkEnd w:id="60"/>
            <w:r w:rsidRPr="00C408BA">
              <w:rPr>
                <w:rFonts w:ascii="Arial" w:hAnsi="Arial" w:cs="Arial"/>
                <w:b/>
                <w:bCs/>
                <w:color w:val="0000FF"/>
                <w:sz w:val="20"/>
                <w:szCs w:val="20"/>
              </w:rPr>
              <w:lastRenderedPageBreak/>
              <w:t xml:space="preserve">Table </w:t>
            </w:r>
            <w:proofErr w:type="spellStart"/>
            <w:r w:rsidRPr="00C408BA">
              <w:rPr>
                <w:rFonts w:ascii="Arial" w:hAnsi="Arial" w:cs="Arial"/>
                <w:b/>
                <w:bCs/>
                <w:color w:val="0000FF"/>
                <w:sz w:val="20"/>
                <w:szCs w:val="20"/>
              </w:rPr>
              <w:t>2A.13</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 xml:space="preserve">Aboriginal and Torres Strait Islander population projections, by age and sex, </w:t>
            </w:r>
            <w:r w:rsidRPr="00C408BA">
              <w:rPr>
                <w:rFonts w:ascii="Arial" w:hAnsi="Arial" w:cs="Arial"/>
                <w:sz w:val="20"/>
                <w:szCs w:val="20"/>
              </w:rPr>
              <w:br/>
              <w:t>30 June</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2A.14</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 xml:space="preserve">Aboriginal and Torres Strait Islander population projections, by age and sex, </w:t>
            </w:r>
            <w:r w:rsidRPr="00C408BA">
              <w:rPr>
                <w:rFonts w:ascii="Arial" w:hAnsi="Arial" w:cs="Arial"/>
                <w:sz w:val="20"/>
                <w:szCs w:val="20"/>
              </w:rPr>
              <w:br/>
              <w:t>30 June</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2A.15</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Language spoken at home by Aboriginal and Torres Strait Islander Australians and proficiency in spoken English, by sex, 2001 (number)</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2A.16</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Language spoken at home by Aboriginal and Torres Strait Islander Australians and proficiency in spoken English, by sex, 2006 (number)</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2A.17</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Language spoken at home by Aboriginal and Torres Strait Islander Australians and proficiency in spoken English, by sex, 2011 (number)</w:t>
            </w:r>
          </w:p>
        </w:tc>
      </w:tr>
      <w:tr w:rsidR="00840B58" w:rsidRPr="00C408BA" w:rsidTr="00840B58">
        <w:trPr>
          <w:trHeight w:val="357"/>
        </w:trPr>
        <w:tc>
          <w:tcPr>
            <w:tcW w:w="8789" w:type="dxa"/>
            <w:gridSpan w:val="2"/>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Family and household</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2A.21</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Families and people in families in occupied private dwellings by Indigenous status and family/household composition, 2001</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2A.22</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Families and people in families in occupied private dwellings by Indigenous status and family/household composition, 2006</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2A.23</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Families and people in families in occupied private dwellings by Indigenous status and family/household composition, 2011</w:t>
            </w:r>
          </w:p>
        </w:tc>
      </w:tr>
      <w:tr w:rsidR="00840B58" w:rsidRPr="00C408BA" w:rsidTr="00840B58">
        <w:trPr>
          <w:trHeight w:val="357"/>
        </w:trPr>
        <w:tc>
          <w:tcPr>
            <w:tcW w:w="8789" w:type="dxa"/>
            <w:gridSpan w:val="2"/>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Income and employment</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2A.32</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aged 15 years or over by weekly individual income and Indigenous status, 2001</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2A.33</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aged 15 years or over by weekly individual income and Indigenous status, 2006</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2A.34</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People aged 15 years or over by weekly individual income and Indigenous status, 2011</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2A.39</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Highest level of schooling completed by people aged 15 years or over, by Indigenous status, 2001 ('000)</w:t>
            </w:r>
          </w:p>
        </w:tc>
      </w:tr>
      <w:tr w:rsidR="00840B58" w:rsidRPr="00C408BA" w:rsidTr="00840B58">
        <w:trPr>
          <w:trHeight w:val="868"/>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2A.40</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Highest level of schooling completed by people aged 15 years or over, by Indigenous status (excluding people still attending secondary school), 2006 ('000)</w:t>
            </w:r>
          </w:p>
        </w:tc>
      </w:tr>
      <w:tr w:rsidR="00840B58" w:rsidRPr="00C408BA" w:rsidTr="00840B58">
        <w:trPr>
          <w:trHeight w:val="868"/>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2A.41</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Highest level of schooling completed by people aged 15 years or over, by Indigenous status (excluding people still attending secondary school), 2011 ('000)</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2A.42</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Type of educational institution attending by Indigenous status, 2001 ('000)</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2A.43</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Type of educational institution attending by Indigenous status, 2006 ('000)</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2A.44</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Type of educational institution attending by Indigenous status, 2011 ('000)</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2A.45</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Tertiary education attainment for people aged 18 or over by Indigenous status and sex, 2011 ('000)</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2A.46</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Type of tertiary education institution attending for people aged 18-24 by Indigenous status and sex, 2011 ('000)</w:t>
            </w:r>
          </w:p>
        </w:tc>
      </w:tr>
      <w:tr w:rsidR="00840B58" w:rsidRPr="00C408BA" w:rsidTr="00840B58">
        <w:trPr>
          <w:trHeight w:val="357"/>
        </w:trPr>
        <w:tc>
          <w:tcPr>
            <w:tcW w:w="8789" w:type="dxa"/>
            <w:gridSpan w:val="2"/>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Statistical concepts</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2A.50</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General Government Final Consumption Expenditure, by jurisdiction (2012</w:t>
            </w:r>
            <w:r w:rsidRPr="00C408BA">
              <w:rPr>
                <w:rFonts w:ascii="Arial" w:hAnsi="Arial" w:cs="Arial"/>
                <w:sz w:val="20"/>
                <w:szCs w:val="20"/>
              </w:rPr>
              <w:noBreakHyphen/>
              <w:t>13 dollars)</w:t>
            </w:r>
          </w:p>
        </w:tc>
      </w:tr>
      <w:tr w:rsidR="00840B58" w:rsidRPr="00C408BA" w:rsidTr="00840B58">
        <w:trPr>
          <w:trHeight w:val="612"/>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lastRenderedPageBreak/>
              <w:t xml:space="preserve">Table </w:t>
            </w:r>
            <w:proofErr w:type="spellStart"/>
            <w:r w:rsidRPr="00C408BA">
              <w:rPr>
                <w:rFonts w:ascii="Arial" w:hAnsi="Arial" w:cs="Arial"/>
                <w:b/>
                <w:bCs/>
                <w:color w:val="0000FF"/>
                <w:sz w:val="20"/>
                <w:szCs w:val="20"/>
              </w:rPr>
              <w:t>2A.51</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General Government Final Consumption Expenditure, Chain price Index (</w:t>
            </w:r>
            <w:proofErr w:type="spellStart"/>
            <w:r w:rsidRPr="00C408BA">
              <w:rPr>
                <w:rFonts w:ascii="Arial" w:hAnsi="Arial" w:cs="Arial"/>
                <w:sz w:val="20"/>
                <w:szCs w:val="20"/>
              </w:rPr>
              <w:t>GGFCE</w:t>
            </w:r>
            <w:proofErr w:type="spellEnd"/>
            <w:r w:rsidRPr="00C408BA">
              <w:rPr>
                <w:rFonts w:ascii="Arial" w:hAnsi="Arial" w:cs="Arial"/>
                <w:sz w:val="20"/>
                <w:szCs w:val="20"/>
              </w:rPr>
              <w:t>)</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2A.52</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Age standardisation of data using the direct method</w:t>
            </w:r>
          </w:p>
        </w:tc>
      </w:tr>
      <w:tr w:rsidR="00840B58" w:rsidRPr="00C408BA" w:rsidTr="00840B58">
        <w:trPr>
          <w:trHeight w:val="357"/>
        </w:trPr>
        <w:tc>
          <w:tcPr>
            <w:tcW w:w="1560" w:type="dxa"/>
            <w:tcBorders>
              <w:top w:val="nil"/>
              <w:left w:val="nil"/>
              <w:bottom w:val="nil"/>
              <w:right w:val="nil"/>
            </w:tcBorders>
            <w:shd w:val="clear" w:color="auto" w:fill="auto"/>
            <w:noWrap/>
            <w:hideMark/>
          </w:tcPr>
          <w:p w:rsidR="00840B58" w:rsidRPr="00C408BA" w:rsidRDefault="00840B58" w:rsidP="00840B58">
            <w:pPr>
              <w:rPr>
                <w:rFonts w:ascii="Arial" w:hAnsi="Arial" w:cs="Arial"/>
                <w:b/>
                <w:bCs/>
                <w:color w:val="0000FF"/>
                <w:sz w:val="20"/>
                <w:szCs w:val="20"/>
              </w:rPr>
            </w:pPr>
            <w:r w:rsidRPr="00C408BA">
              <w:rPr>
                <w:rFonts w:ascii="Arial" w:hAnsi="Arial" w:cs="Arial"/>
                <w:b/>
                <w:bCs/>
                <w:color w:val="0000FF"/>
                <w:sz w:val="20"/>
                <w:szCs w:val="20"/>
              </w:rPr>
              <w:t xml:space="preserve">Table </w:t>
            </w:r>
            <w:proofErr w:type="spellStart"/>
            <w:r w:rsidRPr="00C408BA">
              <w:rPr>
                <w:rFonts w:ascii="Arial" w:hAnsi="Arial" w:cs="Arial"/>
                <w:b/>
                <w:bCs/>
                <w:color w:val="0000FF"/>
                <w:sz w:val="20"/>
                <w:szCs w:val="20"/>
              </w:rPr>
              <w:t>2A.53</w:t>
            </w:r>
            <w:proofErr w:type="spellEnd"/>
          </w:p>
        </w:tc>
        <w:tc>
          <w:tcPr>
            <w:tcW w:w="7229" w:type="dxa"/>
            <w:tcBorders>
              <w:top w:val="nil"/>
              <w:left w:val="nil"/>
              <w:bottom w:val="nil"/>
              <w:right w:val="nil"/>
            </w:tcBorders>
            <w:shd w:val="clear" w:color="auto" w:fill="auto"/>
            <w:hideMark/>
          </w:tcPr>
          <w:p w:rsidR="00840B58" w:rsidRPr="00C408BA" w:rsidRDefault="00840B58" w:rsidP="00840B58">
            <w:pPr>
              <w:jc w:val="both"/>
              <w:rPr>
                <w:rFonts w:ascii="Arial" w:hAnsi="Arial" w:cs="Arial"/>
                <w:sz w:val="20"/>
                <w:szCs w:val="20"/>
              </w:rPr>
            </w:pPr>
            <w:r w:rsidRPr="00C408BA">
              <w:rPr>
                <w:rFonts w:ascii="Arial" w:hAnsi="Arial" w:cs="Arial"/>
                <w:sz w:val="20"/>
                <w:szCs w:val="20"/>
              </w:rPr>
              <w:t>Age standardisation of data using the indirect method</w:t>
            </w:r>
          </w:p>
        </w:tc>
      </w:tr>
    </w:tbl>
    <w:p w:rsidR="00840B58" w:rsidRPr="00C408BA" w:rsidRDefault="00840B58" w:rsidP="00DC2A21">
      <w:pPr>
        <w:pStyle w:val="Heading3"/>
      </w:pPr>
      <w:bookmarkStart w:id="61" w:name="_Toc327870761"/>
      <w:bookmarkStart w:id="62" w:name="_Toc368581988"/>
      <w:bookmarkStart w:id="63" w:name="_Toc368582249"/>
      <w:bookmarkStart w:id="64" w:name="_Toc370136030"/>
      <w:bookmarkStart w:id="65" w:name="_Toc396743487"/>
      <w:bookmarkStart w:id="66" w:name="_Toc410121184"/>
      <w:bookmarkStart w:id="67" w:name="_Toc410121200"/>
      <w:bookmarkStart w:id="68" w:name="_Toc274759654"/>
      <w:bookmarkEnd w:id="58"/>
      <w:bookmarkEnd w:id="59"/>
      <w:r w:rsidRPr="00C408BA">
        <w:t>References</w:t>
      </w:r>
      <w:bookmarkEnd w:id="61"/>
      <w:bookmarkEnd w:id="62"/>
      <w:bookmarkEnd w:id="63"/>
      <w:bookmarkEnd w:id="64"/>
      <w:bookmarkEnd w:id="65"/>
      <w:bookmarkEnd w:id="66"/>
      <w:bookmarkEnd w:id="67"/>
    </w:p>
    <w:p w:rsidR="00840B58" w:rsidRPr="00C408BA" w:rsidRDefault="00840B58" w:rsidP="00212E2C">
      <w:pPr>
        <w:pStyle w:val="Reference"/>
        <w:rPr>
          <w:i/>
        </w:rPr>
      </w:pPr>
      <w:r w:rsidRPr="00C408BA">
        <w:t xml:space="preserve">AIHW (Australian Institute of Health and Welfare) </w:t>
      </w:r>
      <w:proofErr w:type="spellStart"/>
      <w:r w:rsidRPr="00C408BA">
        <w:t>2011a</w:t>
      </w:r>
      <w:proofErr w:type="spellEnd"/>
      <w:r w:rsidRPr="00C408BA">
        <w:t xml:space="preserve">, </w:t>
      </w:r>
      <w:r w:rsidRPr="00C408BA">
        <w:rPr>
          <w:i/>
        </w:rPr>
        <w:t>Life expectancy and mortality of Aboriginal and Torres Strait Islander people</w:t>
      </w:r>
      <w:r w:rsidRPr="00C408BA">
        <w:t xml:space="preserve">, Cat. no. </w:t>
      </w:r>
      <w:proofErr w:type="spellStart"/>
      <w:r w:rsidRPr="00C408BA">
        <w:t>IHW</w:t>
      </w:r>
      <w:proofErr w:type="spellEnd"/>
      <w:r w:rsidRPr="00C408BA">
        <w:t xml:space="preserve"> 51, Canberra.</w:t>
      </w:r>
    </w:p>
    <w:bookmarkEnd w:id="68"/>
    <w:p w:rsidR="00840B58" w:rsidRPr="00C408BA" w:rsidRDefault="00840B58" w:rsidP="00212E2C">
      <w:pPr>
        <w:pStyle w:val="Reference"/>
      </w:pPr>
      <w:r w:rsidRPr="00C408BA">
        <w:t>—— </w:t>
      </w:r>
      <w:proofErr w:type="spellStart"/>
      <w:r w:rsidRPr="00C408BA">
        <w:t>2011b</w:t>
      </w:r>
      <w:proofErr w:type="spellEnd"/>
      <w:r w:rsidRPr="00C408BA">
        <w:t xml:space="preserve">, </w:t>
      </w:r>
      <w:r w:rsidRPr="00C408BA">
        <w:rPr>
          <w:i/>
        </w:rPr>
        <w:t>Principles on the use of direct age</w:t>
      </w:r>
      <w:r w:rsidRPr="00C408BA">
        <w:rPr>
          <w:i/>
        </w:rPr>
        <w:noBreakHyphen/>
        <w:t xml:space="preserve">standardisation in administrative </w:t>
      </w:r>
      <w:r w:rsidRPr="00C408BA">
        <w:t>data collections: for measuring the gap between Indigenous and non</w:t>
      </w:r>
      <w:r w:rsidRPr="00C408BA">
        <w:noBreakHyphen/>
        <w:t>Indigenous Australians, Cat. no. CSI 12, Canberra.</w:t>
      </w:r>
    </w:p>
    <w:p w:rsidR="00840B58" w:rsidRPr="008F2983" w:rsidRDefault="00840B58" w:rsidP="00212E2C">
      <w:pPr>
        <w:pStyle w:val="Reference"/>
      </w:pPr>
      <w:r w:rsidRPr="00C408BA">
        <w:t>—— 2013, Age</w:t>
      </w:r>
      <w:r w:rsidRPr="00C408BA">
        <w:noBreakHyphen/>
        <w:t xml:space="preserve">standardised rate, </w:t>
      </w:r>
      <w:proofErr w:type="spellStart"/>
      <w:r w:rsidRPr="00C408BA">
        <w:t>METeOR</w:t>
      </w:r>
      <w:proofErr w:type="spellEnd"/>
      <w:r w:rsidRPr="00C408BA">
        <w:t xml:space="preserve">, </w:t>
      </w:r>
      <w:proofErr w:type="spellStart"/>
      <w:r w:rsidRPr="00C408BA">
        <w:t>meteor.aihw.gov.au</w:t>
      </w:r>
      <w:proofErr w:type="spellEnd"/>
      <w:r w:rsidRPr="00C408BA">
        <w:t xml:space="preserve">/ content/ </w:t>
      </w:r>
      <w:proofErr w:type="spellStart"/>
      <w:r w:rsidRPr="00C408BA">
        <w:t>index.phtml</w:t>
      </w:r>
      <w:proofErr w:type="spellEnd"/>
      <w:r w:rsidRPr="00C408BA">
        <w:t>/</w:t>
      </w:r>
      <w:r w:rsidRPr="00C408BA">
        <w:br/>
      </w:r>
      <w:proofErr w:type="spellStart"/>
      <w:r w:rsidRPr="00C408BA">
        <w:t>itemId</w:t>
      </w:r>
      <w:proofErr w:type="spellEnd"/>
      <w:r w:rsidRPr="00C408BA">
        <w:t>/327276 (accessed 27 August 2013).</w:t>
      </w:r>
    </w:p>
    <w:p w:rsidR="004D5D4F" w:rsidRPr="00A87014" w:rsidRDefault="004D5D4F" w:rsidP="004D5D4F">
      <w:pPr>
        <w:pStyle w:val="BodyText"/>
        <w:rPr>
          <w:noProof/>
        </w:rPr>
      </w:pPr>
    </w:p>
    <w:sectPr w:rsidR="004D5D4F" w:rsidRPr="00A87014" w:rsidSect="0021241A">
      <w:headerReference w:type="even" r:id="rId39"/>
      <w:headerReference w:type="default" r:id="rId40"/>
      <w:footerReference w:type="even" r:id="rId41"/>
      <w:footerReference w:type="default" r:id="rId4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B58" w:rsidRDefault="00840B58">
      <w:r>
        <w:separator/>
      </w:r>
    </w:p>
  </w:endnote>
  <w:endnote w:type="continuationSeparator" w:id="0">
    <w:p w:rsidR="00840B58" w:rsidRDefault="00840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40B58" w:rsidTr="001E414C">
      <w:trPr>
        <w:trHeight w:hRule="exact" w:val="567"/>
      </w:trPr>
      <w:tc>
        <w:tcPr>
          <w:tcW w:w="510" w:type="dxa"/>
        </w:tcPr>
        <w:p w:rsidR="00840B58" w:rsidRPr="00A24443" w:rsidRDefault="00840B58"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D27AE3">
            <w:rPr>
              <w:rStyle w:val="PageNumber"/>
            </w:rPr>
            <w:t>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EC3E57">
            <w:rPr>
              <w:rStyle w:val="PageNumber"/>
              <w:noProof/>
            </w:rPr>
            <w:t>14</w:t>
          </w:r>
          <w:r>
            <w:rPr>
              <w:rStyle w:val="PageNumber"/>
            </w:rPr>
            <w:fldChar w:fldCharType="end"/>
          </w:r>
        </w:p>
      </w:tc>
      <w:tc>
        <w:tcPr>
          <w:tcW w:w="7767" w:type="dxa"/>
        </w:tcPr>
        <w:p w:rsidR="00840B58" w:rsidRPr="0013739A" w:rsidRDefault="00D27AE3" w:rsidP="001E414C">
          <w:pPr>
            <w:pStyle w:val="Footer"/>
            <w:rPr>
              <w:rFonts w:cs="Arial"/>
            </w:rPr>
          </w:pPr>
          <w:r>
            <w:rPr>
              <w:rFonts w:cs="Arial"/>
            </w:rPr>
            <w:t>Report on Government Services 2015</w:t>
          </w:r>
          <w:bookmarkStart w:id="69" w:name="DraftReportEven"/>
          <w:bookmarkEnd w:id="69"/>
        </w:p>
      </w:tc>
      <w:tc>
        <w:tcPr>
          <w:tcW w:w="510" w:type="dxa"/>
        </w:tcPr>
        <w:p w:rsidR="00840B58" w:rsidRDefault="00840B58" w:rsidP="0019293B">
          <w:pPr>
            <w:pStyle w:val="Footer"/>
          </w:pPr>
        </w:p>
      </w:tc>
    </w:tr>
  </w:tbl>
  <w:p w:rsidR="00840B58" w:rsidRDefault="00840B58" w:rsidP="0019293B">
    <w:pPr>
      <w:pStyle w:val="FooterEnd"/>
    </w:pPr>
  </w:p>
  <w:p w:rsidR="00840B58" w:rsidRDefault="00840B5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40B58" w:rsidTr="001E414C">
      <w:trPr>
        <w:trHeight w:hRule="exact" w:val="567"/>
      </w:trPr>
      <w:tc>
        <w:tcPr>
          <w:tcW w:w="510" w:type="dxa"/>
        </w:tcPr>
        <w:p w:rsidR="00840B58" w:rsidRDefault="00840B58">
          <w:pPr>
            <w:pStyle w:val="Footer"/>
            <w:ind w:right="360" w:firstLine="360"/>
          </w:pPr>
        </w:p>
      </w:tc>
      <w:tc>
        <w:tcPr>
          <w:tcW w:w="7767" w:type="dxa"/>
        </w:tcPr>
        <w:p w:rsidR="00840B58" w:rsidRPr="00BA5B14" w:rsidRDefault="00D27AE3" w:rsidP="001E414C">
          <w:pPr>
            <w:pStyle w:val="Footer"/>
            <w:jc w:val="right"/>
            <w:rPr>
              <w:rFonts w:cs="Arial"/>
            </w:rPr>
          </w:pPr>
          <w:r>
            <w:rPr>
              <w:rFonts w:cs="Arial"/>
            </w:rPr>
            <w:t>Indigenous Compendium 2015</w:t>
          </w:r>
        </w:p>
      </w:tc>
      <w:tc>
        <w:tcPr>
          <w:tcW w:w="510" w:type="dxa"/>
        </w:tcPr>
        <w:p w:rsidR="00840B58" w:rsidRPr="00A24443" w:rsidRDefault="00840B58">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D27AE3">
            <w:rPr>
              <w:rStyle w:val="PageNumber"/>
            </w:rPr>
            <w:t>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EC3E57">
            <w:rPr>
              <w:rStyle w:val="PageNumber"/>
              <w:noProof/>
            </w:rPr>
            <w:t>13</w:t>
          </w:r>
          <w:r>
            <w:rPr>
              <w:rStyle w:val="PageNumber"/>
            </w:rPr>
            <w:fldChar w:fldCharType="end"/>
          </w:r>
        </w:p>
      </w:tc>
    </w:tr>
  </w:tbl>
  <w:p w:rsidR="00840B58" w:rsidRDefault="00840B58">
    <w:pPr>
      <w:pStyle w:val="FooterEnd"/>
    </w:pPr>
  </w:p>
  <w:p w:rsidR="00840B58" w:rsidRDefault="00840B5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B58" w:rsidRDefault="00840B58">
      <w:r>
        <w:separator/>
      </w:r>
    </w:p>
  </w:footnote>
  <w:footnote w:type="continuationSeparator" w:id="0">
    <w:p w:rsidR="00840B58" w:rsidRDefault="00840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40B58">
      <w:tc>
        <w:tcPr>
          <w:tcW w:w="2155" w:type="dxa"/>
          <w:tcBorders>
            <w:top w:val="single" w:sz="24" w:space="0" w:color="auto"/>
          </w:tcBorders>
        </w:tcPr>
        <w:p w:rsidR="00840B58" w:rsidRDefault="00840B58" w:rsidP="0019293B">
          <w:pPr>
            <w:pStyle w:val="HeaderEven"/>
          </w:pPr>
        </w:p>
      </w:tc>
      <w:tc>
        <w:tcPr>
          <w:tcW w:w="6634" w:type="dxa"/>
          <w:tcBorders>
            <w:top w:val="single" w:sz="6" w:space="0" w:color="auto"/>
          </w:tcBorders>
        </w:tcPr>
        <w:p w:rsidR="00840B58" w:rsidRDefault="00840B58" w:rsidP="00DC492D">
          <w:pPr>
            <w:pStyle w:val="HeaderEven"/>
            <w:jc w:val="right"/>
          </w:pPr>
        </w:p>
      </w:tc>
    </w:tr>
  </w:tbl>
  <w:p w:rsidR="00840B58" w:rsidRDefault="00840B5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40B58">
      <w:tc>
        <w:tcPr>
          <w:tcW w:w="6634" w:type="dxa"/>
          <w:tcBorders>
            <w:top w:val="single" w:sz="6" w:space="0" w:color="auto"/>
          </w:tcBorders>
        </w:tcPr>
        <w:p w:rsidR="00840B58" w:rsidRDefault="00840B58" w:rsidP="00E669E2">
          <w:pPr>
            <w:pStyle w:val="HeaderOdd"/>
          </w:pPr>
        </w:p>
      </w:tc>
      <w:tc>
        <w:tcPr>
          <w:tcW w:w="2155" w:type="dxa"/>
          <w:tcBorders>
            <w:top w:val="single" w:sz="24" w:space="0" w:color="auto"/>
          </w:tcBorders>
        </w:tcPr>
        <w:p w:rsidR="00840B58" w:rsidRDefault="00840B58" w:rsidP="00E669E2">
          <w:pPr>
            <w:pStyle w:val="HeaderOdd"/>
          </w:pPr>
        </w:p>
      </w:tc>
    </w:tr>
  </w:tbl>
  <w:p w:rsidR="00840B58" w:rsidRDefault="00840B5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EE1C25F2"/>
    <w:lvl w:ilvl="0" w:tplc="8CEE1278">
      <w:start w:val="2"/>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C1DEA"/>
    <w:multiLevelType w:val="singleLevel"/>
    <w:tmpl w:val="BFF252C2"/>
    <w:lvl w:ilvl="0">
      <w:start w:val="1"/>
      <w:numFmt w:val="decimal"/>
      <w:lvlText w:val="%1."/>
      <w:legacy w:legacy="1" w:legacySpace="0" w:legacyIndent="340"/>
      <w:lvlJc w:val="left"/>
      <w:pPr>
        <w:ind w:left="340" w:hanging="340"/>
      </w:p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5"/>
  </w:num>
  <w:num w:numId="3">
    <w:abstractNumId w:val="23"/>
  </w:num>
  <w:num w:numId="4">
    <w:abstractNumId w:val="3"/>
  </w:num>
  <w:num w:numId="5">
    <w:abstractNumId w:val="17"/>
  </w:num>
  <w:num w:numId="6">
    <w:abstractNumId w:val="4"/>
  </w:num>
  <w:num w:numId="7">
    <w:abstractNumId w:val="22"/>
  </w:num>
  <w:num w:numId="8">
    <w:abstractNumId w:val="19"/>
  </w:num>
  <w:num w:numId="9">
    <w:abstractNumId w:val="24"/>
  </w:num>
  <w:num w:numId="10">
    <w:abstractNumId w:val="11"/>
  </w:num>
  <w:num w:numId="11">
    <w:abstractNumId w:val="9"/>
  </w:num>
  <w:num w:numId="12">
    <w:abstractNumId w:val="18"/>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4"/>
  </w:num>
  <w:num w:numId="17">
    <w:abstractNumId w:val="16"/>
  </w:num>
  <w:num w:numId="18">
    <w:abstractNumId w:val="20"/>
  </w:num>
  <w:num w:numId="19">
    <w:abstractNumId w:val="12"/>
  </w:num>
  <w:num w:numId="20">
    <w:abstractNumId w:val="21"/>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3"/>
  </w:num>
  <w:num w:numId="26">
    <w:abstractNumId w:val="7"/>
  </w:num>
  <w:num w:numId="27">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664B"/>
    <w:rsid w:val="00036FB1"/>
    <w:rsid w:val="00037649"/>
    <w:rsid w:val="0004111F"/>
    <w:rsid w:val="00042EB0"/>
    <w:rsid w:val="00043CAB"/>
    <w:rsid w:val="00047E14"/>
    <w:rsid w:val="0005037C"/>
    <w:rsid w:val="00050D19"/>
    <w:rsid w:val="000565B3"/>
    <w:rsid w:val="00056E65"/>
    <w:rsid w:val="000576BF"/>
    <w:rsid w:val="0006615C"/>
    <w:rsid w:val="0007150B"/>
    <w:rsid w:val="00071F24"/>
    <w:rsid w:val="00073FFB"/>
    <w:rsid w:val="00074B96"/>
    <w:rsid w:val="000847C4"/>
    <w:rsid w:val="00087DEB"/>
    <w:rsid w:val="00092C45"/>
    <w:rsid w:val="000938F5"/>
    <w:rsid w:val="00095E57"/>
    <w:rsid w:val="00096B70"/>
    <w:rsid w:val="00096D07"/>
    <w:rsid w:val="00096E55"/>
    <w:rsid w:val="00097DB9"/>
    <w:rsid w:val="000A0927"/>
    <w:rsid w:val="000A488F"/>
    <w:rsid w:val="000A5121"/>
    <w:rsid w:val="000B2363"/>
    <w:rsid w:val="000B4499"/>
    <w:rsid w:val="000B601B"/>
    <w:rsid w:val="000B7811"/>
    <w:rsid w:val="000C207E"/>
    <w:rsid w:val="000D3AB2"/>
    <w:rsid w:val="000D5C0D"/>
    <w:rsid w:val="000D6F89"/>
    <w:rsid w:val="000E14F8"/>
    <w:rsid w:val="000F0035"/>
    <w:rsid w:val="000F420B"/>
    <w:rsid w:val="000F7074"/>
    <w:rsid w:val="000F7408"/>
    <w:rsid w:val="00100AE9"/>
    <w:rsid w:val="00100B08"/>
    <w:rsid w:val="0010578D"/>
    <w:rsid w:val="00110116"/>
    <w:rsid w:val="00113F09"/>
    <w:rsid w:val="001179F5"/>
    <w:rsid w:val="00120072"/>
    <w:rsid w:val="00121091"/>
    <w:rsid w:val="00121DD7"/>
    <w:rsid w:val="00122D0E"/>
    <w:rsid w:val="00122DBD"/>
    <w:rsid w:val="00126EB8"/>
    <w:rsid w:val="00127257"/>
    <w:rsid w:val="001274D4"/>
    <w:rsid w:val="00130114"/>
    <w:rsid w:val="0013242F"/>
    <w:rsid w:val="00134980"/>
    <w:rsid w:val="00136039"/>
    <w:rsid w:val="001363AA"/>
    <w:rsid w:val="0014191A"/>
    <w:rsid w:val="0014285A"/>
    <w:rsid w:val="00144283"/>
    <w:rsid w:val="00144950"/>
    <w:rsid w:val="00150569"/>
    <w:rsid w:val="00151710"/>
    <w:rsid w:val="0015350C"/>
    <w:rsid w:val="00153A43"/>
    <w:rsid w:val="00155D7C"/>
    <w:rsid w:val="00157863"/>
    <w:rsid w:val="0016452E"/>
    <w:rsid w:val="00167E2F"/>
    <w:rsid w:val="00171248"/>
    <w:rsid w:val="0017516A"/>
    <w:rsid w:val="0017519E"/>
    <w:rsid w:val="00180C06"/>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A30F5"/>
    <w:rsid w:val="001A411F"/>
    <w:rsid w:val="001A7644"/>
    <w:rsid w:val="001B5B4C"/>
    <w:rsid w:val="001B6232"/>
    <w:rsid w:val="001C044A"/>
    <w:rsid w:val="001C0865"/>
    <w:rsid w:val="001C36DE"/>
    <w:rsid w:val="001C3ABA"/>
    <w:rsid w:val="001C555C"/>
    <w:rsid w:val="001D0B09"/>
    <w:rsid w:val="001D3E81"/>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2E2C"/>
    <w:rsid w:val="002135AB"/>
    <w:rsid w:val="002144BE"/>
    <w:rsid w:val="00217669"/>
    <w:rsid w:val="00220B0B"/>
    <w:rsid w:val="0022188E"/>
    <w:rsid w:val="00230CED"/>
    <w:rsid w:val="0023514C"/>
    <w:rsid w:val="00236CA4"/>
    <w:rsid w:val="00240C58"/>
    <w:rsid w:val="00242279"/>
    <w:rsid w:val="00245C82"/>
    <w:rsid w:val="00251A28"/>
    <w:rsid w:val="002534DC"/>
    <w:rsid w:val="0026602B"/>
    <w:rsid w:val="00271323"/>
    <w:rsid w:val="00274820"/>
    <w:rsid w:val="0027604A"/>
    <w:rsid w:val="002823BB"/>
    <w:rsid w:val="00285D78"/>
    <w:rsid w:val="00287153"/>
    <w:rsid w:val="00291B40"/>
    <w:rsid w:val="00293C0B"/>
    <w:rsid w:val="00296E34"/>
    <w:rsid w:val="002974CB"/>
    <w:rsid w:val="002A596D"/>
    <w:rsid w:val="002A718A"/>
    <w:rsid w:val="002B0B58"/>
    <w:rsid w:val="002B4008"/>
    <w:rsid w:val="002B414C"/>
    <w:rsid w:val="002D0E8E"/>
    <w:rsid w:val="002D614F"/>
    <w:rsid w:val="002D79E0"/>
    <w:rsid w:val="002E3CFD"/>
    <w:rsid w:val="002E5719"/>
    <w:rsid w:val="002E5B45"/>
    <w:rsid w:val="002E7AEC"/>
    <w:rsid w:val="00300562"/>
    <w:rsid w:val="00301189"/>
    <w:rsid w:val="00301396"/>
    <w:rsid w:val="00305411"/>
    <w:rsid w:val="00307665"/>
    <w:rsid w:val="00313234"/>
    <w:rsid w:val="00317360"/>
    <w:rsid w:val="00317430"/>
    <w:rsid w:val="0032019A"/>
    <w:rsid w:val="0032151B"/>
    <w:rsid w:val="003222A4"/>
    <w:rsid w:val="00323E09"/>
    <w:rsid w:val="003240FD"/>
    <w:rsid w:val="00324F75"/>
    <w:rsid w:val="003255C6"/>
    <w:rsid w:val="0033006C"/>
    <w:rsid w:val="00333932"/>
    <w:rsid w:val="003348F7"/>
    <w:rsid w:val="00335580"/>
    <w:rsid w:val="00335964"/>
    <w:rsid w:val="00342690"/>
    <w:rsid w:val="003434B1"/>
    <w:rsid w:val="00346CF1"/>
    <w:rsid w:val="003505E9"/>
    <w:rsid w:val="003518AA"/>
    <w:rsid w:val="00352165"/>
    <w:rsid w:val="0035238F"/>
    <w:rsid w:val="00352AC6"/>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144B"/>
    <w:rsid w:val="003859AA"/>
    <w:rsid w:val="00386B15"/>
    <w:rsid w:val="003919F9"/>
    <w:rsid w:val="00391F6E"/>
    <w:rsid w:val="003924CE"/>
    <w:rsid w:val="00392706"/>
    <w:rsid w:val="003934F7"/>
    <w:rsid w:val="0039560B"/>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36E9"/>
    <w:rsid w:val="00467A54"/>
    <w:rsid w:val="0047368E"/>
    <w:rsid w:val="004758E4"/>
    <w:rsid w:val="00477144"/>
    <w:rsid w:val="00482F36"/>
    <w:rsid w:val="00486C7F"/>
    <w:rsid w:val="00491380"/>
    <w:rsid w:val="00492D9A"/>
    <w:rsid w:val="00492E82"/>
    <w:rsid w:val="00493A5A"/>
    <w:rsid w:val="0049459F"/>
    <w:rsid w:val="0049603D"/>
    <w:rsid w:val="00497141"/>
    <w:rsid w:val="004A166D"/>
    <w:rsid w:val="004A26A8"/>
    <w:rsid w:val="004A38DD"/>
    <w:rsid w:val="004B43AE"/>
    <w:rsid w:val="004B7307"/>
    <w:rsid w:val="004B73EE"/>
    <w:rsid w:val="004B7EB2"/>
    <w:rsid w:val="004C1916"/>
    <w:rsid w:val="004C30ED"/>
    <w:rsid w:val="004D3BE7"/>
    <w:rsid w:val="004D5675"/>
    <w:rsid w:val="004D5D4F"/>
    <w:rsid w:val="004E622C"/>
    <w:rsid w:val="004F17F0"/>
    <w:rsid w:val="004F31EB"/>
    <w:rsid w:val="004F485E"/>
    <w:rsid w:val="004F5196"/>
    <w:rsid w:val="004F6BE7"/>
    <w:rsid w:val="00512F9B"/>
    <w:rsid w:val="00512F9F"/>
    <w:rsid w:val="00514610"/>
    <w:rsid w:val="005204F1"/>
    <w:rsid w:val="005212AE"/>
    <w:rsid w:val="00523639"/>
    <w:rsid w:val="0052457D"/>
    <w:rsid w:val="00530214"/>
    <w:rsid w:val="00531FE5"/>
    <w:rsid w:val="005402FA"/>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20A6E"/>
    <w:rsid w:val="00630660"/>
    <w:rsid w:val="00630D4D"/>
    <w:rsid w:val="00632A74"/>
    <w:rsid w:val="0063416B"/>
    <w:rsid w:val="0064435E"/>
    <w:rsid w:val="00644C69"/>
    <w:rsid w:val="006527F2"/>
    <w:rsid w:val="00654E5F"/>
    <w:rsid w:val="006562B1"/>
    <w:rsid w:val="00664657"/>
    <w:rsid w:val="00667801"/>
    <w:rsid w:val="00675B32"/>
    <w:rsid w:val="00684EDD"/>
    <w:rsid w:val="00694FB0"/>
    <w:rsid w:val="00695CED"/>
    <w:rsid w:val="0069673D"/>
    <w:rsid w:val="006A0617"/>
    <w:rsid w:val="006A39A4"/>
    <w:rsid w:val="006A4655"/>
    <w:rsid w:val="006B2B3C"/>
    <w:rsid w:val="006B41A9"/>
    <w:rsid w:val="006C1D81"/>
    <w:rsid w:val="006C7038"/>
    <w:rsid w:val="006D50AD"/>
    <w:rsid w:val="006E2E8A"/>
    <w:rsid w:val="006E412C"/>
    <w:rsid w:val="006E68FE"/>
    <w:rsid w:val="006E73EF"/>
    <w:rsid w:val="006F70D2"/>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604BB"/>
    <w:rsid w:val="0076208F"/>
    <w:rsid w:val="00766EA1"/>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31865"/>
    <w:rsid w:val="00835771"/>
    <w:rsid w:val="008361D1"/>
    <w:rsid w:val="00840B58"/>
    <w:rsid w:val="00842277"/>
    <w:rsid w:val="00842933"/>
    <w:rsid w:val="00847D86"/>
    <w:rsid w:val="00851036"/>
    <w:rsid w:val="00853F59"/>
    <w:rsid w:val="00856145"/>
    <w:rsid w:val="00856E61"/>
    <w:rsid w:val="0086082C"/>
    <w:rsid w:val="00861D89"/>
    <w:rsid w:val="0086262E"/>
    <w:rsid w:val="00864ADC"/>
    <w:rsid w:val="00867C89"/>
    <w:rsid w:val="0087110E"/>
    <w:rsid w:val="00871FAC"/>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110D"/>
    <w:rsid w:val="008E3D21"/>
    <w:rsid w:val="008E5B61"/>
    <w:rsid w:val="008F2983"/>
    <w:rsid w:val="008F4446"/>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294B"/>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849"/>
    <w:rsid w:val="00976CE5"/>
    <w:rsid w:val="009774EF"/>
    <w:rsid w:val="0098048E"/>
    <w:rsid w:val="009806FE"/>
    <w:rsid w:val="00981798"/>
    <w:rsid w:val="009842B2"/>
    <w:rsid w:val="00985409"/>
    <w:rsid w:val="009907C3"/>
    <w:rsid w:val="00990C2C"/>
    <w:rsid w:val="00993337"/>
    <w:rsid w:val="009A3348"/>
    <w:rsid w:val="009B3A39"/>
    <w:rsid w:val="009C3880"/>
    <w:rsid w:val="009C616D"/>
    <w:rsid w:val="009D65E3"/>
    <w:rsid w:val="009E1844"/>
    <w:rsid w:val="009E3759"/>
    <w:rsid w:val="009F0D1B"/>
    <w:rsid w:val="009F1762"/>
    <w:rsid w:val="009F1AD3"/>
    <w:rsid w:val="009F20AC"/>
    <w:rsid w:val="009F2860"/>
    <w:rsid w:val="009F696D"/>
    <w:rsid w:val="009F6BC6"/>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7781"/>
    <w:rsid w:val="00B7113F"/>
    <w:rsid w:val="00B762DB"/>
    <w:rsid w:val="00B802DD"/>
    <w:rsid w:val="00B8234F"/>
    <w:rsid w:val="00B82BCB"/>
    <w:rsid w:val="00B82C09"/>
    <w:rsid w:val="00B86B35"/>
    <w:rsid w:val="00B87333"/>
    <w:rsid w:val="00B90AB7"/>
    <w:rsid w:val="00B94F94"/>
    <w:rsid w:val="00BA0F27"/>
    <w:rsid w:val="00BA39A3"/>
    <w:rsid w:val="00BA7166"/>
    <w:rsid w:val="00BA73B6"/>
    <w:rsid w:val="00BA7E27"/>
    <w:rsid w:val="00BB10C2"/>
    <w:rsid w:val="00BB2603"/>
    <w:rsid w:val="00BB4B7B"/>
    <w:rsid w:val="00BB4FCD"/>
    <w:rsid w:val="00BC04E9"/>
    <w:rsid w:val="00BC2EFE"/>
    <w:rsid w:val="00BC381B"/>
    <w:rsid w:val="00BD13EA"/>
    <w:rsid w:val="00BD2B03"/>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3721"/>
    <w:rsid w:val="00C13C82"/>
    <w:rsid w:val="00C14FE4"/>
    <w:rsid w:val="00C15C2C"/>
    <w:rsid w:val="00C25B16"/>
    <w:rsid w:val="00C3066D"/>
    <w:rsid w:val="00C32C65"/>
    <w:rsid w:val="00C3342D"/>
    <w:rsid w:val="00C3533E"/>
    <w:rsid w:val="00C408BA"/>
    <w:rsid w:val="00C41B88"/>
    <w:rsid w:val="00C45679"/>
    <w:rsid w:val="00C50AD9"/>
    <w:rsid w:val="00C52416"/>
    <w:rsid w:val="00C53138"/>
    <w:rsid w:val="00C53A31"/>
    <w:rsid w:val="00C543F4"/>
    <w:rsid w:val="00C5751E"/>
    <w:rsid w:val="00C575C2"/>
    <w:rsid w:val="00C6291C"/>
    <w:rsid w:val="00C62CF3"/>
    <w:rsid w:val="00C633CB"/>
    <w:rsid w:val="00C6572B"/>
    <w:rsid w:val="00C670B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D01C12"/>
    <w:rsid w:val="00D0302C"/>
    <w:rsid w:val="00D15695"/>
    <w:rsid w:val="00D15AC3"/>
    <w:rsid w:val="00D22E2B"/>
    <w:rsid w:val="00D253E4"/>
    <w:rsid w:val="00D25DBC"/>
    <w:rsid w:val="00D270A4"/>
    <w:rsid w:val="00D27AE3"/>
    <w:rsid w:val="00D306A1"/>
    <w:rsid w:val="00D31379"/>
    <w:rsid w:val="00D31FE9"/>
    <w:rsid w:val="00D33F42"/>
    <w:rsid w:val="00D34613"/>
    <w:rsid w:val="00D34E1B"/>
    <w:rsid w:val="00D376BA"/>
    <w:rsid w:val="00D41997"/>
    <w:rsid w:val="00D45634"/>
    <w:rsid w:val="00D45A66"/>
    <w:rsid w:val="00D45EB6"/>
    <w:rsid w:val="00D51744"/>
    <w:rsid w:val="00D5568A"/>
    <w:rsid w:val="00D56978"/>
    <w:rsid w:val="00D637B9"/>
    <w:rsid w:val="00D63D73"/>
    <w:rsid w:val="00D64452"/>
    <w:rsid w:val="00D66E1E"/>
    <w:rsid w:val="00D670B7"/>
    <w:rsid w:val="00D7003C"/>
    <w:rsid w:val="00D72A50"/>
    <w:rsid w:val="00D75722"/>
    <w:rsid w:val="00D76276"/>
    <w:rsid w:val="00D80CF5"/>
    <w:rsid w:val="00D95DC2"/>
    <w:rsid w:val="00DA4D0D"/>
    <w:rsid w:val="00DA5BBA"/>
    <w:rsid w:val="00DB26D2"/>
    <w:rsid w:val="00DB2EB3"/>
    <w:rsid w:val="00DB3FCB"/>
    <w:rsid w:val="00DB4396"/>
    <w:rsid w:val="00DB494F"/>
    <w:rsid w:val="00DB62BB"/>
    <w:rsid w:val="00DB67C9"/>
    <w:rsid w:val="00DC0C95"/>
    <w:rsid w:val="00DC21B3"/>
    <w:rsid w:val="00DC2A21"/>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7690"/>
    <w:rsid w:val="00E918A4"/>
    <w:rsid w:val="00E93A65"/>
    <w:rsid w:val="00EA00E2"/>
    <w:rsid w:val="00EA0428"/>
    <w:rsid w:val="00EA1862"/>
    <w:rsid w:val="00EA3804"/>
    <w:rsid w:val="00EA4198"/>
    <w:rsid w:val="00EB56BA"/>
    <w:rsid w:val="00EC2844"/>
    <w:rsid w:val="00EC297C"/>
    <w:rsid w:val="00EC3E57"/>
    <w:rsid w:val="00EC5500"/>
    <w:rsid w:val="00ED18F8"/>
    <w:rsid w:val="00ED2ECE"/>
    <w:rsid w:val="00ED7951"/>
    <w:rsid w:val="00ED7A16"/>
    <w:rsid w:val="00ED7C85"/>
    <w:rsid w:val="00EE1477"/>
    <w:rsid w:val="00EF0AC2"/>
    <w:rsid w:val="00EF6C6C"/>
    <w:rsid w:val="00F01A99"/>
    <w:rsid w:val="00F053C1"/>
    <w:rsid w:val="00F056FC"/>
    <w:rsid w:val="00F10476"/>
    <w:rsid w:val="00F113CE"/>
    <w:rsid w:val="00F135D8"/>
    <w:rsid w:val="00F16062"/>
    <w:rsid w:val="00F2288A"/>
    <w:rsid w:val="00F23A3A"/>
    <w:rsid w:val="00F31299"/>
    <w:rsid w:val="00F3534A"/>
    <w:rsid w:val="00F37CB7"/>
    <w:rsid w:val="00F41499"/>
    <w:rsid w:val="00F42141"/>
    <w:rsid w:val="00F458A1"/>
    <w:rsid w:val="00F47C9B"/>
    <w:rsid w:val="00F51609"/>
    <w:rsid w:val="00F526BC"/>
    <w:rsid w:val="00F57186"/>
    <w:rsid w:val="00F636EA"/>
    <w:rsid w:val="00F67E43"/>
    <w:rsid w:val="00F713DD"/>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4A0D"/>
    <w:rsid w:val="00FC4CE3"/>
    <w:rsid w:val="00FC7889"/>
    <w:rsid w:val="00FD22B1"/>
    <w:rsid w:val="00FD342E"/>
    <w:rsid w:val="00FD665F"/>
    <w:rsid w:val="00FD6B61"/>
    <w:rsid w:val="00FD6CE4"/>
    <w:rsid w:val="00FD7F00"/>
    <w:rsid w:val="00FE1FC5"/>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C3E57"/>
    <w:rPr>
      <w:sz w:val="24"/>
      <w:szCs w:val="24"/>
    </w:rPr>
  </w:style>
  <w:style w:type="paragraph" w:styleId="Heading1">
    <w:name w:val="heading 1"/>
    <w:basedOn w:val="BodyText"/>
    <w:next w:val="BodyText"/>
    <w:link w:val="Heading1Char"/>
    <w:rsid w:val="00EC3E5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C3E5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C3E57"/>
    <w:pPr>
      <w:spacing w:before="560" w:line="320" w:lineRule="exact"/>
      <w:ind w:left="0" w:firstLine="0"/>
      <w:outlineLvl w:val="2"/>
    </w:pPr>
    <w:rPr>
      <w:sz w:val="26"/>
    </w:rPr>
  </w:style>
  <w:style w:type="paragraph" w:styleId="Heading4">
    <w:name w:val="heading 4"/>
    <w:basedOn w:val="Heading3"/>
    <w:next w:val="BodyText"/>
    <w:link w:val="Heading4Char"/>
    <w:qFormat/>
    <w:rsid w:val="00EC3E57"/>
    <w:pPr>
      <w:spacing w:before="480"/>
      <w:outlineLvl w:val="3"/>
    </w:pPr>
    <w:rPr>
      <w:b w:val="0"/>
      <w:sz w:val="24"/>
    </w:rPr>
  </w:style>
  <w:style w:type="paragraph" w:styleId="Heading5">
    <w:name w:val="heading 5"/>
    <w:basedOn w:val="Heading4"/>
    <w:next w:val="BodyText"/>
    <w:link w:val="Heading5Char"/>
    <w:qFormat/>
    <w:rsid w:val="00EC3E57"/>
    <w:pPr>
      <w:outlineLvl w:val="4"/>
    </w:pPr>
    <w:rPr>
      <w:i/>
      <w:sz w:val="22"/>
    </w:rPr>
  </w:style>
  <w:style w:type="paragraph" w:styleId="Heading6">
    <w:name w:val="heading 6"/>
    <w:basedOn w:val="BodyText"/>
    <w:next w:val="BodyText"/>
    <w:link w:val="Heading6Char"/>
    <w:rsid w:val="00EC3E57"/>
    <w:pPr>
      <w:spacing w:after="60"/>
      <w:jc w:val="left"/>
      <w:outlineLvl w:val="5"/>
    </w:pPr>
    <w:rPr>
      <w:i/>
      <w:sz w:val="22"/>
    </w:rPr>
  </w:style>
  <w:style w:type="paragraph" w:styleId="Heading7">
    <w:name w:val="heading 7"/>
    <w:basedOn w:val="BodyText"/>
    <w:next w:val="BodyText"/>
    <w:link w:val="Heading7Char"/>
    <w:rsid w:val="00EC3E57"/>
    <w:pPr>
      <w:spacing w:after="60" w:line="240" w:lineRule="auto"/>
      <w:jc w:val="left"/>
      <w:outlineLvl w:val="6"/>
    </w:pPr>
    <w:rPr>
      <w:rFonts w:ascii="Arial" w:hAnsi="Arial"/>
      <w:sz w:val="20"/>
    </w:rPr>
  </w:style>
  <w:style w:type="paragraph" w:styleId="Heading8">
    <w:name w:val="heading 8"/>
    <w:basedOn w:val="BodyText"/>
    <w:next w:val="BodyText"/>
    <w:link w:val="Heading8Char"/>
    <w:rsid w:val="00EC3E5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C3E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C3E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E57"/>
  </w:style>
  <w:style w:type="paragraph" w:styleId="BodyText">
    <w:name w:val="Body Text"/>
    <w:link w:val="BodyTextChar"/>
    <w:qFormat/>
    <w:rsid w:val="00EC3E57"/>
    <w:pPr>
      <w:spacing w:before="240" w:line="300" w:lineRule="atLeast"/>
      <w:jc w:val="both"/>
    </w:pPr>
    <w:rPr>
      <w:sz w:val="24"/>
    </w:rPr>
  </w:style>
  <w:style w:type="paragraph" w:styleId="Footer">
    <w:name w:val="footer"/>
    <w:basedOn w:val="BodyText"/>
    <w:link w:val="FooterChar"/>
    <w:rsid w:val="00EC3E57"/>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EC3E57"/>
    <w:pPr>
      <w:spacing w:before="0" w:line="20" w:lineRule="exact"/>
    </w:pPr>
  </w:style>
  <w:style w:type="paragraph" w:styleId="Header">
    <w:name w:val="header"/>
    <w:basedOn w:val="BodyText"/>
    <w:link w:val="HeaderChar"/>
    <w:rsid w:val="00EC3E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C3E57"/>
    <w:pPr>
      <w:spacing w:line="20" w:lineRule="exact"/>
    </w:pPr>
    <w:rPr>
      <w:sz w:val="16"/>
    </w:rPr>
  </w:style>
  <w:style w:type="paragraph" w:customStyle="1" w:styleId="HeaderEven">
    <w:name w:val="Header Even"/>
    <w:basedOn w:val="Header"/>
    <w:semiHidden/>
    <w:rsid w:val="00EC3E57"/>
  </w:style>
  <w:style w:type="paragraph" w:customStyle="1" w:styleId="HeaderOdd">
    <w:name w:val="Header Odd"/>
    <w:basedOn w:val="Header"/>
    <w:semiHidden/>
    <w:rsid w:val="00EC3E57"/>
  </w:style>
  <w:style w:type="character" w:styleId="PageNumber">
    <w:name w:val="page number"/>
    <w:basedOn w:val="DefaultParagraphFont"/>
    <w:rsid w:val="00EC3E57"/>
    <w:rPr>
      <w:rFonts w:ascii="Arial" w:hAnsi="Arial"/>
      <w:b/>
      <w:sz w:val="16"/>
    </w:rPr>
  </w:style>
  <w:style w:type="paragraph" w:customStyle="1" w:styleId="Abbreviation">
    <w:name w:val="Abbreviation"/>
    <w:basedOn w:val="BodyText"/>
    <w:rsid w:val="00EC3E57"/>
    <w:pPr>
      <w:spacing w:before="120"/>
      <w:ind w:left="2381" w:hanging="2381"/>
      <w:jc w:val="left"/>
    </w:pPr>
  </w:style>
  <w:style w:type="paragraph" w:customStyle="1" w:styleId="Box">
    <w:name w:val="Box"/>
    <w:basedOn w:val="BodyText"/>
    <w:qFormat/>
    <w:rsid w:val="00EC3E5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C3E57"/>
    <w:pPr>
      <w:spacing w:before="180" w:line="220" w:lineRule="exact"/>
      <w:jc w:val="right"/>
    </w:pPr>
    <w:rPr>
      <w:rFonts w:ascii="Arial" w:hAnsi="Arial"/>
      <w:sz w:val="18"/>
    </w:rPr>
  </w:style>
  <w:style w:type="paragraph" w:customStyle="1" w:styleId="BoxHeading1">
    <w:name w:val="Box Heading 1"/>
    <w:basedOn w:val="BodyText"/>
    <w:next w:val="Box"/>
    <w:rsid w:val="00EC3E57"/>
    <w:pPr>
      <w:keepNext/>
      <w:spacing w:before="200" w:line="280" w:lineRule="atLeast"/>
    </w:pPr>
    <w:rPr>
      <w:rFonts w:ascii="Arial" w:hAnsi="Arial"/>
      <w:b/>
      <w:sz w:val="22"/>
    </w:rPr>
  </w:style>
  <w:style w:type="paragraph" w:customStyle="1" w:styleId="BoxHeading2">
    <w:name w:val="Box Heading 2"/>
    <w:basedOn w:val="BoxHeading1"/>
    <w:next w:val="Normal"/>
    <w:rsid w:val="00EC3E57"/>
    <w:rPr>
      <w:b w:val="0"/>
      <w:i/>
    </w:rPr>
  </w:style>
  <w:style w:type="paragraph" w:customStyle="1" w:styleId="BoxListBullet">
    <w:name w:val="Box List Bullet"/>
    <w:basedOn w:val="BodyText"/>
    <w:rsid w:val="00EC3E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C3E57"/>
    <w:pPr>
      <w:numPr>
        <w:numId w:val="2"/>
      </w:numPr>
      <w:ind w:left="568" w:hanging="284"/>
    </w:pPr>
  </w:style>
  <w:style w:type="paragraph" w:customStyle="1" w:styleId="BoxListNumber">
    <w:name w:val="Box List Number"/>
    <w:basedOn w:val="BodyText"/>
    <w:rsid w:val="00EC3E5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C3E57"/>
    <w:pPr>
      <w:numPr>
        <w:ilvl w:val="1"/>
      </w:numPr>
      <w:ind w:left="681" w:hanging="397"/>
    </w:pPr>
  </w:style>
  <w:style w:type="paragraph" w:customStyle="1" w:styleId="BoxQuote">
    <w:name w:val="Box Quote"/>
    <w:basedOn w:val="BodyText"/>
    <w:next w:val="Box"/>
    <w:qFormat/>
    <w:rsid w:val="00EC3E57"/>
    <w:pPr>
      <w:keepNext/>
      <w:spacing w:before="60" w:line="240" w:lineRule="exact"/>
      <w:ind w:left="284"/>
    </w:pPr>
    <w:rPr>
      <w:rFonts w:ascii="Arial" w:hAnsi="Arial"/>
      <w:sz w:val="18"/>
    </w:rPr>
  </w:style>
  <w:style w:type="paragraph" w:customStyle="1" w:styleId="Note">
    <w:name w:val="Note"/>
    <w:basedOn w:val="BodyText"/>
    <w:next w:val="BodyText"/>
    <w:link w:val="NoteChar"/>
    <w:rsid w:val="00EC3E57"/>
    <w:pPr>
      <w:keepLines/>
      <w:spacing w:before="80" w:line="220" w:lineRule="exact"/>
    </w:pPr>
    <w:rPr>
      <w:rFonts w:ascii="Arial" w:hAnsi="Arial"/>
      <w:sz w:val="18"/>
    </w:rPr>
  </w:style>
  <w:style w:type="paragraph" w:customStyle="1" w:styleId="Source">
    <w:name w:val="Source"/>
    <w:basedOn w:val="Normal"/>
    <w:next w:val="BodyText"/>
    <w:rsid w:val="00EC3E57"/>
    <w:pPr>
      <w:keepLines/>
      <w:spacing w:before="80" w:line="220" w:lineRule="exact"/>
      <w:jc w:val="both"/>
    </w:pPr>
    <w:rPr>
      <w:rFonts w:ascii="Arial" w:hAnsi="Arial"/>
      <w:sz w:val="18"/>
      <w:szCs w:val="20"/>
    </w:rPr>
  </w:style>
  <w:style w:type="paragraph" w:customStyle="1" w:styleId="BoxSource">
    <w:name w:val="Box Source"/>
    <w:basedOn w:val="Source"/>
    <w:next w:val="BodyText"/>
    <w:rsid w:val="00EC3E57"/>
    <w:pPr>
      <w:spacing w:before="120"/>
    </w:pPr>
  </w:style>
  <w:style w:type="paragraph" w:customStyle="1" w:styleId="BoxSpaceAbove">
    <w:name w:val="Box Space Above"/>
    <w:basedOn w:val="BodyText"/>
    <w:rsid w:val="00EC3E57"/>
    <w:pPr>
      <w:keepNext/>
      <w:spacing w:before="360" w:line="80" w:lineRule="exact"/>
      <w:jc w:val="left"/>
    </w:pPr>
  </w:style>
  <w:style w:type="paragraph" w:styleId="Caption">
    <w:name w:val="caption"/>
    <w:basedOn w:val="Normal"/>
    <w:next w:val="BodyText"/>
    <w:rsid w:val="00EC3E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C3E57"/>
    <w:pPr>
      <w:spacing w:before="120" w:after="0"/>
    </w:pPr>
  </w:style>
  <w:style w:type="paragraph" w:customStyle="1" w:styleId="BoxSubtitle">
    <w:name w:val="Box Subtitle"/>
    <w:basedOn w:val="BoxTitle"/>
    <w:next w:val="Normal"/>
    <w:rsid w:val="00EC3E57"/>
    <w:pPr>
      <w:spacing w:after="80" w:line="200" w:lineRule="exact"/>
      <w:ind w:firstLine="0"/>
    </w:pPr>
    <w:rPr>
      <w:b w:val="0"/>
      <w:sz w:val="20"/>
    </w:rPr>
  </w:style>
  <w:style w:type="paragraph" w:customStyle="1" w:styleId="Chapter">
    <w:name w:val="Chapter"/>
    <w:basedOn w:val="Heading1"/>
    <w:next w:val="BodyText"/>
    <w:semiHidden/>
    <w:rsid w:val="00EC3E57"/>
    <w:pPr>
      <w:ind w:left="0" w:firstLine="0"/>
      <w:outlineLvl w:val="9"/>
    </w:pPr>
  </w:style>
  <w:style w:type="paragraph" w:customStyle="1" w:styleId="ChapterSummary">
    <w:name w:val="Chapter Summary"/>
    <w:basedOn w:val="BodyText"/>
    <w:rsid w:val="00EC3E57"/>
    <w:pPr>
      <w:spacing w:line="280" w:lineRule="atLeast"/>
      <w:ind w:left="907"/>
    </w:pPr>
    <w:rPr>
      <w:rFonts w:ascii="Arial" w:hAnsi="Arial"/>
      <w:b/>
      <w:sz w:val="20"/>
    </w:rPr>
  </w:style>
  <w:style w:type="character" w:styleId="CommentReference">
    <w:name w:val="annotation reference"/>
    <w:basedOn w:val="DefaultParagraphFont"/>
    <w:semiHidden/>
    <w:rsid w:val="00EC3E57"/>
    <w:rPr>
      <w:b/>
      <w:vanish/>
      <w:color w:val="FF00FF"/>
      <w:sz w:val="20"/>
    </w:rPr>
  </w:style>
  <w:style w:type="paragraph" w:styleId="CommentText">
    <w:name w:val="annotation text"/>
    <w:basedOn w:val="Normal"/>
    <w:link w:val="CommentTextChar1"/>
    <w:semiHidden/>
    <w:rsid w:val="00EC3E57"/>
    <w:pPr>
      <w:spacing w:before="120" w:line="240" w:lineRule="atLeast"/>
      <w:ind w:left="567" w:hanging="567"/>
    </w:pPr>
    <w:rPr>
      <w:sz w:val="20"/>
    </w:rPr>
  </w:style>
  <w:style w:type="paragraph" w:customStyle="1" w:styleId="Continued">
    <w:name w:val="Continued"/>
    <w:basedOn w:val="BoxContinued"/>
    <w:next w:val="BodyText"/>
    <w:rsid w:val="00EC3E57"/>
  </w:style>
  <w:style w:type="character" w:customStyle="1" w:styleId="DocumentInfo">
    <w:name w:val="Document Info"/>
    <w:basedOn w:val="DefaultParagraphFont"/>
    <w:semiHidden/>
    <w:rsid w:val="00EC3E57"/>
    <w:rPr>
      <w:rFonts w:ascii="Arial" w:hAnsi="Arial"/>
      <w:sz w:val="14"/>
    </w:rPr>
  </w:style>
  <w:style w:type="character" w:customStyle="1" w:styleId="DraftingNote">
    <w:name w:val="Drafting Note"/>
    <w:basedOn w:val="DefaultParagraphFont"/>
    <w:rsid w:val="00EC3E57"/>
    <w:rPr>
      <w:b/>
      <w:color w:val="FF0000"/>
      <w:sz w:val="24"/>
      <w:u w:val="dotted"/>
    </w:rPr>
  </w:style>
  <w:style w:type="paragraph" w:customStyle="1" w:styleId="Figure">
    <w:name w:val="Figure"/>
    <w:basedOn w:val="BodyText"/>
    <w:rsid w:val="00EC3E57"/>
    <w:pPr>
      <w:keepNext/>
      <w:spacing w:before="120" w:after="120" w:line="240" w:lineRule="atLeast"/>
      <w:jc w:val="center"/>
    </w:pPr>
  </w:style>
  <w:style w:type="paragraph" w:customStyle="1" w:styleId="FigureTitle">
    <w:name w:val="Figure Title"/>
    <w:basedOn w:val="Caption"/>
    <w:next w:val="Subtitle"/>
    <w:rsid w:val="00EC3E57"/>
    <w:pPr>
      <w:spacing w:before="120"/>
    </w:pPr>
  </w:style>
  <w:style w:type="paragraph" w:styleId="Subtitle">
    <w:name w:val="Subtitle"/>
    <w:basedOn w:val="Caption"/>
    <w:link w:val="SubtitleChar"/>
    <w:qFormat/>
    <w:rsid w:val="00EC3E57"/>
    <w:pPr>
      <w:spacing w:before="0" w:line="200" w:lineRule="exact"/>
      <w:ind w:firstLine="0"/>
    </w:pPr>
    <w:rPr>
      <w:b w:val="0"/>
      <w:sz w:val="20"/>
    </w:rPr>
  </w:style>
  <w:style w:type="paragraph" w:customStyle="1" w:styleId="Finding">
    <w:name w:val="Finding"/>
    <w:basedOn w:val="BodyText"/>
    <w:rsid w:val="00EC3E57"/>
    <w:pPr>
      <w:keepLines/>
      <w:spacing w:before="120" w:line="280" w:lineRule="atLeast"/>
    </w:pPr>
    <w:rPr>
      <w:rFonts w:ascii="Arial" w:hAnsi="Arial"/>
      <w:sz w:val="22"/>
    </w:rPr>
  </w:style>
  <w:style w:type="paragraph" w:customStyle="1" w:styleId="FindingBullet">
    <w:name w:val="Finding Bullet"/>
    <w:basedOn w:val="Finding"/>
    <w:rsid w:val="00EC3E57"/>
    <w:pPr>
      <w:numPr>
        <w:numId w:val="3"/>
      </w:numPr>
      <w:spacing w:before="80"/>
    </w:pPr>
  </w:style>
  <w:style w:type="paragraph" w:customStyle="1" w:styleId="FindingNoTitle">
    <w:name w:val="Finding NoTitle"/>
    <w:basedOn w:val="Finding"/>
    <w:rsid w:val="00EC3E57"/>
    <w:pPr>
      <w:spacing w:before="240"/>
    </w:pPr>
  </w:style>
  <w:style w:type="paragraph" w:customStyle="1" w:styleId="RecTitle">
    <w:name w:val="Rec Title"/>
    <w:basedOn w:val="BodyText"/>
    <w:next w:val="Rec"/>
    <w:qFormat/>
    <w:rsid w:val="00EC3E57"/>
    <w:pPr>
      <w:keepNext/>
      <w:keepLines/>
      <w:spacing w:line="280" w:lineRule="atLeast"/>
    </w:pPr>
    <w:rPr>
      <w:rFonts w:ascii="Arial" w:hAnsi="Arial"/>
      <w:caps/>
      <w:sz w:val="18"/>
    </w:rPr>
  </w:style>
  <w:style w:type="paragraph" w:customStyle="1" w:styleId="FindingTitle">
    <w:name w:val="Finding Title"/>
    <w:basedOn w:val="RecTitle"/>
    <w:next w:val="Finding"/>
    <w:rsid w:val="00EC3E57"/>
  </w:style>
  <w:style w:type="character" w:styleId="FootnoteReference">
    <w:name w:val="footnote reference"/>
    <w:basedOn w:val="DefaultParagraphFont"/>
    <w:semiHidden/>
    <w:rsid w:val="00EC3E57"/>
    <w:rPr>
      <w:rFonts w:ascii="Times New Roman" w:hAnsi="Times New Roman"/>
      <w:position w:val="6"/>
      <w:sz w:val="20"/>
      <w:vertAlign w:val="baseline"/>
    </w:rPr>
  </w:style>
  <w:style w:type="paragraph" w:styleId="FootnoteText">
    <w:name w:val="footnote text"/>
    <w:basedOn w:val="BodyText"/>
    <w:link w:val="FootnoteTextChar"/>
    <w:rsid w:val="00EC3E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C3E57"/>
    <w:rPr>
      <w:i/>
    </w:rPr>
  </w:style>
  <w:style w:type="paragraph" w:customStyle="1" w:styleId="Jurisdictioncommentsbodytext">
    <w:name w:val="Jurisdiction comments body text"/>
    <w:rsid w:val="00EC3E57"/>
    <w:pPr>
      <w:spacing w:after="140"/>
      <w:jc w:val="both"/>
    </w:pPr>
    <w:rPr>
      <w:rFonts w:ascii="Arial" w:hAnsi="Arial"/>
      <w:sz w:val="24"/>
      <w:lang w:eastAsia="en-US"/>
    </w:rPr>
  </w:style>
  <w:style w:type="paragraph" w:customStyle="1" w:styleId="Jurisdictioncommentsheading">
    <w:name w:val="Jurisdiction comments heading"/>
    <w:rsid w:val="00EC3E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C3E57"/>
    <w:pPr>
      <w:numPr>
        <w:numId w:val="4"/>
      </w:numPr>
      <w:spacing w:after="140"/>
      <w:jc w:val="both"/>
    </w:pPr>
    <w:rPr>
      <w:rFonts w:ascii="Arial" w:hAnsi="Arial"/>
      <w:sz w:val="24"/>
      <w:lang w:eastAsia="en-US"/>
    </w:rPr>
  </w:style>
  <w:style w:type="paragraph" w:styleId="ListBullet">
    <w:name w:val="List Bullet"/>
    <w:basedOn w:val="BodyText"/>
    <w:link w:val="ListBulletChar"/>
    <w:rsid w:val="00EC3E57"/>
    <w:pPr>
      <w:numPr>
        <w:numId w:val="5"/>
      </w:numPr>
      <w:spacing w:before="120"/>
    </w:pPr>
  </w:style>
  <w:style w:type="paragraph" w:styleId="ListBullet2">
    <w:name w:val="List Bullet 2"/>
    <w:basedOn w:val="BodyText"/>
    <w:link w:val="ListBullet2Char"/>
    <w:rsid w:val="00EC3E57"/>
    <w:pPr>
      <w:numPr>
        <w:numId w:val="6"/>
      </w:numPr>
      <w:spacing w:before="120"/>
    </w:pPr>
  </w:style>
  <w:style w:type="paragraph" w:styleId="ListBullet3">
    <w:name w:val="List Bullet 3"/>
    <w:basedOn w:val="BodyText"/>
    <w:rsid w:val="00EC3E57"/>
    <w:pPr>
      <w:numPr>
        <w:numId w:val="7"/>
      </w:numPr>
      <w:spacing w:before="120"/>
      <w:ind w:left="1020" w:hanging="340"/>
    </w:pPr>
  </w:style>
  <w:style w:type="paragraph" w:styleId="ListNumber">
    <w:name w:val="List Number"/>
    <w:basedOn w:val="BodyText"/>
    <w:rsid w:val="00EC3E57"/>
    <w:pPr>
      <w:numPr>
        <w:numId w:val="13"/>
      </w:numPr>
      <w:spacing w:before="120"/>
    </w:pPr>
  </w:style>
  <w:style w:type="paragraph" w:styleId="ListNumber2">
    <w:name w:val="List Number 2"/>
    <w:basedOn w:val="ListNumber"/>
    <w:rsid w:val="00EC3E57"/>
    <w:pPr>
      <w:numPr>
        <w:ilvl w:val="1"/>
      </w:numPr>
    </w:pPr>
  </w:style>
  <w:style w:type="paragraph" w:styleId="ListNumber3">
    <w:name w:val="List Number 3"/>
    <w:basedOn w:val="ListNumber2"/>
    <w:rsid w:val="00EC3E57"/>
    <w:pPr>
      <w:numPr>
        <w:ilvl w:val="2"/>
      </w:numPr>
    </w:pPr>
  </w:style>
  <w:style w:type="character" w:customStyle="1" w:styleId="NoteLabel">
    <w:name w:val="Note Label"/>
    <w:basedOn w:val="DefaultParagraphFont"/>
    <w:rsid w:val="00EC3E57"/>
    <w:rPr>
      <w:rFonts w:ascii="Arial" w:hAnsi="Arial"/>
      <w:b/>
      <w:position w:val="6"/>
      <w:sz w:val="18"/>
    </w:rPr>
  </w:style>
  <w:style w:type="paragraph" w:customStyle="1" w:styleId="PartDivider">
    <w:name w:val="Part Divider"/>
    <w:basedOn w:val="BodyText"/>
    <w:next w:val="BodyText"/>
    <w:semiHidden/>
    <w:rsid w:val="00EC3E57"/>
    <w:pPr>
      <w:spacing w:before="0" w:line="40" w:lineRule="exact"/>
      <w:jc w:val="right"/>
    </w:pPr>
    <w:rPr>
      <w:smallCaps/>
      <w:sz w:val="16"/>
    </w:rPr>
  </w:style>
  <w:style w:type="paragraph" w:customStyle="1" w:styleId="PartNumber">
    <w:name w:val="Part Number"/>
    <w:basedOn w:val="BodyText"/>
    <w:next w:val="BodyText"/>
    <w:semiHidden/>
    <w:rsid w:val="00EC3E57"/>
    <w:pPr>
      <w:spacing w:before="4000" w:line="320" w:lineRule="exact"/>
      <w:ind w:left="6634"/>
      <w:jc w:val="right"/>
    </w:pPr>
    <w:rPr>
      <w:smallCaps/>
      <w:spacing w:val="60"/>
      <w:sz w:val="32"/>
    </w:rPr>
  </w:style>
  <w:style w:type="paragraph" w:customStyle="1" w:styleId="PartTitle">
    <w:name w:val="Part Title"/>
    <w:basedOn w:val="BodyText"/>
    <w:semiHidden/>
    <w:rsid w:val="00EC3E57"/>
    <w:pPr>
      <w:spacing w:before="160" w:after="1360" w:line="520" w:lineRule="exact"/>
      <w:ind w:right="2381"/>
      <w:jc w:val="right"/>
    </w:pPr>
    <w:rPr>
      <w:smallCaps/>
      <w:sz w:val="52"/>
    </w:rPr>
  </w:style>
  <w:style w:type="paragraph" w:styleId="Quote">
    <w:name w:val="Quote"/>
    <w:basedOn w:val="BodyText"/>
    <w:next w:val="BodyText"/>
    <w:link w:val="QuoteChar"/>
    <w:qFormat/>
    <w:rsid w:val="00EC3E57"/>
    <w:pPr>
      <w:spacing w:before="120" w:line="280" w:lineRule="exact"/>
      <w:ind w:left="340"/>
    </w:pPr>
    <w:rPr>
      <w:sz w:val="22"/>
    </w:rPr>
  </w:style>
  <w:style w:type="paragraph" w:customStyle="1" w:styleId="QuoteBullet">
    <w:name w:val="Quote Bullet"/>
    <w:basedOn w:val="Quote"/>
    <w:rsid w:val="00EC3E57"/>
    <w:pPr>
      <w:numPr>
        <w:numId w:val="8"/>
      </w:numPr>
    </w:pPr>
  </w:style>
  <w:style w:type="paragraph" w:customStyle="1" w:styleId="Rec">
    <w:name w:val="Rec"/>
    <w:basedOn w:val="BodyText"/>
    <w:qFormat/>
    <w:rsid w:val="00EC3E57"/>
    <w:pPr>
      <w:keepLines/>
      <w:spacing w:before="120" w:line="280" w:lineRule="atLeast"/>
    </w:pPr>
    <w:rPr>
      <w:rFonts w:ascii="Arial" w:hAnsi="Arial"/>
      <w:sz w:val="22"/>
    </w:rPr>
  </w:style>
  <w:style w:type="paragraph" w:customStyle="1" w:styleId="RecBullet">
    <w:name w:val="Rec Bullet"/>
    <w:basedOn w:val="Rec"/>
    <w:rsid w:val="00EC3E57"/>
    <w:pPr>
      <w:numPr>
        <w:numId w:val="9"/>
      </w:numPr>
      <w:spacing w:before="80"/>
    </w:pPr>
  </w:style>
  <w:style w:type="paragraph" w:customStyle="1" w:styleId="RecB">
    <w:name w:val="RecB"/>
    <w:basedOn w:val="Normal"/>
    <w:rsid w:val="00EC3E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C3E57"/>
    <w:pPr>
      <w:numPr>
        <w:numId w:val="10"/>
      </w:numPr>
      <w:spacing w:before="80"/>
    </w:pPr>
  </w:style>
  <w:style w:type="paragraph" w:customStyle="1" w:styleId="RecBNoTitle">
    <w:name w:val="RecB NoTitle"/>
    <w:basedOn w:val="RecB"/>
    <w:rsid w:val="00EC3E57"/>
    <w:pPr>
      <w:spacing w:before="240"/>
    </w:pPr>
  </w:style>
  <w:style w:type="paragraph" w:customStyle="1" w:styleId="Reference">
    <w:name w:val="Reference"/>
    <w:basedOn w:val="BodyText"/>
    <w:link w:val="ReferenceChar"/>
    <w:rsid w:val="00EC3E57"/>
    <w:pPr>
      <w:spacing w:before="120"/>
      <w:ind w:left="340" w:hanging="340"/>
    </w:pPr>
  </w:style>
  <w:style w:type="paragraph" w:customStyle="1" w:styleId="SequenceInfo">
    <w:name w:val="Sequence Info"/>
    <w:basedOn w:val="BodyText"/>
    <w:semiHidden/>
    <w:rsid w:val="00EC3E57"/>
    <w:rPr>
      <w:vanish/>
      <w:sz w:val="16"/>
    </w:rPr>
  </w:style>
  <w:style w:type="paragraph" w:customStyle="1" w:styleId="SideNote">
    <w:name w:val="Side Note"/>
    <w:basedOn w:val="BodyText"/>
    <w:next w:val="BodyText"/>
    <w:semiHidden/>
    <w:rsid w:val="00EC3E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C3E57"/>
    <w:pPr>
      <w:framePr w:wrap="around"/>
      <w:numPr>
        <w:numId w:val="11"/>
      </w:numPr>
      <w:tabs>
        <w:tab w:val="left" w:pos="227"/>
      </w:tabs>
    </w:pPr>
  </w:style>
  <w:style w:type="paragraph" w:customStyle="1" w:styleId="SideNoteGraphic">
    <w:name w:val="Side Note Graphic"/>
    <w:basedOn w:val="SideNote"/>
    <w:next w:val="BodyText"/>
    <w:semiHidden/>
    <w:rsid w:val="00EC3E57"/>
    <w:pPr>
      <w:framePr w:wrap="around"/>
    </w:pPr>
  </w:style>
  <w:style w:type="paragraph" w:customStyle="1" w:styleId="TableBodyText">
    <w:name w:val="Table Body Text"/>
    <w:basedOn w:val="BodyText"/>
    <w:rsid w:val="00EC3E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C3E57"/>
    <w:pPr>
      <w:numPr>
        <w:numId w:val="12"/>
      </w:numPr>
      <w:jc w:val="left"/>
    </w:pPr>
  </w:style>
  <w:style w:type="paragraph" w:customStyle="1" w:styleId="TableColumnHeading">
    <w:name w:val="Table Column Heading"/>
    <w:basedOn w:val="TableBodyText"/>
    <w:rsid w:val="00EC3E57"/>
    <w:pPr>
      <w:spacing w:before="80" w:after="80"/>
    </w:pPr>
    <w:rPr>
      <w:i/>
    </w:rPr>
  </w:style>
  <w:style w:type="paragraph" w:styleId="TOC2">
    <w:name w:val="toc 2"/>
    <w:basedOn w:val="TOC1"/>
    <w:rsid w:val="00EC3E57"/>
    <w:pPr>
      <w:ind w:left="1134" w:hanging="624"/>
    </w:pPr>
    <w:rPr>
      <w:b w:val="0"/>
    </w:rPr>
  </w:style>
  <w:style w:type="paragraph" w:styleId="TOC3">
    <w:name w:val="toc 3"/>
    <w:basedOn w:val="TOC2"/>
    <w:rsid w:val="00EC3E57"/>
    <w:pPr>
      <w:spacing w:before="60"/>
      <w:ind w:left="1190" w:hanging="680"/>
    </w:pPr>
  </w:style>
  <w:style w:type="paragraph" w:styleId="TableofFigures">
    <w:name w:val="table of figures"/>
    <w:basedOn w:val="TOC3"/>
    <w:next w:val="BodyText"/>
    <w:semiHidden/>
    <w:rsid w:val="00EC3E57"/>
    <w:pPr>
      <w:ind w:left="737" w:hanging="737"/>
    </w:pPr>
  </w:style>
  <w:style w:type="paragraph" w:customStyle="1" w:styleId="TableTitle">
    <w:name w:val="Table Title"/>
    <w:basedOn w:val="Caption"/>
    <w:next w:val="Subtitle"/>
    <w:link w:val="TableTitleChar"/>
    <w:qFormat/>
    <w:rsid w:val="00EC3E57"/>
    <w:pPr>
      <w:spacing w:before="120"/>
    </w:pPr>
  </w:style>
  <w:style w:type="paragraph" w:customStyle="1" w:styleId="TableUnitsRow">
    <w:name w:val="Table Units Row"/>
    <w:basedOn w:val="TableBodyText"/>
    <w:rsid w:val="00EC3E57"/>
    <w:pPr>
      <w:spacing w:before="40"/>
    </w:pPr>
  </w:style>
  <w:style w:type="paragraph" w:styleId="TOC1">
    <w:name w:val="toc 1"/>
    <w:basedOn w:val="Normal"/>
    <w:next w:val="TOC2"/>
    <w:link w:val="TOC1Char"/>
    <w:rsid w:val="00EC3E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C3E57"/>
    <w:pPr>
      <w:ind w:left="1191" w:firstLine="0"/>
    </w:pPr>
  </w:style>
  <w:style w:type="paragraph" w:customStyle="1" w:styleId="RecBBullet2">
    <w:name w:val="RecB Bullet 2"/>
    <w:basedOn w:val="ListBullet2"/>
    <w:rsid w:val="00EC3E57"/>
    <w:pPr>
      <w:pBdr>
        <w:left w:val="single" w:sz="24" w:space="29" w:color="C0C0C0"/>
      </w:pBdr>
    </w:pPr>
    <w:rPr>
      <w:b/>
      <w:i/>
    </w:rPr>
  </w:style>
  <w:style w:type="paragraph" w:styleId="BalloonText">
    <w:name w:val="Balloon Text"/>
    <w:basedOn w:val="Normal"/>
    <w:link w:val="BalloonTextChar"/>
    <w:rsid w:val="00EC3E57"/>
    <w:rPr>
      <w:rFonts w:ascii="Tahoma" w:hAnsi="Tahoma" w:cs="Tahoma"/>
      <w:sz w:val="16"/>
      <w:szCs w:val="16"/>
    </w:rPr>
  </w:style>
  <w:style w:type="character" w:customStyle="1" w:styleId="BalloonTextChar">
    <w:name w:val="Balloon Text Char"/>
    <w:basedOn w:val="DefaultParagraphFont"/>
    <w:link w:val="BalloonText"/>
    <w:rsid w:val="00EC3E57"/>
    <w:rPr>
      <w:rFonts w:ascii="Tahoma" w:hAnsi="Tahoma" w:cs="Tahoma"/>
      <w:sz w:val="16"/>
      <w:szCs w:val="16"/>
    </w:rPr>
  </w:style>
  <w:style w:type="character" w:customStyle="1" w:styleId="SubtitleChar">
    <w:name w:val="Subtitle Char"/>
    <w:basedOn w:val="DefaultParagraphFont"/>
    <w:link w:val="Subtitle"/>
    <w:rsid w:val="00EC3E57"/>
    <w:rPr>
      <w:rFonts w:ascii="Arial" w:hAnsi="Arial"/>
      <w:szCs w:val="24"/>
    </w:rPr>
  </w:style>
  <w:style w:type="paragraph" w:customStyle="1" w:styleId="BoxListBullet3">
    <w:name w:val="Box List Bullet 3"/>
    <w:basedOn w:val="ListBullet3"/>
    <w:rsid w:val="00EC3E5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C3E57"/>
    <w:rPr>
      <w:i/>
      <w:iCs/>
    </w:rPr>
  </w:style>
  <w:style w:type="paragraph" w:customStyle="1" w:styleId="BoxQuoteBullet">
    <w:name w:val="Box Quote Bullet"/>
    <w:basedOn w:val="BoxQuote"/>
    <w:next w:val="Box"/>
    <w:rsid w:val="00EC3E57"/>
    <w:pPr>
      <w:numPr>
        <w:numId w:val="16"/>
      </w:numPr>
      <w:ind w:left="568" w:hanging="284"/>
    </w:pPr>
  </w:style>
  <w:style w:type="paragraph" w:customStyle="1" w:styleId="InformationRequestBullet">
    <w:name w:val="Information Request Bullet"/>
    <w:basedOn w:val="ListBullet"/>
    <w:next w:val="BodyText"/>
    <w:rsid w:val="00EC3E57"/>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EC3E57"/>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EC3E57"/>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EC3E57"/>
    <w:rPr>
      <w:sz w:val="24"/>
    </w:rPr>
  </w:style>
  <w:style w:type="character" w:customStyle="1" w:styleId="FooterChar">
    <w:name w:val="Footer Char"/>
    <w:basedOn w:val="BodyTextChar"/>
    <w:link w:val="Footer"/>
    <w:rsid w:val="00EC3E57"/>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EC3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EC3E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C3E57"/>
    <w:pPr>
      <w:numPr>
        <w:numId w:val="21"/>
      </w:numPr>
      <w:ind w:left="568" w:hanging="284"/>
    </w:pPr>
  </w:style>
  <w:style w:type="paragraph" w:customStyle="1" w:styleId="InformationRequestTitle">
    <w:name w:val="Information Request Title"/>
    <w:basedOn w:val="FindingTitle"/>
    <w:next w:val="InformationRequest"/>
    <w:rsid w:val="00EC3E57"/>
    <w:rPr>
      <w:i/>
    </w:rPr>
  </w:style>
  <w:style w:type="paragraph" w:customStyle="1" w:styleId="Space">
    <w:name w:val="Space"/>
    <w:basedOn w:val="Normal"/>
    <w:rsid w:val="00EC3E57"/>
    <w:pPr>
      <w:keepNext/>
      <w:spacing w:line="120" w:lineRule="exact"/>
      <w:jc w:val="both"/>
    </w:pPr>
    <w:rPr>
      <w:rFonts w:ascii="Arial" w:hAnsi="Arial"/>
      <w:sz w:val="20"/>
      <w:szCs w:val="20"/>
    </w:rPr>
  </w:style>
  <w:style w:type="paragraph" w:customStyle="1" w:styleId="Heading1nochapterno">
    <w:name w:val="Heading 1 (no chapter no.)"/>
    <w:basedOn w:val="Heading1"/>
    <w:rsid w:val="00EC3E57"/>
    <w:pPr>
      <w:spacing w:before="0"/>
      <w:ind w:left="0" w:firstLine="0"/>
    </w:pPr>
  </w:style>
  <w:style w:type="paragraph" w:customStyle="1" w:styleId="Heading2nosectionno">
    <w:name w:val="Heading 2 (no section no.)"/>
    <w:basedOn w:val="Heading2"/>
    <w:rsid w:val="00EC3E57"/>
    <w:pPr>
      <w:ind w:left="0" w:firstLine="0"/>
    </w:pPr>
  </w:style>
  <w:style w:type="paragraph" w:customStyle="1" w:styleId="Figurespace">
    <w:name w:val="Figure space"/>
    <w:basedOn w:val="Box"/>
    <w:rsid w:val="00EC3E57"/>
    <w:pPr>
      <w:spacing w:before="0" w:line="120" w:lineRule="exact"/>
    </w:pPr>
  </w:style>
  <w:style w:type="paragraph" w:customStyle="1" w:styleId="FooterDraftReport">
    <w:name w:val="FooterDraftReport"/>
    <w:basedOn w:val="Footer"/>
    <w:link w:val="FooterDraftReportChar"/>
    <w:rsid w:val="00EC3E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C3E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C3E57"/>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C3E57"/>
    <w:rPr>
      <w:sz w:val="24"/>
      <w:szCs w:val="24"/>
    </w:rPr>
  </w:style>
  <w:style w:type="paragraph" w:styleId="Heading1">
    <w:name w:val="heading 1"/>
    <w:basedOn w:val="BodyText"/>
    <w:next w:val="BodyText"/>
    <w:link w:val="Heading1Char"/>
    <w:rsid w:val="00EC3E5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C3E5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C3E57"/>
    <w:pPr>
      <w:spacing w:before="560" w:line="320" w:lineRule="exact"/>
      <w:ind w:left="0" w:firstLine="0"/>
      <w:outlineLvl w:val="2"/>
    </w:pPr>
    <w:rPr>
      <w:sz w:val="26"/>
    </w:rPr>
  </w:style>
  <w:style w:type="paragraph" w:styleId="Heading4">
    <w:name w:val="heading 4"/>
    <w:basedOn w:val="Heading3"/>
    <w:next w:val="BodyText"/>
    <w:link w:val="Heading4Char"/>
    <w:qFormat/>
    <w:rsid w:val="00EC3E57"/>
    <w:pPr>
      <w:spacing w:before="480"/>
      <w:outlineLvl w:val="3"/>
    </w:pPr>
    <w:rPr>
      <w:b w:val="0"/>
      <w:sz w:val="24"/>
    </w:rPr>
  </w:style>
  <w:style w:type="paragraph" w:styleId="Heading5">
    <w:name w:val="heading 5"/>
    <w:basedOn w:val="Heading4"/>
    <w:next w:val="BodyText"/>
    <w:link w:val="Heading5Char"/>
    <w:qFormat/>
    <w:rsid w:val="00EC3E57"/>
    <w:pPr>
      <w:outlineLvl w:val="4"/>
    </w:pPr>
    <w:rPr>
      <w:i/>
      <w:sz w:val="22"/>
    </w:rPr>
  </w:style>
  <w:style w:type="paragraph" w:styleId="Heading6">
    <w:name w:val="heading 6"/>
    <w:basedOn w:val="BodyText"/>
    <w:next w:val="BodyText"/>
    <w:link w:val="Heading6Char"/>
    <w:rsid w:val="00EC3E57"/>
    <w:pPr>
      <w:spacing w:after="60"/>
      <w:jc w:val="left"/>
      <w:outlineLvl w:val="5"/>
    </w:pPr>
    <w:rPr>
      <w:i/>
      <w:sz w:val="22"/>
    </w:rPr>
  </w:style>
  <w:style w:type="paragraph" w:styleId="Heading7">
    <w:name w:val="heading 7"/>
    <w:basedOn w:val="BodyText"/>
    <w:next w:val="BodyText"/>
    <w:link w:val="Heading7Char"/>
    <w:rsid w:val="00EC3E57"/>
    <w:pPr>
      <w:spacing w:after="60" w:line="240" w:lineRule="auto"/>
      <w:jc w:val="left"/>
      <w:outlineLvl w:val="6"/>
    </w:pPr>
    <w:rPr>
      <w:rFonts w:ascii="Arial" w:hAnsi="Arial"/>
      <w:sz w:val="20"/>
    </w:rPr>
  </w:style>
  <w:style w:type="paragraph" w:styleId="Heading8">
    <w:name w:val="heading 8"/>
    <w:basedOn w:val="BodyText"/>
    <w:next w:val="BodyText"/>
    <w:link w:val="Heading8Char"/>
    <w:rsid w:val="00EC3E5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C3E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C3E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E57"/>
  </w:style>
  <w:style w:type="paragraph" w:styleId="BodyText">
    <w:name w:val="Body Text"/>
    <w:link w:val="BodyTextChar"/>
    <w:qFormat/>
    <w:rsid w:val="00EC3E57"/>
    <w:pPr>
      <w:spacing w:before="240" w:line="300" w:lineRule="atLeast"/>
      <w:jc w:val="both"/>
    </w:pPr>
    <w:rPr>
      <w:sz w:val="24"/>
    </w:rPr>
  </w:style>
  <w:style w:type="paragraph" w:styleId="Footer">
    <w:name w:val="footer"/>
    <w:basedOn w:val="BodyText"/>
    <w:link w:val="FooterChar"/>
    <w:rsid w:val="00EC3E57"/>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EC3E57"/>
    <w:pPr>
      <w:spacing w:before="0" w:line="20" w:lineRule="exact"/>
    </w:pPr>
  </w:style>
  <w:style w:type="paragraph" w:styleId="Header">
    <w:name w:val="header"/>
    <w:basedOn w:val="BodyText"/>
    <w:link w:val="HeaderChar"/>
    <w:rsid w:val="00EC3E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C3E57"/>
    <w:pPr>
      <w:spacing w:line="20" w:lineRule="exact"/>
    </w:pPr>
    <w:rPr>
      <w:sz w:val="16"/>
    </w:rPr>
  </w:style>
  <w:style w:type="paragraph" w:customStyle="1" w:styleId="HeaderEven">
    <w:name w:val="Header Even"/>
    <w:basedOn w:val="Header"/>
    <w:semiHidden/>
    <w:rsid w:val="00EC3E57"/>
  </w:style>
  <w:style w:type="paragraph" w:customStyle="1" w:styleId="HeaderOdd">
    <w:name w:val="Header Odd"/>
    <w:basedOn w:val="Header"/>
    <w:semiHidden/>
    <w:rsid w:val="00EC3E57"/>
  </w:style>
  <w:style w:type="character" w:styleId="PageNumber">
    <w:name w:val="page number"/>
    <w:basedOn w:val="DefaultParagraphFont"/>
    <w:rsid w:val="00EC3E57"/>
    <w:rPr>
      <w:rFonts w:ascii="Arial" w:hAnsi="Arial"/>
      <w:b/>
      <w:sz w:val="16"/>
    </w:rPr>
  </w:style>
  <w:style w:type="paragraph" w:customStyle="1" w:styleId="Abbreviation">
    <w:name w:val="Abbreviation"/>
    <w:basedOn w:val="BodyText"/>
    <w:rsid w:val="00EC3E57"/>
    <w:pPr>
      <w:spacing w:before="120"/>
      <w:ind w:left="2381" w:hanging="2381"/>
      <w:jc w:val="left"/>
    </w:pPr>
  </w:style>
  <w:style w:type="paragraph" w:customStyle="1" w:styleId="Box">
    <w:name w:val="Box"/>
    <w:basedOn w:val="BodyText"/>
    <w:qFormat/>
    <w:rsid w:val="00EC3E5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EC3E57"/>
    <w:pPr>
      <w:spacing w:before="180" w:line="220" w:lineRule="exact"/>
      <w:jc w:val="right"/>
    </w:pPr>
    <w:rPr>
      <w:rFonts w:ascii="Arial" w:hAnsi="Arial"/>
      <w:sz w:val="18"/>
    </w:rPr>
  </w:style>
  <w:style w:type="paragraph" w:customStyle="1" w:styleId="BoxHeading1">
    <w:name w:val="Box Heading 1"/>
    <w:basedOn w:val="BodyText"/>
    <w:next w:val="Box"/>
    <w:rsid w:val="00EC3E57"/>
    <w:pPr>
      <w:keepNext/>
      <w:spacing w:before="200" w:line="280" w:lineRule="atLeast"/>
    </w:pPr>
    <w:rPr>
      <w:rFonts w:ascii="Arial" w:hAnsi="Arial"/>
      <w:b/>
      <w:sz w:val="22"/>
    </w:rPr>
  </w:style>
  <w:style w:type="paragraph" w:customStyle="1" w:styleId="BoxHeading2">
    <w:name w:val="Box Heading 2"/>
    <w:basedOn w:val="BoxHeading1"/>
    <w:next w:val="Normal"/>
    <w:rsid w:val="00EC3E57"/>
    <w:rPr>
      <w:b w:val="0"/>
      <w:i/>
    </w:rPr>
  </w:style>
  <w:style w:type="paragraph" w:customStyle="1" w:styleId="BoxListBullet">
    <w:name w:val="Box List Bullet"/>
    <w:basedOn w:val="BodyText"/>
    <w:rsid w:val="00EC3E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C3E57"/>
    <w:pPr>
      <w:numPr>
        <w:numId w:val="2"/>
      </w:numPr>
      <w:ind w:left="568" w:hanging="284"/>
    </w:pPr>
  </w:style>
  <w:style w:type="paragraph" w:customStyle="1" w:styleId="BoxListNumber">
    <w:name w:val="Box List Number"/>
    <w:basedOn w:val="BodyText"/>
    <w:rsid w:val="00EC3E5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C3E57"/>
    <w:pPr>
      <w:numPr>
        <w:ilvl w:val="1"/>
      </w:numPr>
      <w:ind w:left="681" w:hanging="397"/>
    </w:pPr>
  </w:style>
  <w:style w:type="paragraph" w:customStyle="1" w:styleId="BoxQuote">
    <w:name w:val="Box Quote"/>
    <w:basedOn w:val="BodyText"/>
    <w:next w:val="Box"/>
    <w:qFormat/>
    <w:rsid w:val="00EC3E57"/>
    <w:pPr>
      <w:keepNext/>
      <w:spacing w:before="60" w:line="240" w:lineRule="exact"/>
      <w:ind w:left="284"/>
    </w:pPr>
    <w:rPr>
      <w:rFonts w:ascii="Arial" w:hAnsi="Arial"/>
      <w:sz w:val="18"/>
    </w:rPr>
  </w:style>
  <w:style w:type="paragraph" w:customStyle="1" w:styleId="Note">
    <w:name w:val="Note"/>
    <w:basedOn w:val="BodyText"/>
    <w:next w:val="BodyText"/>
    <w:link w:val="NoteChar"/>
    <w:rsid w:val="00EC3E57"/>
    <w:pPr>
      <w:keepLines/>
      <w:spacing w:before="80" w:line="220" w:lineRule="exact"/>
    </w:pPr>
    <w:rPr>
      <w:rFonts w:ascii="Arial" w:hAnsi="Arial"/>
      <w:sz w:val="18"/>
    </w:rPr>
  </w:style>
  <w:style w:type="paragraph" w:customStyle="1" w:styleId="Source">
    <w:name w:val="Source"/>
    <w:basedOn w:val="Normal"/>
    <w:next w:val="BodyText"/>
    <w:rsid w:val="00EC3E57"/>
    <w:pPr>
      <w:keepLines/>
      <w:spacing w:before="80" w:line="220" w:lineRule="exact"/>
      <w:jc w:val="both"/>
    </w:pPr>
    <w:rPr>
      <w:rFonts w:ascii="Arial" w:hAnsi="Arial"/>
      <w:sz w:val="18"/>
      <w:szCs w:val="20"/>
    </w:rPr>
  </w:style>
  <w:style w:type="paragraph" w:customStyle="1" w:styleId="BoxSource">
    <w:name w:val="Box Source"/>
    <w:basedOn w:val="Source"/>
    <w:next w:val="BodyText"/>
    <w:rsid w:val="00EC3E57"/>
    <w:pPr>
      <w:spacing w:before="120"/>
    </w:pPr>
  </w:style>
  <w:style w:type="paragraph" w:customStyle="1" w:styleId="BoxSpaceAbove">
    <w:name w:val="Box Space Above"/>
    <w:basedOn w:val="BodyText"/>
    <w:rsid w:val="00EC3E57"/>
    <w:pPr>
      <w:keepNext/>
      <w:spacing w:before="360" w:line="80" w:lineRule="exact"/>
      <w:jc w:val="left"/>
    </w:pPr>
  </w:style>
  <w:style w:type="paragraph" w:styleId="Caption">
    <w:name w:val="caption"/>
    <w:basedOn w:val="Normal"/>
    <w:next w:val="BodyText"/>
    <w:rsid w:val="00EC3E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C3E57"/>
    <w:pPr>
      <w:spacing w:before="120" w:after="0"/>
    </w:pPr>
  </w:style>
  <w:style w:type="paragraph" w:customStyle="1" w:styleId="BoxSubtitle">
    <w:name w:val="Box Subtitle"/>
    <w:basedOn w:val="BoxTitle"/>
    <w:next w:val="Normal"/>
    <w:rsid w:val="00EC3E57"/>
    <w:pPr>
      <w:spacing w:after="80" w:line="200" w:lineRule="exact"/>
      <w:ind w:firstLine="0"/>
    </w:pPr>
    <w:rPr>
      <w:b w:val="0"/>
      <w:sz w:val="20"/>
    </w:rPr>
  </w:style>
  <w:style w:type="paragraph" w:customStyle="1" w:styleId="Chapter">
    <w:name w:val="Chapter"/>
    <w:basedOn w:val="Heading1"/>
    <w:next w:val="BodyText"/>
    <w:semiHidden/>
    <w:rsid w:val="00EC3E57"/>
    <w:pPr>
      <w:ind w:left="0" w:firstLine="0"/>
      <w:outlineLvl w:val="9"/>
    </w:pPr>
  </w:style>
  <w:style w:type="paragraph" w:customStyle="1" w:styleId="ChapterSummary">
    <w:name w:val="Chapter Summary"/>
    <w:basedOn w:val="BodyText"/>
    <w:rsid w:val="00EC3E57"/>
    <w:pPr>
      <w:spacing w:line="280" w:lineRule="atLeast"/>
      <w:ind w:left="907"/>
    </w:pPr>
    <w:rPr>
      <w:rFonts w:ascii="Arial" w:hAnsi="Arial"/>
      <w:b/>
      <w:sz w:val="20"/>
    </w:rPr>
  </w:style>
  <w:style w:type="character" w:styleId="CommentReference">
    <w:name w:val="annotation reference"/>
    <w:basedOn w:val="DefaultParagraphFont"/>
    <w:semiHidden/>
    <w:rsid w:val="00EC3E57"/>
    <w:rPr>
      <w:b/>
      <w:vanish/>
      <w:color w:val="FF00FF"/>
      <w:sz w:val="20"/>
    </w:rPr>
  </w:style>
  <w:style w:type="paragraph" w:styleId="CommentText">
    <w:name w:val="annotation text"/>
    <w:basedOn w:val="Normal"/>
    <w:link w:val="CommentTextChar1"/>
    <w:semiHidden/>
    <w:rsid w:val="00EC3E57"/>
    <w:pPr>
      <w:spacing w:before="120" w:line="240" w:lineRule="atLeast"/>
      <w:ind w:left="567" w:hanging="567"/>
    </w:pPr>
    <w:rPr>
      <w:sz w:val="20"/>
    </w:rPr>
  </w:style>
  <w:style w:type="paragraph" w:customStyle="1" w:styleId="Continued">
    <w:name w:val="Continued"/>
    <w:basedOn w:val="BoxContinued"/>
    <w:next w:val="BodyText"/>
    <w:rsid w:val="00EC3E57"/>
  </w:style>
  <w:style w:type="character" w:customStyle="1" w:styleId="DocumentInfo">
    <w:name w:val="Document Info"/>
    <w:basedOn w:val="DefaultParagraphFont"/>
    <w:semiHidden/>
    <w:rsid w:val="00EC3E57"/>
    <w:rPr>
      <w:rFonts w:ascii="Arial" w:hAnsi="Arial"/>
      <w:sz w:val="14"/>
    </w:rPr>
  </w:style>
  <w:style w:type="character" w:customStyle="1" w:styleId="DraftingNote">
    <w:name w:val="Drafting Note"/>
    <w:basedOn w:val="DefaultParagraphFont"/>
    <w:rsid w:val="00EC3E57"/>
    <w:rPr>
      <w:b/>
      <w:color w:val="FF0000"/>
      <w:sz w:val="24"/>
      <w:u w:val="dotted"/>
    </w:rPr>
  </w:style>
  <w:style w:type="paragraph" w:customStyle="1" w:styleId="Figure">
    <w:name w:val="Figure"/>
    <w:basedOn w:val="BodyText"/>
    <w:rsid w:val="00EC3E57"/>
    <w:pPr>
      <w:keepNext/>
      <w:spacing w:before="120" w:after="120" w:line="240" w:lineRule="atLeast"/>
      <w:jc w:val="center"/>
    </w:pPr>
  </w:style>
  <w:style w:type="paragraph" w:customStyle="1" w:styleId="FigureTitle">
    <w:name w:val="Figure Title"/>
    <w:basedOn w:val="Caption"/>
    <w:next w:val="Subtitle"/>
    <w:rsid w:val="00EC3E57"/>
    <w:pPr>
      <w:spacing w:before="120"/>
    </w:pPr>
  </w:style>
  <w:style w:type="paragraph" w:styleId="Subtitle">
    <w:name w:val="Subtitle"/>
    <w:basedOn w:val="Caption"/>
    <w:link w:val="SubtitleChar"/>
    <w:qFormat/>
    <w:rsid w:val="00EC3E57"/>
    <w:pPr>
      <w:spacing w:before="0" w:line="200" w:lineRule="exact"/>
      <w:ind w:firstLine="0"/>
    </w:pPr>
    <w:rPr>
      <w:b w:val="0"/>
      <w:sz w:val="20"/>
    </w:rPr>
  </w:style>
  <w:style w:type="paragraph" w:customStyle="1" w:styleId="Finding">
    <w:name w:val="Finding"/>
    <w:basedOn w:val="BodyText"/>
    <w:rsid w:val="00EC3E57"/>
    <w:pPr>
      <w:keepLines/>
      <w:spacing w:before="120" w:line="280" w:lineRule="atLeast"/>
    </w:pPr>
    <w:rPr>
      <w:rFonts w:ascii="Arial" w:hAnsi="Arial"/>
      <w:sz w:val="22"/>
    </w:rPr>
  </w:style>
  <w:style w:type="paragraph" w:customStyle="1" w:styleId="FindingBullet">
    <w:name w:val="Finding Bullet"/>
    <w:basedOn w:val="Finding"/>
    <w:rsid w:val="00EC3E57"/>
    <w:pPr>
      <w:numPr>
        <w:numId w:val="3"/>
      </w:numPr>
      <w:spacing w:before="80"/>
    </w:pPr>
  </w:style>
  <w:style w:type="paragraph" w:customStyle="1" w:styleId="FindingNoTitle">
    <w:name w:val="Finding NoTitle"/>
    <w:basedOn w:val="Finding"/>
    <w:rsid w:val="00EC3E57"/>
    <w:pPr>
      <w:spacing w:before="240"/>
    </w:pPr>
  </w:style>
  <w:style w:type="paragraph" w:customStyle="1" w:styleId="RecTitle">
    <w:name w:val="Rec Title"/>
    <w:basedOn w:val="BodyText"/>
    <w:next w:val="Rec"/>
    <w:qFormat/>
    <w:rsid w:val="00EC3E57"/>
    <w:pPr>
      <w:keepNext/>
      <w:keepLines/>
      <w:spacing w:line="280" w:lineRule="atLeast"/>
    </w:pPr>
    <w:rPr>
      <w:rFonts w:ascii="Arial" w:hAnsi="Arial"/>
      <w:caps/>
      <w:sz w:val="18"/>
    </w:rPr>
  </w:style>
  <w:style w:type="paragraph" w:customStyle="1" w:styleId="FindingTitle">
    <w:name w:val="Finding Title"/>
    <w:basedOn w:val="RecTitle"/>
    <w:next w:val="Finding"/>
    <w:rsid w:val="00EC3E57"/>
  </w:style>
  <w:style w:type="character" w:styleId="FootnoteReference">
    <w:name w:val="footnote reference"/>
    <w:basedOn w:val="DefaultParagraphFont"/>
    <w:semiHidden/>
    <w:rsid w:val="00EC3E57"/>
    <w:rPr>
      <w:rFonts w:ascii="Times New Roman" w:hAnsi="Times New Roman"/>
      <w:position w:val="6"/>
      <w:sz w:val="20"/>
      <w:vertAlign w:val="baseline"/>
    </w:rPr>
  </w:style>
  <w:style w:type="paragraph" w:styleId="FootnoteText">
    <w:name w:val="footnote text"/>
    <w:basedOn w:val="BodyText"/>
    <w:link w:val="FootnoteTextChar"/>
    <w:rsid w:val="00EC3E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C3E57"/>
    <w:rPr>
      <w:i/>
    </w:rPr>
  </w:style>
  <w:style w:type="paragraph" w:customStyle="1" w:styleId="Jurisdictioncommentsbodytext">
    <w:name w:val="Jurisdiction comments body text"/>
    <w:rsid w:val="00EC3E57"/>
    <w:pPr>
      <w:spacing w:after="140"/>
      <w:jc w:val="both"/>
    </w:pPr>
    <w:rPr>
      <w:rFonts w:ascii="Arial" w:hAnsi="Arial"/>
      <w:sz w:val="24"/>
      <w:lang w:eastAsia="en-US"/>
    </w:rPr>
  </w:style>
  <w:style w:type="paragraph" w:customStyle="1" w:styleId="Jurisdictioncommentsheading">
    <w:name w:val="Jurisdiction comments heading"/>
    <w:rsid w:val="00EC3E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C3E57"/>
    <w:pPr>
      <w:numPr>
        <w:numId w:val="4"/>
      </w:numPr>
      <w:spacing w:after="140"/>
      <w:jc w:val="both"/>
    </w:pPr>
    <w:rPr>
      <w:rFonts w:ascii="Arial" w:hAnsi="Arial"/>
      <w:sz w:val="24"/>
      <w:lang w:eastAsia="en-US"/>
    </w:rPr>
  </w:style>
  <w:style w:type="paragraph" w:styleId="ListBullet">
    <w:name w:val="List Bullet"/>
    <w:basedOn w:val="BodyText"/>
    <w:link w:val="ListBulletChar"/>
    <w:rsid w:val="00EC3E57"/>
    <w:pPr>
      <w:numPr>
        <w:numId w:val="5"/>
      </w:numPr>
      <w:spacing w:before="120"/>
    </w:pPr>
  </w:style>
  <w:style w:type="paragraph" w:styleId="ListBullet2">
    <w:name w:val="List Bullet 2"/>
    <w:basedOn w:val="BodyText"/>
    <w:link w:val="ListBullet2Char"/>
    <w:rsid w:val="00EC3E57"/>
    <w:pPr>
      <w:numPr>
        <w:numId w:val="6"/>
      </w:numPr>
      <w:spacing w:before="120"/>
    </w:pPr>
  </w:style>
  <w:style w:type="paragraph" w:styleId="ListBullet3">
    <w:name w:val="List Bullet 3"/>
    <w:basedOn w:val="BodyText"/>
    <w:rsid w:val="00EC3E57"/>
    <w:pPr>
      <w:numPr>
        <w:numId w:val="7"/>
      </w:numPr>
      <w:spacing w:before="120"/>
      <w:ind w:left="1020" w:hanging="340"/>
    </w:pPr>
  </w:style>
  <w:style w:type="paragraph" w:styleId="ListNumber">
    <w:name w:val="List Number"/>
    <w:basedOn w:val="BodyText"/>
    <w:rsid w:val="00EC3E57"/>
    <w:pPr>
      <w:numPr>
        <w:numId w:val="13"/>
      </w:numPr>
      <w:spacing w:before="120"/>
    </w:pPr>
  </w:style>
  <w:style w:type="paragraph" w:styleId="ListNumber2">
    <w:name w:val="List Number 2"/>
    <w:basedOn w:val="ListNumber"/>
    <w:rsid w:val="00EC3E57"/>
    <w:pPr>
      <w:numPr>
        <w:ilvl w:val="1"/>
      </w:numPr>
    </w:pPr>
  </w:style>
  <w:style w:type="paragraph" w:styleId="ListNumber3">
    <w:name w:val="List Number 3"/>
    <w:basedOn w:val="ListNumber2"/>
    <w:rsid w:val="00EC3E57"/>
    <w:pPr>
      <w:numPr>
        <w:ilvl w:val="2"/>
      </w:numPr>
    </w:pPr>
  </w:style>
  <w:style w:type="character" w:customStyle="1" w:styleId="NoteLabel">
    <w:name w:val="Note Label"/>
    <w:basedOn w:val="DefaultParagraphFont"/>
    <w:rsid w:val="00EC3E57"/>
    <w:rPr>
      <w:rFonts w:ascii="Arial" w:hAnsi="Arial"/>
      <w:b/>
      <w:position w:val="6"/>
      <w:sz w:val="18"/>
    </w:rPr>
  </w:style>
  <w:style w:type="paragraph" w:customStyle="1" w:styleId="PartDivider">
    <w:name w:val="Part Divider"/>
    <w:basedOn w:val="BodyText"/>
    <w:next w:val="BodyText"/>
    <w:semiHidden/>
    <w:rsid w:val="00EC3E57"/>
    <w:pPr>
      <w:spacing w:before="0" w:line="40" w:lineRule="exact"/>
      <w:jc w:val="right"/>
    </w:pPr>
    <w:rPr>
      <w:smallCaps/>
      <w:sz w:val="16"/>
    </w:rPr>
  </w:style>
  <w:style w:type="paragraph" w:customStyle="1" w:styleId="PartNumber">
    <w:name w:val="Part Number"/>
    <w:basedOn w:val="BodyText"/>
    <w:next w:val="BodyText"/>
    <w:semiHidden/>
    <w:rsid w:val="00EC3E57"/>
    <w:pPr>
      <w:spacing w:before="4000" w:line="320" w:lineRule="exact"/>
      <w:ind w:left="6634"/>
      <w:jc w:val="right"/>
    </w:pPr>
    <w:rPr>
      <w:smallCaps/>
      <w:spacing w:val="60"/>
      <w:sz w:val="32"/>
    </w:rPr>
  </w:style>
  <w:style w:type="paragraph" w:customStyle="1" w:styleId="PartTitle">
    <w:name w:val="Part Title"/>
    <w:basedOn w:val="BodyText"/>
    <w:semiHidden/>
    <w:rsid w:val="00EC3E57"/>
    <w:pPr>
      <w:spacing w:before="160" w:after="1360" w:line="520" w:lineRule="exact"/>
      <w:ind w:right="2381"/>
      <w:jc w:val="right"/>
    </w:pPr>
    <w:rPr>
      <w:smallCaps/>
      <w:sz w:val="52"/>
    </w:rPr>
  </w:style>
  <w:style w:type="paragraph" w:styleId="Quote">
    <w:name w:val="Quote"/>
    <w:basedOn w:val="BodyText"/>
    <w:next w:val="BodyText"/>
    <w:link w:val="QuoteChar"/>
    <w:qFormat/>
    <w:rsid w:val="00EC3E57"/>
    <w:pPr>
      <w:spacing w:before="120" w:line="280" w:lineRule="exact"/>
      <w:ind w:left="340"/>
    </w:pPr>
    <w:rPr>
      <w:sz w:val="22"/>
    </w:rPr>
  </w:style>
  <w:style w:type="paragraph" w:customStyle="1" w:styleId="QuoteBullet">
    <w:name w:val="Quote Bullet"/>
    <w:basedOn w:val="Quote"/>
    <w:rsid w:val="00EC3E57"/>
    <w:pPr>
      <w:numPr>
        <w:numId w:val="8"/>
      </w:numPr>
    </w:pPr>
  </w:style>
  <w:style w:type="paragraph" w:customStyle="1" w:styleId="Rec">
    <w:name w:val="Rec"/>
    <w:basedOn w:val="BodyText"/>
    <w:qFormat/>
    <w:rsid w:val="00EC3E57"/>
    <w:pPr>
      <w:keepLines/>
      <w:spacing w:before="120" w:line="280" w:lineRule="atLeast"/>
    </w:pPr>
    <w:rPr>
      <w:rFonts w:ascii="Arial" w:hAnsi="Arial"/>
      <w:sz w:val="22"/>
    </w:rPr>
  </w:style>
  <w:style w:type="paragraph" w:customStyle="1" w:styleId="RecBullet">
    <w:name w:val="Rec Bullet"/>
    <w:basedOn w:val="Rec"/>
    <w:rsid w:val="00EC3E57"/>
    <w:pPr>
      <w:numPr>
        <w:numId w:val="9"/>
      </w:numPr>
      <w:spacing w:before="80"/>
    </w:pPr>
  </w:style>
  <w:style w:type="paragraph" w:customStyle="1" w:styleId="RecB">
    <w:name w:val="RecB"/>
    <w:basedOn w:val="Normal"/>
    <w:rsid w:val="00EC3E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C3E57"/>
    <w:pPr>
      <w:numPr>
        <w:numId w:val="10"/>
      </w:numPr>
      <w:spacing w:before="80"/>
    </w:pPr>
  </w:style>
  <w:style w:type="paragraph" w:customStyle="1" w:styleId="RecBNoTitle">
    <w:name w:val="RecB NoTitle"/>
    <w:basedOn w:val="RecB"/>
    <w:rsid w:val="00EC3E57"/>
    <w:pPr>
      <w:spacing w:before="240"/>
    </w:pPr>
  </w:style>
  <w:style w:type="paragraph" w:customStyle="1" w:styleId="Reference">
    <w:name w:val="Reference"/>
    <w:basedOn w:val="BodyText"/>
    <w:link w:val="ReferenceChar"/>
    <w:rsid w:val="00EC3E57"/>
    <w:pPr>
      <w:spacing w:before="120"/>
      <w:ind w:left="340" w:hanging="340"/>
    </w:pPr>
  </w:style>
  <w:style w:type="paragraph" w:customStyle="1" w:styleId="SequenceInfo">
    <w:name w:val="Sequence Info"/>
    <w:basedOn w:val="BodyText"/>
    <w:semiHidden/>
    <w:rsid w:val="00EC3E57"/>
    <w:rPr>
      <w:vanish/>
      <w:sz w:val="16"/>
    </w:rPr>
  </w:style>
  <w:style w:type="paragraph" w:customStyle="1" w:styleId="SideNote">
    <w:name w:val="Side Note"/>
    <w:basedOn w:val="BodyText"/>
    <w:next w:val="BodyText"/>
    <w:semiHidden/>
    <w:rsid w:val="00EC3E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C3E57"/>
    <w:pPr>
      <w:framePr w:wrap="around"/>
      <w:numPr>
        <w:numId w:val="11"/>
      </w:numPr>
      <w:tabs>
        <w:tab w:val="left" w:pos="227"/>
      </w:tabs>
    </w:pPr>
  </w:style>
  <w:style w:type="paragraph" w:customStyle="1" w:styleId="SideNoteGraphic">
    <w:name w:val="Side Note Graphic"/>
    <w:basedOn w:val="SideNote"/>
    <w:next w:val="BodyText"/>
    <w:semiHidden/>
    <w:rsid w:val="00EC3E57"/>
    <w:pPr>
      <w:framePr w:wrap="around"/>
    </w:pPr>
  </w:style>
  <w:style w:type="paragraph" w:customStyle="1" w:styleId="TableBodyText">
    <w:name w:val="Table Body Text"/>
    <w:basedOn w:val="BodyText"/>
    <w:rsid w:val="00EC3E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C3E57"/>
    <w:pPr>
      <w:numPr>
        <w:numId w:val="12"/>
      </w:numPr>
      <w:jc w:val="left"/>
    </w:pPr>
  </w:style>
  <w:style w:type="paragraph" w:customStyle="1" w:styleId="TableColumnHeading">
    <w:name w:val="Table Column Heading"/>
    <w:basedOn w:val="TableBodyText"/>
    <w:rsid w:val="00EC3E57"/>
    <w:pPr>
      <w:spacing w:before="80" w:after="80"/>
    </w:pPr>
    <w:rPr>
      <w:i/>
    </w:rPr>
  </w:style>
  <w:style w:type="paragraph" w:styleId="TOC2">
    <w:name w:val="toc 2"/>
    <w:basedOn w:val="TOC1"/>
    <w:rsid w:val="00EC3E57"/>
    <w:pPr>
      <w:ind w:left="1134" w:hanging="624"/>
    </w:pPr>
    <w:rPr>
      <w:b w:val="0"/>
    </w:rPr>
  </w:style>
  <w:style w:type="paragraph" w:styleId="TOC3">
    <w:name w:val="toc 3"/>
    <w:basedOn w:val="TOC2"/>
    <w:rsid w:val="00EC3E57"/>
    <w:pPr>
      <w:spacing w:before="60"/>
      <w:ind w:left="1190" w:hanging="680"/>
    </w:pPr>
  </w:style>
  <w:style w:type="paragraph" w:styleId="TableofFigures">
    <w:name w:val="table of figures"/>
    <w:basedOn w:val="TOC3"/>
    <w:next w:val="BodyText"/>
    <w:semiHidden/>
    <w:rsid w:val="00EC3E57"/>
    <w:pPr>
      <w:ind w:left="737" w:hanging="737"/>
    </w:pPr>
  </w:style>
  <w:style w:type="paragraph" w:customStyle="1" w:styleId="TableTitle">
    <w:name w:val="Table Title"/>
    <w:basedOn w:val="Caption"/>
    <w:next w:val="Subtitle"/>
    <w:link w:val="TableTitleChar"/>
    <w:qFormat/>
    <w:rsid w:val="00EC3E57"/>
    <w:pPr>
      <w:spacing w:before="120"/>
    </w:pPr>
  </w:style>
  <w:style w:type="paragraph" w:customStyle="1" w:styleId="TableUnitsRow">
    <w:name w:val="Table Units Row"/>
    <w:basedOn w:val="TableBodyText"/>
    <w:rsid w:val="00EC3E57"/>
    <w:pPr>
      <w:spacing w:before="40"/>
    </w:pPr>
  </w:style>
  <w:style w:type="paragraph" w:styleId="TOC1">
    <w:name w:val="toc 1"/>
    <w:basedOn w:val="Normal"/>
    <w:next w:val="TOC2"/>
    <w:link w:val="TOC1Char"/>
    <w:rsid w:val="00EC3E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C3E57"/>
    <w:pPr>
      <w:ind w:left="1191" w:firstLine="0"/>
    </w:pPr>
  </w:style>
  <w:style w:type="paragraph" w:customStyle="1" w:styleId="RecBBullet2">
    <w:name w:val="RecB Bullet 2"/>
    <w:basedOn w:val="ListBullet2"/>
    <w:rsid w:val="00EC3E57"/>
    <w:pPr>
      <w:pBdr>
        <w:left w:val="single" w:sz="24" w:space="29" w:color="C0C0C0"/>
      </w:pBdr>
    </w:pPr>
    <w:rPr>
      <w:b/>
      <w:i/>
    </w:rPr>
  </w:style>
  <w:style w:type="paragraph" w:styleId="BalloonText">
    <w:name w:val="Balloon Text"/>
    <w:basedOn w:val="Normal"/>
    <w:link w:val="BalloonTextChar"/>
    <w:rsid w:val="00EC3E57"/>
    <w:rPr>
      <w:rFonts w:ascii="Tahoma" w:hAnsi="Tahoma" w:cs="Tahoma"/>
      <w:sz w:val="16"/>
      <w:szCs w:val="16"/>
    </w:rPr>
  </w:style>
  <w:style w:type="character" w:customStyle="1" w:styleId="BalloonTextChar">
    <w:name w:val="Balloon Text Char"/>
    <w:basedOn w:val="DefaultParagraphFont"/>
    <w:link w:val="BalloonText"/>
    <w:rsid w:val="00EC3E57"/>
    <w:rPr>
      <w:rFonts w:ascii="Tahoma" w:hAnsi="Tahoma" w:cs="Tahoma"/>
      <w:sz w:val="16"/>
      <w:szCs w:val="16"/>
    </w:rPr>
  </w:style>
  <w:style w:type="character" w:customStyle="1" w:styleId="SubtitleChar">
    <w:name w:val="Subtitle Char"/>
    <w:basedOn w:val="DefaultParagraphFont"/>
    <w:link w:val="Subtitle"/>
    <w:rsid w:val="00EC3E57"/>
    <w:rPr>
      <w:rFonts w:ascii="Arial" w:hAnsi="Arial"/>
      <w:szCs w:val="24"/>
    </w:rPr>
  </w:style>
  <w:style w:type="paragraph" w:customStyle="1" w:styleId="BoxListBullet3">
    <w:name w:val="Box List Bullet 3"/>
    <w:basedOn w:val="ListBullet3"/>
    <w:rsid w:val="00EC3E5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C3E57"/>
    <w:rPr>
      <w:i/>
      <w:iCs/>
    </w:rPr>
  </w:style>
  <w:style w:type="paragraph" w:customStyle="1" w:styleId="BoxQuoteBullet">
    <w:name w:val="Box Quote Bullet"/>
    <w:basedOn w:val="BoxQuote"/>
    <w:next w:val="Box"/>
    <w:rsid w:val="00EC3E57"/>
    <w:pPr>
      <w:numPr>
        <w:numId w:val="16"/>
      </w:numPr>
      <w:ind w:left="568" w:hanging="284"/>
    </w:pPr>
  </w:style>
  <w:style w:type="paragraph" w:customStyle="1" w:styleId="InformationRequestBullet">
    <w:name w:val="Information Request Bullet"/>
    <w:basedOn w:val="ListBullet"/>
    <w:next w:val="BodyText"/>
    <w:rsid w:val="00EC3E57"/>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EC3E57"/>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EC3E57"/>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EC3E57"/>
    <w:rPr>
      <w:sz w:val="24"/>
    </w:rPr>
  </w:style>
  <w:style w:type="character" w:customStyle="1" w:styleId="FooterChar">
    <w:name w:val="Footer Char"/>
    <w:basedOn w:val="BodyTextChar"/>
    <w:link w:val="Footer"/>
    <w:rsid w:val="00EC3E57"/>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EC3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EC3E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C3E57"/>
    <w:pPr>
      <w:numPr>
        <w:numId w:val="21"/>
      </w:numPr>
      <w:ind w:left="568" w:hanging="284"/>
    </w:pPr>
  </w:style>
  <w:style w:type="paragraph" w:customStyle="1" w:styleId="InformationRequestTitle">
    <w:name w:val="Information Request Title"/>
    <w:basedOn w:val="FindingTitle"/>
    <w:next w:val="InformationRequest"/>
    <w:rsid w:val="00EC3E57"/>
    <w:rPr>
      <w:i/>
    </w:rPr>
  </w:style>
  <w:style w:type="paragraph" w:customStyle="1" w:styleId="Space">
    <w:name w:val="Space"/>
    <w:basedOn w:val="Normal"/>
    <w:rsid w:val="00EC3E57"/>
    <w:pPr>
      <w:keepNext/>
      <w:spacing w:line="120" w:lineRule="exact"/>
      <w:jc w:val="both"/>
    </w:pPr>
    <w:rPr>
      <w:rFonts w:ascii="Arial" w:hAnsi="Arial"/>
      <w:sz w:val="20"/>
      <w:szCs w:val="20"/>
    </w:rPr>
  </w:style>
  <w:style w:type="paragraph" w:customStyle="1" w:styleId="Heading1nochapterno">
    <w:name w:val="Heading 1 (no chapter no.)"/>
    <w:basedOn w:val="Heading1"/>
    <w:rsid w:val="00EC3E57"/>
    <w:pPr>
      <w:spacing w:before="0"/>
      <w:ind w:left="0" w:firstLine="0"/>
    </w:pPr>
  </w:style>
  <w:style w:type="paragraph" w:customStyle="1" w:styleId="Heading2nosectionno">
    <w:name w:val="Heading 2 (no section no.)"/>
    <w:basedOn w:val="Heading2"/>
    <w:rsid w:val="00EC3E57"/>
    <w:pPr>
      <w:ind w:left="0" w:firstLine="0"/>
    </w:pPr>
  </w:style>
  <w:style w:type="paragraph" w:customStyle="1" w:styleId="Figurespace">
    <w:name w:val="Figure space"/>
    <w:basedOn w:val="Box"/>
    <w:rsid w:val="00EC3E57"/>
    <w:pPr>
      <w:spacing w:before="0" w:line="120" w:lineRule="exact"/>
    </w:pPr>
  </w:style>
  <w:style w:type="paragraph" w:customStyle="1" w:styleId="FooterDraftReport">
    <w:name w:val="FooterDraftReport"/>
    <w:basedOn w:val="Footer"/>
    <w:link w:val="FooterDraftReportChar"/>
    <w:rsid w:val="00EC3E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EC3E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C3E57"/>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88345">
      <w:bodyDiv w:val="1"/>
      <w:marLeft w:val="0"/>
      <w:marRight w:val="0"/>
      <w:marTop w:val="0"/>
      <w:marBottom w:val="0"/>
      <w:divBdr>
        <w:top w:val="none" w:sz="0" w:space="0" w:color="auto"/>
        <w:left w:val="none" w:sz="0" w:space="0" w:color="auto"/>
        <w:bottom w:val="none" w:sz="0" w:space="0" w:color="auto"/>
        <w:right w:val="none" w:sz="0" w:space="0" w:color="auto"/>
      </w:divBdr>
    </w:div>
    <w:div w:id="569079576">
      <w:bodyDiv w:val="1"/>
      <w:marLeft w:val="0"/>
      <w:marRight w:val="0"/>
      <w:marTop w:val="0"/>
      <w:marBottom w:val="0"/>
      <w:divBdr>
        <w:top w:val="none" w:sz="0" w:space="0" w:color="auto"/>
        <w:left w:val="none" w:sz="0" w:space="0" w:color="auto"/>
        <w:bottom w:val="none" w:sz="0" w:space="0" w:color="auto"/>
        <w:right w:val="none" w:sz="0" w:space="0" w:color="auto"/>
      </w:divBdr>
    </w:div>
    <w:div w:id="607276540">
      <w:bodyDiv w:val="1"/>
      <w:marLeft w:val="0"/>
      <w:marRight w:val="0"/>
      <w:marTop w:val="0"/>
      <w:marBottom w:val="0"/>
      <w:divBdr>
        <w:top w:val="none" w:sz="0" w:space="0" w:color="auto"/>
        <w:left w:val="none" w:sz="0" w:space="0" w:color="auto"/>
        <w:bottom w:val="none" w:sz="0" w:space="0" w:color="auto"/>
        <w:right w:val="none" w:sz="0" w:space="0" w:color="auto"/>
      </w:divBdr>
    </w:div>
    <w:div w:id="756173950">
      <w:bodyDiv w:val="1"/>
      <w:marLeft w:val="0"/>
      <w:marRight w:val="0"/>
      <w:marTop w:val="0"/>
      <w:marBottom w:val="0"/>
      <w:divBdr>
        <w:top w:val="none" w:sz="0" w:space="0" w:color="auto"/>
        <w:left w:val="none" w:sz="0" w:space="0" w:color="auto"/>
        <w:bottom w:val="none" w:sz="0" w:space="0" w:color="auto"/>
        <w:right w:val="none" w:sz="0" w:space="0" w:color="auto"/>
      </w:divBdr>
    </w:div>
    <w:div w:id="758797151">
      <w:bodyDiv w:val="1"/>
      <w:marLeft w:val="0"/>
      <w:marRight w:val="0"/>
      <w:marTop w:val="0"/>
      <w:marBottom w:val="0"/>
      <w:divBdr>
        <w:top w:val="none" w:sz="0" w:space="0" w:color="auto"/>
        <w:left w:val="none" w:sz="0" w:space="0" w:color="auto"/>
        <w:bottom w:val="none" w:sz="0" w:space="0" w:color="auto"/>
        <w:right w:val="none" w:sz="0" w:space="0" w:color="auto"/>
      </w:divBdr>
    </w:div>
    <w:div w:id="1521896415">
      <w:bodyDiv w:val="1"/>
      <w:marLeft w:val="0"/>
      <w:marRight w:val="0"/>
      <w:marTop w:val="0"/>
      <w:marBottom w:val="0"/>
      <w:divBdr>
        <w:top w:val="none" w:sz="0" w:space="0" w:color="auto"/>
        <w:left w:val="none" w:sz="0" w:space="0" w:color="auto"/>
        <w:bottom w:val="none" w:sz="0" w:space="0" w:color="auto"/>
        <w:right w:val="none" w:sz="0" w:space="0" w:color="auto"/>
      </w:divBdr>
    </w:div>
    <w:div w:id="179201907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5244195">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chart" Target="charts/chart5.xm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chart" Target="charts/chart4.xml"/><Relationship Id="rId10" Type="http://schemas.openxmlformats.org/officeDocument/2006/relationships/chart" Target="charts/chart2.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2.1'!$C$50</c:f>
              <c:strCache>
                <c:ptCount val="1"/>
                <c:pt idx="0">
                  <c:v>Female</c:v>
                </c:pt>
              </c:strCache>
            </c:strRef>
          </c:tx>
          <c:spPr>
            <a:solidFill>
              <a:srgbClr val="265A9A"/>
            </a:solidFill>
            <a:ln>
              <a:solidFill>
                <a:srgbClr val="000000"/>
              </a:solidFill>
            </a:ln>
          </c:spPr>
          <c:invertIfNegative val="0"/>
          <c:val>
            <c:numRef>
              <c:f>'Figure 2.1'!$C$51:$C$66</c:f>
              <c:numCache>
                <c:formatCode>General</c:formatCode>
                <c:ptCount val="16"/>
              </c:numCache>
            </c:numRef>
          </c:val>
        </c:ser>
        <c:ser>
          <c:idx val="1"/>
          <c:order val="1"/>
          <c:tx>
            <c:strRef>
              <c:f>'Figure 2.1'!$D$50</c:f>
              <c:strCache>
                <c:ptCount val="1"/>
                <c:pt idx="0">
                  <c:v>Male</c:v>
                </c:pt>
              </c:strCache>
            </c:strRef>
          </c:tx>
          <c:spPr>
            <a:solidFill>
              <a:srgbClr val="78A22F"/>
            </a:solidFill>
            <a:ln>
              <a:solidFill>
                <a:sysClr val="windowText" lastClr="000000"/>
              </a:solidFill>
            </a:ln>
          </c:spPr>
          <c:invertIfNegative val="0"/>
          <c:val>
            <c:numRef>
              <c:f>'Figure 2.1'!$D$51:$D$66</c:f>
              <c:numCache>
                <c:formatCode>General</c:formatCode>
                <c:ptCount val="16"/>
              </c:numCache>
            </c:numRef>
          </c:val>
        </c:ser>
        <c:dLbls>
          <c:showLegendKey val="0"/>
          <c:showVal val="0"/>
          <c:showCatName val="0"/>
          <c:showSerName val="0"/>
          <c:showPercent val="0"/>
          <c:showBubbleSize val="0"/>
        </c:dLbls>
        <c:gapWidth val="150"/>
        <c:axId val="294382208"/>
        <c:axId val="305742208"/>
      </c:barChart>
      <c:catAx>
        <c:axId val="294382208"/>
        <c:scaling>
          <c:orientation val="minMax"/>
        </c:scaling>
        <c:delete val="1"/>
        <c:axPos val="b"/>
        <c:numFmt formatCode="General" sourceLinked="1"/>
        <c:majorTickMark val="out"/>
        <c:minorTickMark val="none"/>
        <c:tickLblPos val="nextTo"/>
        <c:crossAx val="305742208"/>
        <c:crosses val="autoZero"/>
        <c:auto val="1"/>
        <c:lblAlgn val="ctr"/>
        <c:lblOffset val="100"/>
        <c:noMultiLvlLbl val="0"/>
      </c:catAx>
      <c:valAx>
        <c:axId val="305742208"/>
        <c:scaling>
          <c:orientation val="minMax"/>
        </c:scaling>
        <c:delete val="1"/>
        <c:axPos val="l"/>
        <c:numFmt formatCode="General" sourceLinked="1"/>
        <c:majorTickMark val="out"/>
        <c:minorTickMark val="none"/>
        <c:tickLblPos val="nextTo"/>
        <c:crossAx val="294382208"/>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'Figure 2.1'!$C$30</c:f>
              <c:strCache>
                <c:ptCount val="1"/>
                <c:pt idx="0">
                  <c:v>Female</c:v>
                </c:pt>
              </c:strCache>
            </c:strRef>
          </c:tx>
          <c:spPr>
            <a:solidFill>
              <a:srgbClr val="265A9A"/>
            </a:solidFill>
            <a:ln w="3175">
              <a:solidFill>
                <a:srgbClr val="265A9A"/>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2.1'!$C$31:$C$46</c:f>
              <c:numCache>
                <c:formatCode>#####\ ###\ ##0.0;\-#####\ ###\ ##0.0;"–"</c:formatCode>
                <c:ptCount val="16"/>
                <c:pt idx="0">
                  <c:v>6.3541072499417748</c:v>
                </c:pt>
                <c:pt idx="1">
                  <c:v>6.0936171531717065</c:v>
                </c:pt>
                <c:pt idx="2">
                  <c:v>5.8721553693634192</c:v>
                </c:pt>
                <c:pt idx="3">
                  <c:v>6.1357794405253019</c:v>
                </c:pt>
                <c:pt idx="4">
                  <c:v>6.92138244431922</c:v>
                </c:pt>
                <c:pt idx="5">
                  <c:v>7.3600011020569287</c:v>
                </c:pt>
                <c:pt idx="6">
                  <c:v>7.0982625814219897</c:v>
                </c:pt>
                <c:pt idx="7">
                  <c:v>6.6977251564727114</c:v>
                </c:pt>
                <c:pt idx="8">
                  <c:v>7.222605598363101</c:v>
                </c:pt>
                <c:pt idx="9">
                  <c:v>6.6337972447715794</c:v>
                </c:pt>
                <c:pt idx="10">
                  <c:v>6.7388887047344106</c:v>
                </c:pt>
                <c:pt idx="11">
                  <c:v>6.0713091101794321</c:v>
                </c:pt>
                <c:pt idx="12">
                  <c:v>5.3910730805805951</c:v>
                </c:pt>
                <c:pt idx="13">
                  <c:v>4.6880812973620802</c:v>
                </c:pt>
                <c:pt idx="14">
                  <c:v>3.4258558914198414</c:v>
                </c:pt>
                <c:pt idx="15">
                  <c:v>7.2953585753159054</c:v>
                </c:pt>
              </c:numCache>
            </c:numRef>
          </c:val>
        </c:ser>
        <c:ser>
          <c:idx val="3"/>
          <c:order val="1"/>
          <c:tx>
            <c:strRef>
              <c:f>'Figure 2.1'!$D$30</c:f>
              <c:strCache>
                <c:ptCount val="1"/>
                <c:pt idx="0">
                  <c:v>Male</c:v>
                </c:pt>
              </c:strCache>
            </c:strRef>
          </c:tx>
          <c:spPr>
            <a:solidFill>
              <a:srgbClr val="78A22F"/>
            </a:solidFill>
            <a:ln w="3175">
              <a:solidFill>
                <a:srgbClr val="78A22F"/>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2.1'!$D$31:$D$46</c:f>
              <c:numCache>
                <c:formatCode>#####\ ###\ ##0.0;\-#####\ ###\ ##0.0;"–"</c:formatCode>
                <c:ptCount val="16"/>
                <c:pt idx="0">
                  <c:v>-6.7711413210821609</c:v>
                </c:pt>
                <c:pt idx="1">
                  <c:v>-6.4944288462443529</c:v>
                </c:pt>
                <c:pt idx="2">
                  <c:v>-6.2205818785674483</c:v>
                </c:pt>
                <c:pt idx="3">
                  <c:v>-6.5417878645945411</c:v>
                </c:pt>
                <c:pt idx="4">
                  <c:v>-7.274810646418473</c:v>
                </c:pt>
                <c:pt idx="5">
                  <c:v>-7.5898427670170747</c:v>
                </c:pt>
                <c:pt idx="6">
                  <c:v>-7.2305950025902455</c:v>
                </c:pt>
                <c:pt idx="7">
                  <c:v>-6.7159933332673392</c:v>
                </c:pt>
                <c:pt idx="8">
                  <c:v>-7.1644452039485644</c:v>
                </c:pt>
                <c:pt idx="9">
                  <c:v>-6.5843536709664905</c:v>
                </c:pt>
                <c:pt idx="10">
                  <c:v>-6.6574327869245344</c:v>
                </c:pt>
                <c:pt idx="11">
                  <c:v>-5.977604238032991</c:v>
                </c:pt>
                <c:pt idx="12">
                  <c:v>-5.3363905689733651</c:v>
                </c:pt>
                <c:pt idx="13">
                  <c:v>-4.6651411748544627</c:v>
                </c:pt>
                <c:pt idx="14">
                  <c:v>-3.3275918989854887</c:v>
                </c:pt>
                <c:pt idx="15">
                  <c:v>-5.4478587975324695</c:v>
                </c:pt>
              </c:numCache>
            </c:numRef>
          </c:val>
        </c:ser>
        <c:dLbls>
          <c:showLegendKey val="0"/>
          <c:showVal val="0"/>
          <c:showCatName val="0"/>
          <c:showSerName val="0"/>
          <c:showPercent val="0"/>
          <c:showBubbleSize val="0"/>
        </c:dLbls>
        <c:gapWidth val="20"/>
        <c:overlap val="100"/>
        <c:axId val="305939584"/>
        <c:axId val="305941504"/>
      </c:barChart>
      <c:catAx>
        <c:axId val="305939584"/>
        <c:scaling>
          <c:orientation val="minMax"/>
        </c:scaling>
        <c:delete val="0"/>
        <c:axPos val="l"/>
        <c:title>
          <c:tx>
            <c:rich>
              <a:bodyPr rot="-5400000" vert="horz"/>
              <a:lstStyle/>
              <a:p>
                <a:pPr>
                  <a:defRPr sz="800"/>
                </a:pPr>
                <a:r>
                  <a:rPr lang="en-US" sz="800"/>
                  <a:t>Age (years)</a:t>
                </a:r>
              </a:p>
            </c:rich>
          </c:tx>
          <c:layout>
            <c:manualLayout>
              <c:xMode val="edge"/>
              <c:yMode val="edge"/>
              <c:x val="1.3744588744588745E-2"/>
              <c:y val="0.30093178104575163"/>
            </c:manualLayout>
          </c:layout>
          <c:overlay val="0"/>
        </c:title>
        <c:numFmt formatCode="General" sourceLinked="1"/>
        <c:majorTickMark val="none"/>
        <c:minorTickMark val="none"/>
        <c:tickLblPos val="nextTo"/>
        <c:spPr>
          <a:ln w="3175">
            <a:solidFill>
              <a:srgbClr val="BFBFBF"/>
            </a:solidFill>
          </a:ln>
        </c:spPr>
        <c:txPr>
          <a:bodyPr/>
          <a:lstStyle/>
          <a:p>
            <a:pPr>
              <a:defRPr sz="900" b="0" i="0">
                <a:latin typeface="Arial"/>
                <a:ea typeface="Arial"/>
                <a:cs typeface="Arial"/>
              </a:defRPr>
            </a:pPr>
            <a:endParaRPr lang="en-US"/>
          </a:p>
        </c:txPr>
        <c:crossAx val="305941504"/>
        <c:crosses val="max"/>
        <c:auto val="1"/>
        <c:lblAlgn val="ctr"/>
        <c:lblOffset val="100"/>
        <c:tickLblSkip val="3"/>
        <c:noMultiLvlLbl val="0"/>
      </c:catAx>
      <c:valAx>
        <c:axId val="305941504"/>
        <c:scaling>
          <c:orientation val="maxMin"/>
          <c:max val="15"/>
          <c:min val="-15"/>
        </c:scaling>
        <c:delete val="0"/>
        <c:axPos val="b"/>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0" vert="horz"/>
              <a:lstStyle/>
              <a:p>
                <a:pPr>
                  <a:defRPr sz="900">
                    <a:latin typeface="arial"/>
                    <a:ea typeface="arial"/>
                    <a:cs typeface="arial"/>
                  </a:defRPr>
                </a:pPr>
                <a:r>
                  <a:rPr lang="en-US"/>
                  <a:t>Per cent</a:t>
                </a:r>
              </a:p>
            </c:rich>
          </c:tx>
          <c:layout>
            <c:manualLayout>
              <c:xMode val="edge"/>
              <c:yMode val="edge"/>
              <c:x val="0.47655411255411256"/>
              <c:y val="0.89362173202614381"/>
            </c:manualLayout>
          </c:layout>
          <c:overlay val="0"/>
        </c:title>
        <c:numFmt formatCode="0;0;0" sourceLinked="0"/>
        <c:majorTickMark val="out"/>
        <c:minorTickMark val="none"/>
        <c:tickLblPos val="nextTo"/>
        <c:spPr>
          <a:ln w="3175">
            <a:solidFill>
              <a:srgbClr val="BFBFBF"/>
            </a:solidFill>
          </a:ln>
        </c:spPr>
        <c:txPr>
          <a:bodyPr/>
          <a:lstStyle/>
          <a:p>
            <a:pPr>
              <a:defRPr sz="900" b="0" i="0">
                <a:latin typeface="Arial"/>
                <a:ea typeface="Arial"/>
                <a:cs typeface="Arial"/>
              </a:defRPr>
            </a:pPr>
            <a:endParaRPr lang="en-US"/>
          </a:p>
        </c:txPr>
        <c:crossAx val="305939584"/>
        <c:crosses val="autoZero"/>
        <c:crossBetween val="between"/>
        <c:majorUnit val="5"/>
        <c:minorUnit val="1"/>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'Figure 2.1'!$C$30</c:f>
              <c:strCache>
                <c:ptCount val="1"/>
                <c:pt idx="0">
                  <c:v>Female</c:v>
                </c:pt>
              </c:strCache>
            </c:strRef>
          </c:tx>
          <c:spPr>
            <a:solidFill>
              <a:srgbClr val="265A9A"/>
            </a:solidFill>
            <a:ln w="3175">
              <a:solidFill>
                <a:srgbClr val="265A9A"/>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2.1'!$F$31:$F$46</c:f>
              <c:numCache>
                <c:formatCode>#####\ ###\ ##0.0;\-#####\ ###\ ##0.0;"–"</c:formatCode>
                <c:ptCount val="16"/>
                <c:pt idx="0">
                  <c:v>12.090791735822345</c:v>
                </c:pt>
                <c:pt idx="1">
                  <c:v>11.580973117032228</c:v>
                </c:pt>
                <c:pt idx="2">
                  <c:v>11.420353482174196</c:v>
                </c:pt>
                <c:pt idx="3">
                  <c:v>10.456635673026016</c:v>
                </c:pt>
                <c:pt idx="4">
                  <c:v>8.9786375885638829</c:v>
                </c:pt>
                <c:pt idx="5">
                  <c:v>7.4878494220667582</c:v>
                </c:pt>
                <c:pt idx="6">
                  <c:v>6.1927792550818275</c:v>
                </c:pt>
                <c:pt idx="7">
                  <c:v>6.3168133064444163</c:v>
                </c:pt>
                <c:pt idx="8">
                  <c:v>6.3174081939809277</c:v>
                </c:pt>
                <c:pt idx="9">
                  <c:v>5.2820064366831456</c:v>
                </c:pt>
                <c:pt idx="10">
                  <c:v>4.4146604084497829</c:v>
                </c:pt>
                <c:pt idx="11">
                  <c:v>3.2956769522721729</c:v>
                </c:pt>
                <c:pt idx="12">
                  <c:v>2.3780629272036125</c:v>
                </c:pt>
                <c:pt idx="13">
                  <c:v>1.5276711937608196</c:v>
                </c:pt>
                <c:pt idx="14">
                  <c:v>0.99286729843723054</c:v>
                </c:pt>
                <c:pt idx="15">
                  <c:v>1.2668130090006486</c:v>
                </c:pt>
              </c:numCache>
            </c:numRef>
          </c:val>
        </c:ser>
        <c:ser>
          <c:idx val="3"/>
          <c:order val="1"/>
          <c:tx>
            <c:strRef>
              <c:f>'Figure 2.1'!$D$30</c:f>
              <c:strCache>
                <c:ptCount val="1"/>
                <c:pt idx="0">
                  <c:v>Male</c:v>
                </c:pt>
              </c:strCache>
            </c:strRef>
          </c:tx>
          <c:spPr>
            <a:solidFill>
              <a:srgbClr val="78A22F"/>
            </a:solidFill>
            <a:ln w="3175">
              <a:solidFill>
                <a:srgbClr val="78A22F"/>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2.1'!$G$31:$G$46</c:f>
              <c:numCache>
                <c:formatCode>#####\ ###\ ##0.0;\-#####\ ###\ ##0.0;"–"</c:formatCode>
                <c:ptCount val="16"/>
                <c:pt idx="0">
                  <c:v>-12.645834519588952</c:v>
                </c:pt>
                <c:pt idx="1">
                  <c:v>-12.169634053877482</c:v>
                </c:pt>
                <c:pt idx="2">
                  <c:v>-11.938276747691672</c:v>
                </c:pt>
                <c:pt idx="3">
                  <c:v>-11.276271191520095</c:v>
                </c:pt>
                <c:pt idx="4">
                  <c:v>-9.2842608104098812</c:v>
                </c:pt>
                <c:pt idx="5">
                  <c:v>-7.5568728403904313</c:v>
                </c:pt>
                <c:pt idx="6">
                  <c:v>-5.9520562929486971</c:v>
                </c:pt>
                <c:pt idx="7">
                  <c:v>-6.0125927901631187</c:v>
                </c:pt>
                <c:pt idx="8">
                  <c:v>-5.7743427144924979</c:v>
                </c:pt>
                <c:pt idx="9">
                  <c:v>-4.9241345828226191</c:v>
                </c:pt>
                <c:pt idx="10">
                  <c:v>-4.1866082479479028</c:v>
                </c:pt>
                <c:pt idx="11">
                  <c:v>-3.1413047712949114</c:v>
                </c:pt>
                <c:pt idx="12">
                  <c:v>-2.1562381062265685</c:v>
                </c:pt>
                <c:pt idx="13">
                  <c:v>-1.3617715016947223</c:v>
                </c:pt>
                <c:pt idx="14">
                  <c:v>-0.78937194882568196</c:v>
                </c:pt>
                <c:pt idx="15">
                  <c:v>-0.83042888010477001</c:v>
                </c:pt>
              </c:numCache>
            </c:numRef>
          </c:val>
        </c:ser>
        <c:dLbls>
          <c:showLegendKey val="0"/>
          <c:showVal val="0"/>
          <c:showCatName val="0"/>
          <c:showSerName val="0"/>
          <c:showPercent val="0"/>
          <c:showBubbleSize val="0"/>
        </c:dLbls>
        <c:gapWidth val="20"/>
        <c:overlap val="100"/>
        <c:axId val="320953728"/>
        <c:axId val="320976384"/>
      </c:barChart>
      <c:catAx>
        <c:axId val="320953728"/>
        <c:scaling>
          <c:orientation val="minMax"/>
        </c:scaling>
        <c:delete val="0"/>
        <c:axPos val="l"/>
        <c:title>
          <c:tx>
            <c:rich>
              <a:bodyPr rot="-5400000" vert="horz"/>
              <a:lstStyle/>
              <a:p>
                <a:pPr>
                  <a:defRPr sz="800"/>
                </a:pPr>
                <a:r>
                  <a:rPr lang="en-US" sz="800"/>
                  <a:t>Age (years)</a:t>
                </a:r>
              </a:p>
            </c:rich>
          </c:tx>
          <c:layout>
            <c:manualLayout>
              <c:xMode val="edge"/>
              <c:yMode val="edge"/>
              <c:x val="1.3744588744588745E-2"/>
              <c:y val="0.29574387254901963"/>
            </c:manualLayout>
          </c:layout>
          <c:overlay val="0"/>
        </c:title>
        <c:numFmt formatCode="General" sourceLinked="1"/>
        <c:majorTickMark val="none"/>
        <c:minorTickMark val="none"/>
        <c:tickLblPos val="nextTo"/>
        <c:spPr>
          <a:ln w="3175">
            <a:solidFill>
              <a:srgbClr val="BFBFBF"/>
            </a:solidFill>
          </a:ln>
        </c:spPr>
        <c:txPr>
          <a:bodyPr/>
          <a:lstStyle/>
          <a:p>
            <a:pPr>
              <a:defRPr sz="900" b="0" i="0">
                <a:latin typeface="Arial"/>
                <a:ea typeface="Arial"/>
                <a:cs typeface="Arial"/>
              </a:defRPr>
            </a:pPr>
            <a:endParaRPr lang="en-US"/>
          </a:p>
        </c:txPr>
        <c:crossAx val="320976384"/>
        <c:crosses val="max"/>
        <c:auto val="1"/>
        <c:lblAlgn val="ctr"/>
        <c:lblOffset val="100"/>
        <c:tickLblSkip val="3"/>
        <c:noMultiLvlLbl val="0"/>
      </c:catAx>
      <c:valAx>
        <c:axId val="320976384"/>
        <c:scaling>
          <c:orientation val="maxMin"/>
          <c:max val="15"/>
          <c:min val="-15"/>
        </c:scaling>
        <c:delete val="0"/>
        <c:axPos val="b"/>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0" vert="horz"/>
              <a:lstStyle/>
              <a:p>
                <a:pPr>
                  <a:defRPr sz="900">
                    <a:latin typeface="arial"/>
                    <a:ea typeface="arial"/>
                    <a:cs typeface="arial"/>
                  </a:defRPr>
                </a:pPr>
                <a:r>
                  <a:rPr lang="en-US"/>
                  <a:t>Per cent</a:t>
                </a:r>
              </a:p>
            </c:rich>
          </c:tx>
          <c:layout/>
          <c:overlay val="0"/>
        </c:title>
        <c:numFmt formatCode="0;0;0" sourceLinked="0"/>
        <c:majorTickMark val="out"/>
        <c:minorTickMark val="none"/>
        <c:tickLblPos val="nextTo"/>
        <c:spPr>
          <a:ln w="3175">
            <a:solidFill>
              <a:srgbClr val="BFBFBF"/>
            </a:solidFill>
          </a:ln>
        </c:spPr>
        <c:txPr>
          <a:bodyPr/>
          <a:lstStyle/>
          <a:p>
            <a:pPr>
              <a:defRPr sz="900" b="0" i="0">
                <a:latin typeface="Arial"/>
                <a:ea typeface="Arial"/>
                <a:cs typeface="Arial"/>
              </a:defRPr>
            </a:pPr>
            <a:endParaRPr lang="en-US"/>
          </a:p>
        </c:txPr>
        <c:crossAx val="320953728"/>
        <c:crosses val="autoZero"/>
        <c:crossBetween val="between"/>
        <c:majorUnit val="5"/>
        <c:minorUnit val="1"/>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'H:\Monitor\05 Current Report - WIP\2015 Report\2015 Statistical context\[Chapter 2_Statistical context_Data and charts for the 2015 RoGS.xlsx]Figure 2.13'!$A$21</c:f>
              <c:strCache>
                <c:ptCount val="1"/>
                <c:pt idx="0">
                  <c:v>Crude imprisonment rate </c:v>
                </c:pt>
              </c:strCache>
            </c:strRef>
          </c:tx>
          <c:spPr>
            <a:solidFill>
              <a:srgbClr val="265A9A"/>
            </a:solidFill>
            <a:ln>
              <a:solidFill>
                <a:srgbClr val="000000"/>
              </a:solidFill>
            </a:ln>
          </c:spPr>
          <c:invertIfNegative val="0"/>
          <c:cat>
            <c:numRef>
              <c:f>'H:\Monitor\05 Current Report - WIP\2015 Report\2015 Statistical context\[Chapter 2_Statistical context_Data and charts for the 2015 RoGS.xlsx]Figure 2.13'!$B$20:$K$20</c:f>
              <c:numCache>
                <c:formatCode>General</c:formatCode>
                <c:ptCount val="10"/>
              </c:numCache>
            </c:numRef>
          </c:cat>
          <c:val>
            <c:numRef>
              <c:f>'H:\Monitor\05 Current Report - WIP\2015 Report\2015 Statistical context\[Chapter 2_Statistical context_Data and charts for the 2015 RoGS.xlsx]Figure 2.13'!$B$21:$K$21</c:f>
              <c:numCache>
                <c:formatCode>General</c:formatCode>
                <c:ptCount val="10"/>
              </c:numCache>
            </c:numRef>
          </c:val>
        </c:ser>
        <c:ser>
          <c:idx val="1"/>
          <c:order val="1"/>
          <c:tx>
            <c:strRef>
              <c:f>'H:\Monitor\05 Current Report - WIP\2015 Report\2015 Statistical context\[Chapter 2_Statistical context_Data and charts for the 2015 RoGS.xlsx]Figure 2.13'!$A$22</c:f>
              <c:strCache>
                <c:ptCount val="1"/>
                <c:pt idx="0">
                  <c:v>Age standardised imprisonment rate </c:v>
                </c:pt>
              </c:strCache>
            </c:strRef>
          </c:tx>
          <c:spPr>
            <a:solidFill>
              <a:srgbClr val="78A22F"/>
            </a:solidFill>
            <a:ln>
              <a:solidFill>
                <a:sysClr val="windowText" lastClr="000000"/>
              </a:solidFill>
            </a:ln>
          </c:spPr>
          <c:invertIfNegative val="0"/>
          <c:cat>
            <c:numRef>
              <c:f>'H:\Monitor\05 Current Report - WIP\2015 Report\2015 Statistical context\[Chapter 2_Statistical context_Data and charts for the 2015 RoGS.xlsx]Figure 2.13'!$B$20:$K$20</c:f>
              <c:numCache>
                <c:formatCode>General</c:formatCode>
                <c:ptCount val="10"/>
              </c:numCache>
            </c:numRef>
          </c:cat>
          <c:val>
            <c:numRef>
              <c:f>'H:\Monitor\05 Current Report - WIP\2015 Report\2015 Statistical context\[Chapter 2_Statistical context_Data and charts for the 2015 RoGS.xlsx]Figure 2.13'!$B$22:$K$22</c:f>
              <c:numCache>
                <c:formatCode>General</c:formatCode>
                <c:ptCount val="10"/>
              </c:numCache>
            </c:numRef>
          </c:val>
        </c:ser>
        <c:dLbls>
          <c:showLegendKey val="0"/>
          <c:showVal val="0"/>
          <c:showCatName val="0"/>
          <c:showSerName val="0"/>
          <c:showPercent val="0"/>
          <c:showBubbleSize val="0"/>
        </c:dLbls>
        <c:gapWidth val="150"/>
        <c:axId val="322034304"/>
        <c:axId val="334889344"/>
      </c:barChart>
      <c:catAx>
        <c:axId val="322034304"/>
        <c:scaling>
          <c:orientation val="minMax"/>
        </c:scaling>
        <c:delete val="1"/>
        <c:axPos val="b"/>
        <c:numFmt formatCode="General" sourceLinked="1"/>
        <c:majorTickMark val="out"/>
        <c:minorTickMark val="none"/>
        <c:tickLblPos val="nextTo"/>
        <c:crossAx val="334889344"/>
        <c:crosses val="autoZero"/>
        <c:auto val="1"/>
        <c:lblAlgn val="ctr"/>
        <c:lblOffset val="100"/>
        <c:noMultiLvlLbl val="0"/>
      </c:catAx>
      <c:valAx>
        <c:axId val="334889344"/>
        <c:scaling>
          <c:orientation val="minMax"/>
        </c:scaling>
        <c:delete val="1"/>
        <c:axPos val="l"/>
        <c:numFmt formatCode="General" sourceLinked="1"/>
        <c:majorTickMark val="out"/>
        <c:minorTickMark val="none"/>
        <c:tickLblPos val="nextTo"/>
        <c:crossAx val="322034304"/>
        <c:crosses val="autoZero"/>
        <c:crossBetween val="between"/>
      </c:valAx>
      <c:spPr>
        <a:noFill/>
        <a:ln w="25400">
          <a:noFill/>
        </a:ln>
      </c:spPr>
    </c:plotArea>
    <c:legend>
      <c:legendPos val="t"/>
      <c:layout>
        <c:manualLayout>
          <c:xMode val="edge"/>
          <c:yMode val="edge"/>
          <c:x val="8.1852592592592588E-2"/>
          <c:y val="7.1170138888888901E-2"/>
          <c:w val="0.83629481481481482"/>
          <c:h val="0.75244097222222217"/>
        </c:manualLayout>
      </c:layout>
      <c:overlay val="0"/>
      <c:spPr>
        <a:noFill/>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Non-Indigenous</c:v>
          </c:tx>
          <c:spPr>
            <a:solidFill>
              <a:srgbClr val="265A9A"/>
            </a:solidFill>
            <a:ln>
              <a:solidFill>
                <a:srgbClr val="265A9A"/>
              </a:solidFill>
            </a:ln>
          </c:spPr>
          <c:invertIfNegative val="0"/>
          <c:cat>
            <c:strRef>
              <c:f>'Figure 2.13'!$C$4:$K$4</c:f>
              <c:strCache>
                <c:ptCount val="9"/>
                <c:pt idx="0">
                  <c:v>NSW</c:v>
                </c:pt>
                <c:pt idx="1">
                  <c:v>Vic</c:v>
                </c:pt>
                <c:pt idx="2">
                  <c:v>Qld</c:v>
                </c:pt>
                <c:pt idx="3">
                  <c:v>WA</c:v>
                </c:pt>
                <c:pt idx="4">
                  <c:v>SA</c:v>
                </c:pt>
                <c:pt idx="5">
                  <c:v>Tas</c:v>
                </c:pt>
                <c:pt idx="6">
                  <c:v>ACT</c:v>
                </c:pt>
                <c:pt idx="7">
                  <c:v>NT</c:v>
                </c:pt>
                <c:pt idx="8">
                  <c:v>Aust</c:v>
                </c:pt>
              </c:strCache>
            </c:strRef>
          </c:cat>
          <c:val>
            <c:numRef>
              <c:f>'Figure 2.13'!$C$5:$K$5</c:f>
              <c:numCache>
                <c:formatCode>###\ ###\ ##0.0;\-###\ ###\ ##0.0;\–</c:formatCode>
                <c:ptCount val="9"/>
                <c:pt idx="0">
                  <c:v>2350.493053011905</c:v>
                </c:pt>
                <c:pt idx="1">
                  <c:v>1236.6312261038076</c:v>
                </c:pt>
                <c:pt idx="2">
                  <c:v>1707.1976651132136</c:v>
                </c:pt>
                <c:pt idx="3">
                  <c:v>3637.9093054696273</c:v>
                </c:pt>
                <c:pt idx="4">
                  <c:v>2408.9341051277556</c:v>
                </c:pt>
                <c:pt idx="5">
                  <c:v>649.09208221955942</c:v>
                </c:pt>
                <c:pt idx="6">
                  <c:v>775.71860816944013</c:v>
                </c:pt>
                <c:pt idx="7">
                  <c:v>1898.8363809071479</c:v>
                </c:pt>
                <c:pt idx="8">
                  <c:v>2156.6031559351682</c:v>
                </c:pt>
              </c:numCache>
            </c:numRef>
          </c:val>
        </c:ser>
        <c:ser>
          <c:idx val="1"/>
          <c:order val="1"/>
          <c:spPr>
            <a:solidFill>
              <a:srgbClr val="78A22F"/>
            </a:solidFill>
            <a:ln>
              <a:solidFill>
                <a:srgbClr val="78A22F"/>
              </a:solidFill>
            </a:ln>
          </c:spPr>
          <c:invertIfNegative val="0"/>
          <c:cat>
            <c:strRef>
              <c:f>'Figure 2.13'!$C$4:$K$4</c:f>
              <c:strCache>
                <c:ptCount val="9"/>
                <c:pt idx="0">
                  <c:v>NSW</c:v>
                </c:pt>
                <c:pt idx="1">
                  <c:v>Vic</c:v>
                </c:pt>
                <c:pt idx="2">
                  <c:v>Qld</c:v>
                </c:pt>
                <c:pt idx="3">
                  <c:v>WA</c:v>
                </c:pt>
                <c:pt idx="4">
                  <c:v>SA</c:v>
                </c:pt>
                <c:pt idx="5">
                  <c:v>Tas</c:v>
                </c:pt>
                <c:pt idx="6">
                  <c:v>ACT</c:v>
                </c:pt>
                <c:pt idx="7">
                  <c:v>NT</c:v>
                </c:pt>
                <c:pt idx="8">
                  <c:v>Aust</c:v>
                </c:pt>
              </c:strCache>
            </c:strRef>
          </c:cat>
          <c:val>
            <c:numRef>
              <c:f>'Figure 2.13'!$C$6:$K$6</c:f>
              <c:numCache>
                <c:formatCode>###\ ###\ ##0.0;\-###\ ###\ ##0.0;\–</c:formatCode>
                <c:ptCount val="9"/>
                <c:pt idx="0">
                  <c:v>1815.6209258261827</c:v>
                </c:pt>
                <c:pt idx="1">
                  <c:v>935.78530109347059</c:v>
                </c:pt>
                <c:pt idx="2">
                  <c:v>1304.1827461437426</c:v>
                </c:pt>
                <c:pt idx="3">
                  <c:v>2728.4458416791649</c:v>
                </c:pt>
                <c:pt idx="4">
                  <c:v>1809.3382064533289</c:v>
                </c:pt>
                <c:pt idx="5">
                  <c:v>496.76046026749725</c:v>
                </c:pt>
                <c:pt idx="6">
                  <c:v>563.23241325253844</c:v>
                </c:pt>
                <c:pt idx="7">
                  <c:v>1398.14909044004</c:v>
                </c:pt>
                <c:pt idx="8">
                  <c:v>1630.3930264668804</c:v>
                </c:pt>
              </c:numCache>
            </c:numRef>
          </c:val>
        </c:ser>
        <c:dLbls>
          <c:showLegendKey val="0"/>
          <c:showVal val="0"/>
          <c:showCatName val="0"/>
          <c:showSerName val="0"/>
          <c:showPercent val="0"/>
          <c:showBubbleSize val="0"/>
        </c:dLbls>
        <c:gapWidth val="150"/>
        <c:axId val="334919936"/>
        <c:axId val="334921728"/>
      </c:barChart>
      <c:catAx>
        <c:axId val="334919936"/>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34921728"/>
        <c:crosses val="autoZero"/>
        <c:auto val="1"/>
        <c:lblAlgn val="ctr"/>
        <c:lblOffset val="100"/>
        <c:noMultiLvlLbl val="0"/>
      </c:catAx>
      <c:valAx>
        <c:axId val="334921728"/>
        <c:scaling>
          <c:orientation val="minMax"/>
          <c:max val="40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people</a:t>
                </a:r>
              </a:p>
            </c:rich>
          </c:tx>
          <c:layout/>
          <c:overlay val="0"/>
        </c:title>
        <c:numFmt formatCode="###\ ###\ ##0;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34919936"/>
        <c:crosses val="autoZero"/>
        <c:crossBetween val="between"/>
        <c:majorUnit val="1000"/>
        <c:minorUnit val="5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'Figure 2.13'!$A$11</c:f>
              <c:strCache>
                <c:ptCount val="1"/>
                <c:pt idx="0">
                  <c:v>Non-Indigenous</c:v>
                </c:pt>
              </c:strCache>
            </c:strRef>
          </c:tx>
          <c:spPr>
            <a:solidFill>
              <a:srgbClr val="265A9A"/>
            </a:solidFill>
            <a:ln>
              <a:solidFill>
                <a:srgbClr val="265A9A"/>
              </a:solidFill>
            </a:ln>
          </c:spPr>
          <c:invertIfNegative val="0"/>
          <c:cat>
            <c:strRef>
              <c:f>'Figure 2.13'!$C$12:$K$12</c:f>
              <c:strCache>
                <c:ptCount val="9"/>
                <c:pt idx="0">
                  <c:v>NSW</c:v>
                </c:pt>
                <c:pt idx="1">
                  <c:v>Vic</c:v>
                </c:pt>
                <c:pt idx="2">
                  <c:v>Qld</c:v>
                </c:pt>
                <c:pt idx="3">
                  <c:v>WA</c:v>
                </c:pt>
                <c:pt idx="4">
                  <c:v>SA</c:v>
                </c:pt>
                <c:pt idx="5">
                  <c:v>Tas</c:v>
                </c:pt>
                <c:pt idx="6">
                  <c:v>ACT</c:v>
                </c:pt>
                <c:pt idx="7">
                  <c:v>NT</c:v>
                </c:pt>
                <c:pt idx="8">
                  <c:v>Aust</c:v>
                </c:pt>
              </c:strCache>
            </c:strRef>
          </c:cat>
          <c:val>
            <c:numRef>
              <c:f>'Figure 2.13'!$C$13:$K$13</c:f>
              <c:numCache>
                <c:formatCode>###\ ###\ ##0.0;\-###\ ###\ ##0.0;\–</c:formatCode>
                <c:ptCount val="9"/>
                <c:pt idx="0">
                  <c:v>139.05783572776585</c:v>
                </c:pt>
                <c:pt idx="1">
                  <c:v>97.554231407526999</c:v>
                </c:pt>
                <c:pt idx="2">
                  <c:v>127.48075489225045</c:v>
                </c:pt>
                <c:pt idx="3">
                  <c:v>140.42552921677313</c:v>
                </c:pt>
                <c:pt idx="4">
                  <c:v>117.98093173049328</c:v>
                </c:pt>
                <c:pt idx="5">
                  <c:v>127.58115707698421</c:v>
                </c:pt>
                <c:pt idx="6">
                  <c:v>61.138130433117595</c:v>
                </c:pt>
                <c:pt idx="7">
                  <c:v>131.79361680432342</c:v>
                </c:pt>
                <c:pt idx="8">
                  <c:v>123.22000249206462</c:v>
                </c:pt>
              </c:numCache>
            </c:numRef>
          </c:val>
        </c:ser>
        <c:ser>
          <c:idx val="1"/>
          <c:order val="1"/>
          <c:spPr>
            <a:solidFill>
              <a:srgbClr val="78A22F"/>
            </a:solidFill>
            <a:ln>
              <a:solidFill>
                <a:srgbClr val="78A22F"/>
              </a:solidFill>
            </a:ln>
          </c:spPr>
          <c:invertIfNegative val="0"/>
          <c:cat>
            <c:strRef>
              <c:f>'Figure 2.13'!$C$12:$K$12</c:f>
              <c:strCache>
                <c:ptCount val="9"/>
                <c:pt idx="0">
                  <c:v>NSW</c:v>
                </c:pt>
                <c:pt idx="1">
                  <c:v>Vic</c:v>
                </c:pt>
                <c:pt idx="2">
                  <c:v>Qld</c:v>
                </c:pt>
                <c:pt idx="3">
                  <c:v>WA</c:v>
                </c:pt>
                <c:pt idx="4">
                  <c:v>SA</c:v>
                </c:pt>
                <c:pt idx="5">
                  <c:v>Tas</c:v>
                </c:pt>
                <c:pt idx="6">
                  <c:v>ACT</c:v>
                </c:pt>
                <c:pt idx="7">
                  <c:v>NT</c:v>
                </c:pt>
                <c:pt idx="8">
                  <c:v>Aust</c:v>
                </c:pt>
              </c:strCache>
            </c:strRef>
          </c:cat>
          <c:val>
            <c:numRef>
              <c:f>'Figure 2.13'!$C$14:$K$14</c:f>
              <c:numCache>
                <c:formatCode>###\ ###\ ##0.0;\-###\ ###\ ##0.0;\–</c:formatCode>
                <c:ptCount val="9"/>
                <c:pt idx="0">
                  <c:v>145.69706323903011</c:v>
                </c:pt>
                <c:pt idx="1">
                  <c:v>100.39526687223751</c:v>
                </c:pt>
                <c:pt idx="2">
                  <c:v>131.75279118683989</c:v>
                </c:pt>
                <c:pt idx="3">
                  <c:v>144.38130887661134</c:v>
                </c:pt>
                <c:pt idx="4">
                  <c:v>129.84469395146417</c:v>
                </c:pt>
                <c:pt idx="5">
                  <c:v>147.00382786138468</c:v>
                </c:pt>
                <c:pt idx="6">
                  <c:v>57.340663622515379</c:v>
                </c:pt>
                <c:pt idx="7">
                  <c:v>120.52208797433971</c:v>
                </c:pt>
                <c:pt idx="8">
                  <c:v>128.20192832950104</c:v>
                </c:pt>
              </c:numCache>
            </c:numRef>
          </c:val>
        </c:ser>
        <c:dLbls>
          <c:showLegendKey val="0"/>
          <c:showVal val="0"/>
          <c:showCatName val="0"/>
          <c:showSerName val="0"/>
          <c:showPercent val="0"/>
          <c:showBubbleSize val="0"/>
        </c:dLbls>
        <c:gapWidth val="150"/>
        <c:axId val="335683968"/>
        <c:axId val="335685504"/>
      </c:barChart>
      <c:catAx>
        <c:axId val="33568396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35685504"/>
        <c:crosses val="autoZero"/>
        <c:auto val="1"/>
        <c:lblAlgn val="ctr"/>
        <c:lblOffset val="100"/>
        <c:noMultiLvlLbl val="0"/>
      </c:catAx>
      <c:valAx>
        <c:axId val="335685504"/>
        <c:scaling>
          <c:orientation val="minMax"/>
          <c:max val="15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people</a:t>
                </a:r>
              </a:p>
            </c:rich>
          </c:tx>
          <c:layout/>
          <c:overlay val="0"/>
        </c:title>
        <c:numFmt formatCode="###\ ###\ ##0;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35683968"/>
        <c:crosses val="autoZero"/>
        <c:crossBetween val="between"/>
        <c:majorUnit val="30"/>
        <c:min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23048-2911-41B4-B44A-23842170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15</Pages>
  <Words>3679</Words>
  <Characters>20726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Chapter 2 Statistical context - Indigenous Compendium 2015</vt:lpstr>
    </vt:vector>
  </TitlesOfParts>
  <Company>Productivity Commission</Company>
  <LinksUpToDate>false</LinksUpToDate>
  <CharactersWithSpaces>24357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Statistical context - Indigenous Compendium 2015</dc:title>
  <dc:creator>Steering Committee for the Review of Government Service Provision</dc:creator>
  <dc:description>2.</dc:description>
  <cp:lastModifiedBy>Frech, Tanya</cp:lastModifiedBy>
  <cp:revision>2</cp:revision>
  <cp:lastPrinted>2014-09-30T06:40:00Z</cp:lastPrinted>
  <dcterms:created xsi:type="dcterms:W3CDTF">2015-07-13T00:15:00Z</dcterms:created>
  <dcterms:modified xsi:type="dcterms:W3CDTF">2015-07-13T00:15:00Z</dcterms:modified>
</cp:coreProperties>
</file>