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3A3F" w:rsidRPr="00141D36" w:rsidRDefault="00133B84" w:rsidP="00A53937">
      <w:pPr>
        <w:pStyle w:val="Heading1"/>
      </w:pPr>
      <w:bookmarkStart w:id="0" w:name="_Toc372899997"/>
      <w:bookmarkStart w:id="1" w:name="_Toc410731936"/>
      <w:r w:rsidRPr="00141D36">
        <w:t>5</w:t>
      </w:r>
      <w:r w:rsidR="002D3A3F" w:rsidRPr="00141D36">
        <w:tab/>
      </w:r>
      <w:r w:rsidRPr="00141D36">
        <w:t>Vocational</w:t>
      </w:r>
      <w:r w:rsidR="002D3A3F" w:rsidRPr="00141D36">
        <w:t xml:space="preserve"> education and </w:t>
      </w:r>
      <w:bookmarkEnd w:id="0"/>
      <w:r w:rsidRPr="00141D36">
        <w:t>training</w:t>
      </w:r>
      <w:bookmarkEnd w:id="1"/>
    </w:p>
    <w:sdt>
      <w:sdtPr>
        <w:rPr>
          <w:rFonts w:ascii="Arial" w:hAnsi="Arial"/>
          <w:b/>
          <w:bCs/>
          <w:sz w:val="26"/>
          <w:szCs w:val="26"/>
          <w:lang w:eastAsia="en-US"/>
        </w:rPr>
        <w:id w:val="1917968819"/>
        <w:docPartObj>
          <w:docPartGallery w:val="Table of Contents"/>
          <w:docPartUnique/>
        </w:docPartObj>
      </w:sdtPr>
      <w:sdtEndPr>
        <w:rPr>
          <w:b w:val="0"/>
          <w:bCs w:val="0"/>
          <w:noProof/>
        </w:rPr>
      </w:sdtEndPr>
      <w:sdtContent>
        <w:p w:rsidR="008927F4" w:rsidRPr="00141D36" w:rsidRDefault="008927F4" w:rsidP="008927F4">
          <w:pPr>
            <w:tabs>
              <w:tab w:val="right" w:pos="8789"/>
            </w:tabs>
            <w:spacing w:before="120" w:line="320" w:lineRule="exact"/>
            <w:ind w:left="510" w:right="851" w:hanging="510"/>
            <w:rPr>
              <w:rFonts w:ascii="Arial" w:hAnsi="Arial"/>
              <w:b/>
              <w:noProof/>
              <w:szCs w:val="26"/>
              <w:lang w:eastAsia="en-US"/>
            </w:rPr>
          </w:pPr>
          <w:r w:rsidRPr="00141D36">
            <w:rPr>
              <w:rFonts w:ascii="Arial" w:hAnsi="Arial"/>
              <w:b/>
              <w:noProof/>
              <w:szCs w:val="26"/>
              <w:lang w:eastAsia="en-US"/>
            </w:rPr>
            <w:t>CONTENTS</w:t>
          </w:r>
        </w:p>
        <w:p w:rsidR="0083747B" w:rsidRPr="00141D36" w:rsidRDefault="00A32423" w:rsidP="0083747B">
          <w:pPr>
            <w:pStyle w:val="TOC2"/>
            <w:rPr>
              <w:rStyle w:val="Hyperlink"/>
              <w:noProof/>
            </w:rPr>
          </w:pPr>
          <w:r>
            <w:t xml:space="preserve">Aboriginal and Torres Strait Islander </w:t>
          </w:r>
          <w:r w:rsidR="0083747B" w:rsidRPr="00F25AA7">
            <w:rPr>
              <w:noProof/>
            </w:rPr>
            <w:t>data in the Vocational education and training chapter</w:t>
          </w:r>
          <w:r w:rsidR="0083747B" w:rsidRPr="00F25AA7">
            <w:rPr>
              <w:noProof/>
              <w:webHidden/>
            </w:rPr>
            <w:tab/>
            <w:t>5.</w:t>
          </w:r>
          <w:r w:rsidR="003B7070" w:rsidRPr="00F25AA7">
            <w:rPr>
              <w:noProof/>
              <w:webHidden/>
            </w:rPr>
            <w:t>2</w:t>
          </w:r>
        </w:p>
        <w:p w:rsidR="0083747B" w:rsidRPr="00141D36" w:rsidRDefault="0083747B" w:rsidP="0083747B">
          <w:pPr>
            <w:pStyle w:val="TOC2"/>
            <w:rPr>
              <w:rStyle w:val="Hyperlink"/>
              <w:noProof/>
            </w:rPr>
          </w:pPr>
          <w:r w:rsidRPr="00F25AA7">
            <w:rPr>
              <w:noProof/>
            </w:rPr>
            <w:t>Framework of performance indicators</w:t>
          </w:r>
          <w:r w:rsidRPr="00F25AA7">
            <w:rPr>
              <w:noProof/>
              <w:webHidden/>
            </w:rPr>
            <w:tab/>
            <w:t>5.</w:t>
          </w:r>
          <w:r w:rsidR="003B7070" w:rsidRPr="00F25AA7">
            <w:rPr>
              <w:noProof/>
              <w:webHidden/>
            </w:rPr>
            <w:t>3</w:t>
          </w:r>
        </w:p>
        <w:p w:rsidR="0083747B" w:rsidRPr="00141D36" w:rsidRDefault="0083747B" w:rsidP="0083747B">
          <w:pPr>
            <w:pStyle w:val="TOC2"/>
            <w:rPr>
              <w:rStyle w:val="Hyperlink"/>
              <w:noProof/>
            </w:rPr>
          </w:pPr>
          <w:r w:rsidRPr="00F25AA7">
            <w:rPr>
              <w:noProof/>
            </w:rPr>
            <w:t>Equity</w:t>
          </w:r>
          <w:r w:rsidRPr="00F25AA7">
            <w:rPr>
              <w:noProof/>
              <w:webHidden/>
            </w:rPr>
            <w:tab/>
            <w:t>5.</w:t>
          </w:r>
          <w:r w:rsidR="003B7070" w:rsidRPr="00F25AA7">
            <w:rPr>
              <w:noProof/>
              <w:webHidden/>
            </w:rPr>
            <w:t>4</w:t>
          </w:r>
        </w:p>
        <w:p w:rsidR="0083747B" w:rsidRPr="00141D36" w:rsidRDefault="0083747B" w:rsidP="0083747B">
          <w:pPr>
            <w:pStyle w:val="TOC2"/>
            <w:rPr>
              <w:rStyle w:val="Hyperlink"/>
              <w:noProof/>
            </w:rPr>
          </w:pPr>
          <w:r w:rsidRPr="00F25AA7">
            <w:rPr>
              <w:noProof/>
            </w:rPr>
            <w:t>Effectiveness</w:t>
          </w:r>
          <w:r w:rsidRPr="00F25AA7">
            <w:rPr>
              <w:noProof/>
              <w:webHidden/>
            </w:rPr>
            <w:tab/>
            <w:t>5.</w:t>
          </w:r>
          <w:r w:rsidR="003B7070" w:rsidRPr="00F25AA7">
            <w:rPr>
              <w:noProof/>
              <w:webHidden/>
            </w:rPr>
            <w:t>7</w:t>
          </w:r>
        </w:p>
        <w:p w:rsidR="0083747B" w:rsidRPr="00141D36" w:rsidRDefault="0083747B" w:rsidP="0083747B">
          <w:pPr>
            <w:pStyle w:val="TOC2"/>
            <w:rPr>
              <w:rStyle w:val="Hyperlink"/>
              <w:noProof/>
            </w:rPr>
          </w:pPr>
          <w:r w:rsidRPr="00F25AA7">
            <w:rPr>
              <w:noProof/>
            </w:rPr>
            <w:t>Outcomes</w:t>
          </w:r>
          <w:r w:rsidRPr="00F25AA7">
            <w:rPr>
              <w:noProof/>
              <w:webHidden/>
            </w:rPr>
            <w:tab/>
            <w:t>5.</w:t>
          </w:r>
          <w:r w:rsidR="003B7070" w:rsidRPr="00F25AA7">
            <w:rPr>
              <w:noProof/>
              <w:webHidden/>
            </w:rPr>
            <w:t>14</w:t>
          </w:r>
        </w:p>
        <w:p w:rsidR="0083747B" w:rsidRPr="00141D36" w:rsidRDefault="0083747B" w:rsidP="0083747B">
          <w:pPr>
            <w:pStyle w:val="TOC2"/>
            <w:rPr>
              <w:rStyle w:val="Hyperlink"/>
              <w:noProof/>
            </w:rPr>
          </w:pPr>
          <w:r w:rsidRPr="00F25AA7">
            <w:rPr>
              <w:noProof/>
            </w:rPr>
            <w:t>Future directions in performance reporting</w:t>
          </w:r>
          <w:r w:rsidRPr="00F25AA7">
            <w:rPr>
              <w:noProof/>
              <w:webHidden/>
            </w:rPr>
            <w:tab/>
            <w:t>5.</w:t>
          </w:r>
          <w:r w:rsidR="003B7070" w:rsidRPr="00F25AA7">
            <w:rPr>
              <w:noProof/>
              <w:webHidden/>
            </w:rPr>
            <w:t>36</w:t>
          </w:r>
        </w:p>
        <w:p w:rsidR="0083747B" w:rsidRPr="00141D36" w:rsidRDefault="0083747B" w:rsidP="0083747B">
          <w:pPr>
            <w:pStyle w:val="TOC2"/>
            <w:rPr>
              <w:rStyle w:val="Hyperlink"/>
              <w:noProof/>
            </w:rPr>
          </w:pPr>
          <w:r w:rsidRPr="00F25AA7">
            <w:rPr>
              <w:noProof/>
            </w:rPr>
            <w:t>Definitions of key terms</w:t>
          </w:r>
          <w:r w:rsidRPr="00F25AA7">
            <w:rPr>
              <w:noProof/>
              <w:webHidden/>
            </w:rPr>
            <w:tab/>
            <w:t>5.</w:t>
          </w:r>
          <w:r w:rsidR="003B7070" w:rsidRPr="00F25AA7">
            <w:rPr>
              <w:noProof/>
              <w:webHidden/>
            </w:rPr>
            <w:t>37</w:t>
          </w:r>
        </w:p>
        <w:p w:rsidR="008927F4" w:rsidRPr="00141D36" w:rsidRDefault="0083747B" w:rsidP="008927F4">
          <w:pPr>
            <w:pStyle w:val="TOC2"/>
            <w:rPr>
              <w:rStyle w:val="Hyperlink"/>
            </w:rPr>
          </w:pPr>
          <w:r w:rsidRPr="00F25AA7">
            <w:rPr>
              <w:noProof/>
            </w:rPr>
            <w:t>List of attachment tables</w:t>
          </w:r>
          <w:r w:rsidRPr="00F25AA7">
            <w:rPr>
              <w:noProof/>
              <w:webHidden/>
            </w:rPr>
            <w:tab/>
            <w:t>5.</w:t>
          </w:r>
          <w:r w:rsidR="003B7070" w:rsidRPr="00F25AA7">
            <w:rPr>
              <w:noProof/>
              <w:webHidden/>
            </w:rPr>
            <w:t>39</w:t>
          </w:r>
        </w:p>
      </w:sdtContent>
    </w:sdt>
    <w:p w:rsidR="002D3A3F" w:rsidRPr="00141D36" w:rsidRDefault="002D3A3F" w:rsidP="008927F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D3A3F" w:rsidRPr="00141D36" w:rsidTr="00EF6255">
        <w:tc>
          <w:tcPr>
            <w:tcW w:w="8771" w:type="dxa"/>
            <w:tcBorders>
              <w:top w:val="single" w:sz="6" w:space="0" w:color="78A22F"/>
              <w:left w:val="nil"/>
              <w:bottom w:val="nil"/>
              <w:right w:val="nil"/>
            </w:tcBorders>
            <w:shd w:val="clear" w:color="auto" w:fill="F2F2F2"/>
          </w:tcPr>
          <w:p w:rsidR="002D3A3F" w:rsidRPr="00141D36" w:rsidRDefault="002D3A3F" w:rsidP="002F346E">
            <w:pPr>
              <w:pStyle w:val="BoxTitle"/>
            </w:pPr>
            <w:r w:rsidRPr="00141D36">
              <w:t>Attachment tables</w:t>
            </w:r>
          </w:p>
        </w:tc>
      </w:tr>
      <w:tr w:rsidR="002D3A3F" w:rsidRPr="00141D36" w:rsidTr="00EF6255">
        <w:trPr>
          <w:cantSplit/>
        </w:trPr>
        <w:tc>
          <w:tcPr>
            <w:tcW w:w="8771" w:type="dxa"/>
            <w:tcBorders>
              <w:top w:val="nil"/>
              <w:left w:val="nil"/>
              <w:bottom w:val="nil"/>
              <w:right w:val="nil"/>
            </w:tcBorders>
            <w:shd w:val="clear" w:color="auto" w:fill="F2F2F2"/>
          </w:tcPr>
          <w:p w:rsidR="002D3A3F" w:rsidRPr="00141D36" w:rsidRDefault="00EF6255" w:rsidP="00BC1EBE">
            <w:pPr>
              <w:pStyle w:val="Box"/>
            </w:pPr>
            <w:r w:rsidRPr="00141D36">
              <w:t>Attachment tables are identified in references throughout this Indigenous Compendium by an ‘A’ prefix (for e</w:t>
            </w:r>
            <w:r w:rsidR="00133B84" w:rsidRPr="00141D36">
              <w:t xml:space="preserve">xample, in this chapter, table </w:t>
            </w:r>
            <w:proofErr w:type="spellStart"/>
            <w:r w:rsidR="00133B84" w:rsidRPr="00141D36">
              <w:t>5</w:t>
            </w:r>
            <w:r w:rsidRPr="00141D36">
              <w:t>A.1</w:t>
            </w:r>
            <w:proofErr w:type="spellEnd"/>
            <w:r w:rsidRPr="00141D36">
              <w:t>). As the data are directly sourced from the 2015 Report, the Compendium also notes where the original table, figure or text in the 2015</w:t>
            </w:r>
            <w:r w:rsidR="00BC1EBE">
              <w:t> </w:t>
            </w:r>
            <w:r w:rsidRPr="00141D36">
              <w:t xml:space="preserve">Report can be found. For example, where the Compendium refers to ‘2015 Report, p. </w:t>
            </w:r>
            <w:r w:rsidR="00133B84" w:rsidRPr="00141D36">
              <w:t>5</w:t>
            </w:r>
            <w:r w:rsidRPr="00141D36">
              <w:t xml:space="preserve">.1’ this is page 1 of chapter </w:t>
            </w:r>
            <w:r w:rsidR="00133B84" w:rsidRPr="00141D36">
              <w:t>5</w:t>
            </w:r>
            <w:r w:rsidR="00AF7988" w:rsidRPr="00141D36">
              <w:t xml:space="preserve"> of the 2015 Report, and </w:t>
            </w:r>
            <w:r w:rsidRPr="00141D36">
              <w:t xml:space="preserve">‘2015 Report, table </w:t>
            </w:r>
            <w:proofErr w:type="spellStart"/>
            <w:r w:rsidR="00133B84" w:rsidRPr="00141D36">
              <w:t>5</w:t>
            </w:r>
            <w:r w:rsidRPr="00141D36">
              <w:t>A.1</w:t>
            </w:r>
            <w:proofErr w:type="spellEnd"/>
            <w:r w:rsidRPr="00141D36">
              <w:t xml:space="preserve">’ is attachment table 1 of attachment </w:t>
            </w:r>
            <w:proofErr w:type="spellStart"/>
            <w:r w:rsidR="00133B84" w:rsidRPr="00141D36">
              <w:t>5</w:t>
            </w:r>
            <w:r w:rsidRPr="00141D36">
              <w:t>A</w:t>
            </w:r>
            <w:proofErr w:type="spellEnd"/>
            <w:r w:rsidRPr="00141D36">
              <w:t xml:space="preserve"> of the 2015 Report. A list of attachment tables referred to in the Compendium is provided at the end of this chapter, and the full attachment tables are available from the Review website at </w:t>
            </w:r>
            <w:proofErr w:type="spellStart"/>
            <w:r w:rsidR="001B1903" w:rsidRPr="00141D36">
              <w:t>www.pc.gov.au</w:t>
            </w:r>
            <w:proofErr w:type="spellEnd"/>
            <w:r w:rsidR="001B1903" w:rsidRPr="00141D36">
              <w:t>/research/recurring/report-on-government-services</w:t>
            </w:r>
            <w:r w:rsidRPr="00141D36">
              <w:t>.</w:t>
            </w:r>
          </w:p>
        </w:tc>
      </w:tr>
      <w:tr w:rsidR="002D3A3F" w:rsidRPr="00141D36" w:rsidTr="00EF6255">
        <w:trPr>
          <w:cantSplit/>
        </w:trPr>
        <w:tc>
          <w:tcPr>
            <w:tcW w:w="8771" w:type="dxa"/>
            <w:tcBorders>
              <w:top w:val="nil"/>
              <w:left w:val="nil"/>
              <w:bottom w:val="single" w:sz="6" w:space="0" w:color="78A22F"/>
              <w:right w:val="nil"/>
            </w:tcBorders>
            <w:shd w:val="clear" w:color="auto" w:fill="F2F2F2"/>
          </w:tcPr>
          <w:p w:rsidR="002D3A3F" w:rsidRPr="00141D36" w:rsidRDefault="002D3A3F" w:rsidP="002D3A3F">
            <w:pPr>
              <w:keepNext/>
              <w:spacing w:line="120" w:lineRule="exact"/>
              <w:jc w:val="both"/>
              <w:rPr>
                <w:rFonts w:ascii="Arial" w:hAnsi="Arial"/>
                <w:sz w:val="20"/>
                <w:szCs w:val="20"/>
              </w:rPr>
            </w:pPr>
          </w:p>
        </w:tc>
      </w:tr>
      <w:tr w:rsidR="007664DC" w:rsidRPr="00141D36" w:rsidTr="00EF6255">
        <w:tc>
          <w:tcPr>
            <w:tcW w:w="8771" w:type="dxa"/>
            <w:tcBorders>
              <w:top w:val="single" w:sz="6" w:space="0" w:color="78A22F"/>
              <w:left w:val="nil"/>
              <w:bottom w:val="nil"/>
              <w:right w:val="nil"/>
            </w:tcBorders>
          </w:tcPr>
          <w:p w:rsidR="007664DC" w:rsidRPr="00141D36" w:rsidRDefault="007664DC" w:rsidP="00D57D33">
            <w:pPr>
              <w:pStyle w:val="BoxSpaceBelow"/>
            </w:pPr>
          </w:p>
        </w:tc>
      </w:tr>
    </w:tbl>
    <w:p w:rsidR="00133B84" w:rsidRPr="00141D36" w:rsidRDefault="00133B84" w:rsidP="00133B84">
      <w:pPr>
        <w:pStyle w:val="BodyText"/>
      </w:pPr>
      <w:r w:rsidRPr="00141D36">
        <w:t xml:space="preserve">The Vocational education and training (VET) chapter (chapter 5) in the </w:t>
      </w:r>
      <w:r w:rsidRPr="00141D36">
        <w:rPr>
          <w:i/>
        </w:rPr>
        <w:t>Report on Government Services 2015</w:t>
      </w:r>
      <w:r w:rsidRPr="00141D36">
        <w:t xml:space="preserve"> (2015 Report) reports performance information about the equity, effectiveness and efficiency of government</w:t>
      </w:r>
      <w:r w:rsidR="001B1903" w:rsidRPr="00141D36">
        <w:t xml:space="preserve"> funded</w:t>
      </w:r>
      <w:r w:rsidRPr="00141D36">
        <w:t xml:space="preserve"> VET in Australia. Data are reported for </w:t>
      </w:r>
      <w:r w:rsidR="00E84FA8" w:rsidRPr="00141D36">
        <w:t xml:space="preserve">Aboriginal and Torres Strait Islander Australians </w:t>
      </w:r>
      <w:r w:rsidRPr="00141D36">
        <w:t>for a subset of the performance indicators reported in that chapter — those data are compiled and presented here.</w:t>
      </w:r>
    </w:p>
    <w:p w:rsidR="00133B84" w:rsidRPr="00141D36" w:rsidRDefault="00133B84" w:rsidP="00133B84">
      <w:pPr>
        <w:pStyle w:val="BodyText"/>
      </w:pPr>
      <w:r w:rsidRPr="00141D36">
        <w:t>The VET system (including apprenticeships and traineeships) delivers employment related skills across a wide range of vocations. It provides Australians with the skills to enter or re</w:t>
      </w:r>
      <w:r w:rsidR="001B1903" w:rsidRPr="00141D36">
        <w:noBreakHyphen/>
      </w:r>
      <w:r w:rsidRPr="00141D36">
        <w:t>enter the labour force, retrain for a new job or upgrade skills for an existing job. The VET system includes government and privately funded VET delivered through a number of methods by a wide range of training institutions and enterprises.</w:t>
      </w:r>
    </w:p>
    <w:p w:rsidR="00133B84" w:rsidRPr="00141D36" w:rsidRDefault="00133B84" w:rsidP="00133B84">
      <w:pPr>
        <w:pStyle w:val="BodyText"/>
      </w:pPr>
      <w:r w:rsidRPr="00141D36">
        <w:lastRenderedPageBreak/>
        <w:t xml:space="preserve">The focus of this chapter is on VET services delivered by providers receiving government funding, which includes training activity funded under the </w:t>
      </w:r>
      <w:r w:rsidRPr="00141D36">
        <w:rPr>
          <w:i/>
        </w:rPr>
        <w:t>National Agreement for Skills and Workforce Development</w:t>
      </w:r>
      <w:r w:rsidRPr="00141D36">
        <w:t xml:space="preserve"> (</w:t>
      </w:r>
      <w:proofErr w:type="spellStart"/>
      <w:r w:rsidRPr="00141D36">
        <w:t>NASWD</w:t>
      </w:r>
      <w:proofErr w:type="spellEnd"/>
      <w:r w:rsidRPr="00141D36">
        <w:t>). These services include the provision of VET programs in government owned technical and further education (TAFE) institutes and universities with TAFE divisions, other government and community institutions, and government funded activity by private registered training organisations (</w:t>
      </w:r>
      <w:proofErr w:type="spellStart"/>
      <w:r w:rsidRPr="00141D36">
        <w:t>RTOs</w:t>
      </w:r>
      <w:proofErr w:type="spellEnd"/>
      <w:r w:rsidRPr="00141D36">
        <w:t xml:space="preserve">). The scope of this chapter does not extend to VET services provided in schools (which are within the scope of School education, chapter 4) or university education (some information on university education is included in the Child care, education and training sector </w:t>
      </w:r>
      <w:r w:rsidRPr="00141D36">
        <w:br/>
        <w:t>overview B).</w:t>
      </w:r>
    </w:p>
    <w:p w:rsidR="00133B84" w:rsidRPr="00141D36" w:rsidRDefault="00846859" w:rsidP="00133B84">
      <w:pPr>
        <w:pStyle w:val="Heading3"/>
        <w:rPr>
          <w:lang w:val="en-GB"/>
        </w:rPr>
      </w:pPr>
      <w:bookmarkStart w:id="2" w:name="_Toc257810125"/>
      <w:bookmarkStart w:id="3" w:name="_Toc290287691"/>
      <w:bookmarkStart w:id="4" w:name="_Toc320806157"/>
      <w:bookmarkStart w:id="5" w:name="_Toc347391917"/>
      <w:bookmarkStart w:id="6" w:name="_Toc347740689"/>
      <w:bookmarkStart w:id="7" w:name="_Toc347740723"/>
      <w:bookmarkStart w:id="8" w:name="_Toc347740809"/>
      <w:bookmarkStart w:id="9" w:name="_Toc347741297"/>
      <w:bookmarkStart w:id="10" w:name="_Toc351472994"/>
      <w:bookmarkStart w:id="11" w:name="_Toc380387990"/>
      <w:bookmarkStart w:id="12" w:name="_Toc382468094"/>
      <w:bookmarkStart w:id="13" w:name="_Toc383521443"/>
      <w:bookmarkStart w:id="14" w:name="_Toc410731937"/>
      <w:r w:rsidRPr="00141D36">
        <w:t xml:space="preserve">Aboriginal and Torres Strait Islander data in the </w:t>
      </w:r>
      <w:r w:rsidR="00133B84" w:rsidRPr="00141D36">
        <w:rPr>
          <w:lang w:val="en-GB"/>
        </w:rPr>
        <w:t>Vocational education and training chapter</w:t>
      </w:r>
      <w:bookmarkEnd w:id="2"/>
      <w:bookmarkEnd w:id="3"/>
      <w:bookmarkEnd w:id="4"/>
      <w:bookmarkEnd w:id="5"/>
      <w:bookmarkEnd w:id="6"/>
      <w:bookmarkEnd w:id="7"/>
      <w:bookmarkEnd w:id="8"/>
      <w:bookmarkEnd w:id="9"/>
      <w:bookmarkEnd w:id="10"/>
      <w:bookmarkEnd w:id="11"/>
      <w:bookmarkEnd w:id="12"/>
      <w:bookmarkEnd w:id="13"/>
      <w:bookmarkEnd w:id="14"/>
    </w:p>
    <w:p w:rsidR="00133B84" w:rsidRPr="00141D36" w:rsidRDefault="00133B84" w:rsidP="00133B84">
      <w:pPr>
        <w:pStyle w:val="BodyText"/>
      </w:pPr>
      <w:r w:rsidRPr="00141D36">
        <w:t>The Vocational education and training chapter in the 201</w:t>
      </w:r>
      <w:r w:rsidR="00686F48" w:rsidRPr="00141D36">
        <w:t>5</w:t>
      </w:r>
      <w:r w:rsidRPr="00141D36">
        <w:t xml:space="preserve"> Repo</w:t>
      </w:r>
      <w:r w:rsidR="001B1903" w:rsidRPr="00141D36">
        <w:t xml:space="preserve">rt contains the following data </w:t>
      </w:r>
      <w:r w:rsidRPr="00141D36">
        <w:t xml:space="preserve">on </w:t>
      </w:r>
      <w:r w:rsidR="003E6FD8" w:rsidRPr="00141D36">
        <w:t>Aboriginal and Torres Strait Islander Australians</w:t>
      </w:r>
      <w:r w:rsidRPr="00141D36">
        <w:t>:</w:t>
      </w:r>
    </w:p>
    <w:p w:rsidR="00133B84" w:rsidRPr="00141D36" w:rsidRDefault="00133B84" w:rsidP="00133B84">
      <w:pPr>
        <w:pStyle w:val="ListBullet"/>
        <w:spacing w:line="320" w:lineRule="atLeast"/>
      </w:pPr>
      <w:r w:rsidRPr="00141D36">
        <w:t>VET participation rate</w:t>
      </w:r>
    </w:p>
    <w:p w:rsidR="00133B84" w:rsidRPr="00141D36" w:rsidRDefault="00133B84" w:rsidP="00133B84">
      <w:pPr>
        <w:pStyle w:val="ListBullet"/>
        <w:spacing w:line="320" w:lineRule="atLeast"/>
      </w:pPr>
      <w:r w:rsidRPr="00141D36">
        <w:t>VET participation, by Indigenous status</w:t>
      </w:r>
    </w:p>
    <w:p w:rsidR="00133B84" w:rsidRPr="00141D36" w:rsidRDefault="00133B84" w:rsidP="00133B84">
      <w:pPr>
        <w:pStyle w:val="ListBullet"/>
        <w:spacing w:line="320" w:lineRule="atLeast"/>
      </w:pPr>
      <w:r w:rsidRPr="00141D36">
        <w:t>VET participation in Certificate III and above, by target age group</w:t>
      </w:r>
    </w:p>
    <w:p w:rsidR="00133B84" w:rsidRPr="00141D36" w:rsidRDefault="00687348" w:rsidP="00133B84">
      <w:pPr>
        <w:pStyle w:val="ListBullet"/>
        <w:spacing w:line="320" w:lineRule="atLeast"/>
      </w:pPr>
      <w:r w:rsidRPr="00141D36">
        <w:t>VET participation in d</w:t>
      </w:r>
      <w:r w:rsidR="00133B84" w:rsidRPr="00141D36">
        <w:t>iploma and above, by target age group</w:t>
      </w:r>
    </w:p>
    <w:p w:rsidR="00133B84" w:rsidRPr="00141D36" w:rsidRDefault="00133B84" w:rsidP="00133B84">
      <w:pPr>
        <w:pStyle w:val="ListBullet"/>
        <w:spacing w:line="320" w:lineRule="atLeast"/>
      </w:pPr>
      <w:r w:rsidRPr="00141D36">
        <w:t>proportion of government funded VET graduates who were employed and/or continued on to further study after completing their course</w:t>
      </w:r>
    </w:p>
    <w:p w:rsidR="00133B84" w:rsidRPr="00141D36" w:rsidRDefault="00133B84" w:rsidP="00133B84">
      <w:pPr>
        <w:pStyle w:val="ListBullet"/>
        <w:spacing w:line="320" w:lineRule="atLeast"/>
      </w:pPr>
      <w:r w:rsidRPr="00141D36">
        <w:t>labour force status after the course of VET graduates who were unemployed prior to the course</w:t>
      </w:r>
    </w:p>
    <w:p w:rsidR="00133B84" w:rsidRPr="00141D36" w:rsidRDefault="00133B84" w:rsidP="00133B84">
      <w:pPr>
        <w:pStyle w:val="ListBullet"/>
        <w:spacing w:line="320" w:lineRule="atLeast"/>
      </w:pPr>
      <w:r w:rsidRPr="00141D36">
        <w:t>VET graduates who undertook their course for employment related reasons, by job related benefits</w:t>
      </w:r>
    </w:p>
    <w:p w:rsidR="00133B84" w:rsidRPr="00141D36" w:rsidRDefault="00133B84" w:rsidP="00133B84">
      <w:pPr>
        <w:pStyle w:val="ListBullet"/>
        <w:spacing w:line="320" w:lineRule="atLeast"/>
      </w:pPr>
      <w:r w:rsidRPr="00141D36">
        <w:t>proportion of VET graduates who improved their employment circumstances after training</w:t>
      </w:r>
    </w:p>
    <w:p w:rsidR="00133B84" w:rsidRPr="00141D36" w:rsidRDefault="00133B84" w:rsidP="00133B84">
      <w:pPr>
        <w:pStyle w:val="ListBullet"/>
        <w:spacing w:line="320" w:lineRule="atLeast"/>
      </w:pPr>
      <w:r w:rsidRPr="00141D36">
        <w:t>load pass rate</w:t>
      </w:r>
    </w:p>
    <w:p w:rsidR="00133B84" w:rsidRPr="00141D36" w:rsidRDefault="00133B84" w:rsidP="00133B84">
      <w:pPr>
        <w:pStyle w:val="ListBullet"/>
        <w:spacing w:line="320" w:lineRule="atLeast"/>
      </w:pPr>
      <w:r w:rsidRPr="00141D36">
        <w:t xml:space="preserve">VET qualification completions by all students with improved education/training status after training, as a per cent of course enrolments by all students undertaking </w:t>
      </w:r>
      <w:proofErr w:type="spellStart"/>
      <w:r w:rsidRPr="00141D36">
        <w:t>AQF</w:t>
      </w:r>
      <w:proofErr w:type="spellEnd"/>
      <w:r w:rsidRPr="00141D36">
        <w:t xml:space="preserve"> qualifications</w:t>
      </w:r>
    </w:p>
    <w:p w:rsidR="00133B84" w:rsidRPr="00141D36" w:rsidRDefault="00133B84" w:rsidP="00133B84">
      <w:pPr>
        <w:pStyle w:val="ListBullet"/>
        <w:spacing w:line="320" w:lineRule="atLeast"/>
      </w:pPr>
      <w:r w:rsidRPr="00141D36">
        <w:t>whether course helped graduates achieve their main reason for undertaking training</w:t>
      </w:r>
    </w:p>
    <w:p w:rsidR="00133B84" w:rsidRPr="00141D36" w:rsidRDefault="00133B84" w:rsidP="00133B84">
      <w:pPr>
        <w:pStyle w:val="ListBullet"/>
        <w:spacing w:line="320" w:lineRule="atLeast"/>
      </w:pPr>
      <w:r w:rsidRPr="00141D36">
        <w:t>proportion of graduates who were satisfied with the quality of their completed course, by purpose of study</w:t>
      </w:r>
    </w:p>
    <w:p w:rsidR="00133B84" w:rsidRPr="00141D36" w:rsidRDefault="00133B84" w:rsidP="00133B84">
      <w:pPr>
        <w:pStyle w:val="ListBullet"/>
        <w:spacing w:line="320" w:lineRule="atLeast"/>
      </w:pPr>
      <w:r w:rsidRPr="00141D36">
        <w:t>number of VET qualifications completed</w:t>
      </w:r>
    </w:p>
    <w:p w:rsidR="00133B84" w:rsidRPr="00141D36" w:rsidRDefault="00133B84" w:rsidP="00133B84">
      <w:pPr>
        <w:pStyle w:val="ListBullet"/>
        <w:spacing w:line="320" w:lineRule="atLeast"/>
      </w:pPr>
      <w:r w:rsidRPr="00141D36">
        <w:t>VET qualifications completed by course level and by target age group</w:t>
      </w:r>
    </w:p>
    <w:p w:rsidR="00133B84" w:rsidRPr="00141D36" w:rsidRDefault="00133B84" w:rsidP="00133B84">
      <w:pPr>
        <w:pStyle w:val="ListBullet"/>
        <w:spacing w:line="320" w:lineRule="atLeast"/>
      </w:pPr>
      <w:r w:rsidRPr="00141D36">
        <w:lastRenderedPageBreak/>
        <w:t>qualification equivalents</w:t>
      </w:r>
    </w:p>
    <w:p w:rsidR="00133B84" w:rsidRPr="00141D36" w:rsidRDefault="00133B84" w:rsidP="00133B84">
      <w:pPr>
        <w:pStyle w:val="ListBullet"/>
        <w:spacing w:line="320" w:lineRule="atLeast"/>
      </w:pPr>
      <w:r w:rsidRPr="00141D36">
        <w:t>number of units of competency and modules completed.</w:t>
      </w:r>
    </w:p>
    <w:p w:rsidR="00133B84" w:rsidRPr="00141D36" w:rsidRDefault="00687348" w:rsidP="00687348">
      <w:pPr>
        <w:pStyle w:val="Heading3"/>
        <w:rPr>
          <w:lang w:val="en-GB"/>
        </w:rPr>
      </w:pPr>
      <w:bookmarkStart w:id="15" w:name="_Toc410731938"/>
      <w:r w:rsidRPr="00141D36">
        <w:rPr>
          <w:lang w:val="en-GB"/>
        </w:rPr>
        <w:t>Framework of performance indicators</w:t>
      </w:r>
      <w:bookmarkEnd w:id="15"/>
    </w:p>
    <w:p w:rsidR="00687348" w:rsidRPr="00141D36" w:rsidRDefault="00687348" w:rsidP="00687348">
      <w:pPr>
        <w:pStyle w:val="BodyText"/>
      </w:pPr>
      <w:r w:rsidRPr="00141D36">
        <w:t xml:space="preserve">The VET performance indicator framework outlined in figure 5.1 identifies the principal VET activity areas considered in the 2015 Report. Data for </w:t>
      </w:r>
      <w:r w:rsidR="001B1903" w:rsidRPr="00141D36">
        <w:t xml:space="preserve">Aboriginal and Torres Strait Islander </w:t>
      </w:r>
      <w:r w:rsidRPr="00141D36">
        <w:t>people are reported for a subset of the performance indicators and are presented here. It is important to interpret these data in the context of the broader performance indicator framework. The framework shows which data are comparable. For data that are not considered directly comparable, the text includes relevant caveats and supporting commentary.</w:t>
      </w:r>
    </w:p>
    <w:p w:rsidR="00687348" w:rsidRPr="00141D36" w:rsidRDefault="00687348" w:rsidP="00687348">
      <w:pPr>
        <w:pStyle w:val="BodyText"/>
      </w:pPr>
      <w:r w:rsidRPr="00141D36">
        <w:t xml:space="preserve">Indicator boxes presented throughout the chapter provide information about the reported indicators. As these are sourced directly from the 2015 Report, they may include references to data not reported for </w:t>
      </w:r>
      <w:r w:rsidR="001B1903" w:rsidRPr="00141D36">
        <w:t xml:space="preserve">Aboriginal and Torres Strait Islander </w:t>
      </w:r>
      <w:r w:rsidRPr="00141D36">
        <w:t>people and therefore not included in this Compendium.</w:t>
      </w:r>
    </w:p>
    <w:p w:rsidR="00133B84" w:rsidRPr="00141D36" w:rsidRDefault="001B1903" w:rsidP="00133B84">
      <w:pPr>
        <w:pStyle w:val="BodyText"/>
        <w:rPr>
          <w:szCs w:val="26"/>
        </w:rPr>
      </w:pPr>
      <w:proofErr w:type="spellStart"/>
      <w:r w:rsidRPr="00141D36">
        <w:t>COAG</w:t>
      </w:r>
      <w:proofErr w:type="spellEnd"/>
      <w:r w:rsidR="00133B84" w:rsidRPr="00141D36">
        <w:t xml:space="preserve"> has agreed six National Agreements to enhance accountability to the public for the outcomes achieved or outputs delivered by a range of government services (see chapter 1 for more detail on reforms to federal financial relations).</w:t>
      </w:r>
    </w:p>
    <w:p w:rsidR="00133B84" w:rsidRPr="00141D36" w:rsidRDefault="00133B84" w:rsidP="00133B84">
      <w:pPr>
        <w:pStyle w:val="BodyText"/>
        <w:shd w:val="clear" w:color="auto" w:fill="FFFFFF" w:themeFill="background1"/>
        <w:rPr>
          <w:szCs w:val="26"/>
        </w:rPr>
      </w:pPr>
      <w:r w:rsidRPr="00141D36">
        <w:rPr>
          <w:szCs w:val="26"/>
        </w:rPr>
        <w:t xml:space="preserve">The </w:t>
      </w:r>
      <w:proofErr w:type="spellStart"/>
      <w:r w:rsidRPr="00141D36">
        <w:rPr>
          <w:szCs w:val="26"/>
        </w:rPr>
        <w:t>NASWD</w:t>
      </w:r>
      <w:proofErr w:type="spellEnd"/>
      <w:r w:rsidRPr="00141D36">
        <w:rPr>
          <w:szCs w:val="26"/>
        </w:rPr>
        <w:t xml:space="preserve"> covers the areas of VET, and education and training indicators in the </w:t>
      </w:r>
      <w:r w:rsidRPr="00141D36">
        <w:rPr>
          <w:i/>
          <w:szCs w:val="26"/>
        </w:rPr>
        <w:t>National Indigenous Reform Agreement</w:t>
      </w:r>
      <w:r w:rsidRPr="00141D36">
        <w:rPr>
          <w:szCs w:val="26"/>
        </w:rPr>
        <w:t xml:space="preserve"> (</w:t>
      </w:r>
      <w:proofErr w:type="spellStart"/>
      <w:r w:rsidRPr="00141D36">
        <w:rPr>
          <w:szCs w:val="26"/>
        </w:rPr>
        <w:t>NIRA</w:t>
      </w:r>
      <w:proofErr w:type="spellEnd"/>
      <w:r w:rsidRPr="00141D36">
        <w:rPr>
          <w:szCs w:val="26"/>
        </w:rPr>
        <w:t>) establish specific outcomes for reducing the level of disadvantage experienced by Aboriginal and Torres Strait Islander Australians. Performance indicators reported in this chapter are aligned with VET performance indicators in the most recent versio</w:t>
      </w:r>
      <w:r w:rsidR="00687348" w:rsidRPr="00141D36">
        <w:rPr>
          <w:szCs w:val="26"/>
        </w:rPr>
        <w:t xml:space="preserve">n of the </w:t>
      </w:r>
      <w:proofErr w:type="spellStart"/>
      <w:r w:rsidR="00687348" w:rsidRPr="00141D36">
        <w:rPr>
          <w:szCs w:val="26"/>
        </w:rPr>
        <w:t>NASWD</w:t>
      </w:r>
      <w:proofErr w:type="spellEnd"/>
      <w:r w:rsidR="00687348" w:rsidRPr="00141D36">
        <w:rPr>
          <w:szCs w:val="26"/>
        </w:rPr>
        <w:t>, where relevant.</w:t>
      </w:r>
    </w:p>
    <w:p w:rsidR="00133B84" w:rsidRPr="00141D36" w:rsidRDefault="00133B84" w:rsidP="00133B84">
      <w:pPr>
        <w:pStyle w:val="BodyText"/>
        <w:shd w:val="clear" w:color="auto" w:fill="FFFFFF" w:themeFill="background1"/>
      </w:pPr>
      <w:r w:rsidRPr="00141D36">
        <w:t xml:space="preserve">The Report’s statistical context chapter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w:t>
      </w:r>
      <w:r w:rsidR="00D24DE5" w:rsidRPr="00141D36">
        <w:t xml:space="preserve">Aboriginal and Torres Strait Islander and ethnic </w:t>
      </w:r>
      <w:r w:rsidRPr="00141D36">
        <w:t>status) (chapter 2).</w:t>
      </w:r>
    </w:p>
    <w:p w:rsidR="00133B84" w:rsidRPr="00141D36" w:rsidRDefault="00133B84" w:rsidP="00133B8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33B84" w:rsidRPr="00141D36" w:rsidTr="00133B84">
        <w:tc>
          <w:tcPr>
            <w:tcW w:w="8771" w:type="dxa"/>
            <w:tcBorders>
              <w:top w:val="single" w:sz="6" w:space="0" w:color="78A22F"/>
              <w:left w:val="nil"/>
              <w:bottom w:val="nil"/>
              <w:right w:val="nil"/>
            </w:tcBorders>
            <w:shd w:val="clear" w:color="auto" w:fill="auto"/>
          </w:tcPr>
          <w:p w:rsidR="00133B84" w:rsidRPr="00141D36" w:rsidRDefault="00133B84" w:rsidP="00687348">
            <w:pPr>
              <w:pStyle w:val="FigureTitle"/>
            </w:pPr>
            <w:r w:rsidRPr="00141D36">
              <w:rPr>
                <w:b w:val="0"/>
              </w:rPr>
              <w:t>Figure 5.</w:t>
            </w:r>
            <w:r w:rsidR="00687348" w:rsidRPr="00141D36">
              <w:rPr>
                <w:b w:val="0"/>
                <w:noProof/>
              </w:rPr>
              <w:t>1</w:t>
            </w:r>
            <w:r w:rsidRPr="00141D36">
              <w:tab/>
              <w:t xml:space="preserve">VET </w:t>
            </w:r>
            <w:r w:rsidR="00687348" w:rsidRPr="00141D36">
              <w:t>performance indicator framework</w:t>
            </w:r>
          </w:p>
        </w:tc>
      </w:tr>
      <w:tr w:rsidR="00133B84" w:rsidRPr="00141D36" w:rsidTr="00133B84">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133B84" w:rsidRPr="00141D36" w:rsidTr="00133B84">
              <w:tc>
                <w:tcPr>
                  <w:tcW w:w="5000" w:type="pct"/>
                  <w:tcBorders>
                    <w:top w:val="nil"/>
                    <w:bottom w:val="nil"/>
                  </w:tcBorders>
                </w:tcPr>
                <w:p w:rsidR="00133B84" w:rsidRPr="00141D36" w:rsidRDefault="00133B84" w:rsidP="00133B84">
                  <w:pPr>
                    <w:pStyle w:val="Figure"/>
                    <w:spacing w:before="60" w:after="60"/>
                  </w:pPr>
                  <w:r w:rsidRPr="00141D36">
                    <w:rPr>
                      <w:noProof/>
                    </w:rPr>
                    <w:drawing>
                      <wp:inline distT="0" distB="0" distL="0" distR="0" wp14:anchorId="08A8DCE2" wp14:editId="512E86CB">
                        <wp:extent cx="5381625" cy="4105275"/>
                        <wp:effectExtent l="0" t="0" r="9525" b="9525"/>
                        <wp:docPr id="2" name="Picture 2" descr="Figure 5.4 VET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81625" cy="4105275"/>
                                </a:xfrm>
                                <a:prstGeom prst="rect">
                                  <a:avLst/>
                                </a:prstGeom>
                                <a:noFill/>
                                <a:ln>
                                  <a:noFill/>
                                </a:ln>
                              </pic:spPr>
                            </pic:pic>
                          </a:graphicData>
                        </a:graphic>
                      </wp:inline>
                    </w:drawing>
                  </w:r>
                </w:p>
              </w:tc>
            </w:tr>
          </w:tbl>
          <w:p w:rsidR="00133B84" w:rsidRPr="00141D36" w:rsidRDefault="00133B84" w:rsidP="00133B84">
            <w:pPr>
              <w:pStyle w:val="Figure"/>
            </w:pPr>
          </w:p>
        </w:tc>
      </w:tr>
      <w:tr w:rsidR="00133B84" w:rsidRPr="00141D36" w:rsidTr="00133B84">
        <w:tc>
          <w:tcPr>
            <w:tcW w:w="8771" w:type="dxa"/>
            <w:tcBorders>
              <w:top w:val="nil"/>
              <w:left w:val="nil"/>
              <w:bottom w:val="single" w:sz="6" w:space="0" w:color="78A22F"/>
              <w:right w:val="nil"/>
            </w:tcBorders>
            <w:shd w:val="clear" w:color="auto" w:fill="auto"/>
          </w:tcPr>
          <w:p w:rsidR="00133B84" w:rsidRPr="00141D36" w:rsidRDefault="00133B84" w:rsidP="00133B84">
            <w:pPr>
              <w:pStyle w:val="Figurespace"/>
            </w:pPr>
          </w:p>
        </w:tc>
      </w:tr>
      <w:tr w:rsidR="007664DC" w:rsidRPr="00141D36" w:rsidTr="00133B84">
        <w:tc>
          <w:tcPr>
            <w:tcW w:w="8771" w:type="dxa"/>
            <w:tcBorders>
              <w:top w:val="single" w:sz="6" w:space="0" w:color="78A22F"/>
              <w:left w:val="nil"/>
              <w:bottom w:val="nil"/>
              <w:right w:val="nil"/>
            </w:tcBorders>
          </w:tcPr>
          <w:p w:rsidR="007664DC" w:rsidRPr="00141D36" w:rsidRDefault="007664DC" w:rsidP="00D57D33">
            <w:pPr>
              <w:pStyle w:val="BoxSpaceBelow"/>
            </w:pPr>
          </w:p>
        </w:tc>
      </w:tr>
    </w:tbl>
    <w:p w:rsidR="00687348" w:rsidRPr="00141D36" w:rsidRDefault="00687348" w:rsidP="00687348">
      <w:pPr>
        <w:pStyle w:val="Source"/>
      </w:pPr>
      <w:bookmarkStart w:id="16" w:name="_Toc274747915"/>
      <w:r w:rsidRPr="00141D36">
        <w:rPr>
          <w:i/>
        </w:rPr>
        <w:t>Source</w:t>
      </w:r>
      <w:r w:rsidRPr="00141D36">
        <w:t>: 2015 Report, figure 5.</w:t>
      </w:r>
      <w:r w:rsidR="00D57D33" w:rsidRPr="00141D36">
        <w:t>4</w:t>
      </w:r>
      <w:r w:rsidRPr="00141D36">
        <w:t>2, p. 5.</w:t>
      </w:r>
      <w:r w:rsidR="00D57D33" w:rsidRPr="00141D36">
        <w:t>13</w:t>
      </w:r>
      <w:r w:rsidRPr="00141D36">
        <w:t>.</w:t>
      </w:r>
    </w:p>
    <w:p w:rsidR="00133B84" w:rsidRPr="00141D36" w:rsidRDefault="00687348" w:rsidP="00687348">
      <w:pPr>
        <w:pStyle w:val="Heading3"/>
      </w:pPr>
      <w:bookmarkStart w:id="17" w:name="_Toc410731939"/>
      <w:bookmarkEnd w:id="16"/>
      <w:r w:rsidRPr="00141D36">
        <w:t>Equity</w:t>
      </w:r>
      <w:bookmarkEnd w:id="17"/>
    </w:p>
    <w:p w:rsidR="00133B84" w:rsidRPr="00141D36" w:rsidRDefault="00133B84" w:rsidP="00133B84">
      <w:pPr>
        <w:pStyle w:val="BodyText"/>
      </w:pPr>
      <w:r w:rsidRPr="00141D36">
        <w:t xml:space="preserve">A key national goal of the VET system is to increase opportunities and outcomes for disadvantaged </w:t>
      </w:r>
      <w:r w:rsidRPr="00141D36">
        <w:rPr>
          <w:shd w:val="clear" w:color="auto" w:fill="FFFFFF" w:themeFill="background1"/>
        </w:rPr>
        <w:t>groups. For this report,</w:t>
      </w:r>
      <w:r w:rsidRPr="00141D36">
        <w:t xml:space="preserve"> the designated equity groups are Aboriginal and Torres Strait Islander people, residents of remote and very remote areas, people with disability and people speaking a language other than English at home. This section includes indicators of access to VET by these target groups.</w:t>
      </w:r>
    </w:p>
    <w:p w:rsidR="00133B84" w:rsidRPr="00141D36" w:rsidRDefault="00133B84" w:rsidP="00133B84">
      <w:pPr>
        <w:pStyle w:val="Heading5"/>
      </w:pPr>
      <w:r w:rsidRPr="00141D36">
        <w:t>VET participation by target group</w:t>
      </w:r>
    </w:p>
    <w:p w:rsidR="00133B84" w:rsidRPr="00141D36" w:rsidRDefault="00133B84" w:rsidP="00133B84">
      <w:pPr>
        <w:pStyle w:val="BodyText"/>
      </w:pPr>
      <w:r w:rsidRPr="00141D36">
        <w:t>‘VET participation by target group’ is an indicator of governments’ objective to achieve equitable access to the VET system by target groups (box 5.</w:t>
      </w:r>
      <w:r w:rsidR="008E6BDC" w:rsidRPr="00141D36">
        <w:t>1</w:t>
      </w:r>
      <w:r w:rsidRPr="00141D36">
        <w:t>).</w:t>
      </w:r>
    </w:p>
    <w:p w:rsidR="00133B84" w:rsidRPr="00141D36" w:rsidRDefault="00133B84" w:rsidP="00133B8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33B84" w:rsidRPr="00141D36" w:rsidTr="00133B84">
        <w:tc>
          <w:tcPr>
            <w:tcW w:w="8771" w:type="dxa"/>
            <w:tcBorders>
              <w:top w:val="single" w:sz="6" w:space="0" w:color="78A22F"/>
              <w:left w:val="nil"/>
              <w:bottom w:val="nil"/>
              <w:right w:val="nil"/>
            </w:tcBorders>
            <w:shd w:val="clear" w:color="auto" w:fill="F2F2F2" w:themeFill="background1" w:themeFillShade="F2"/>
          </w:tcPr>
          <w:p w:rsidR="00133B84" w:rsidRPr="00141D36" w:rsidRDefault="00133B84" w:rsidP="008E6BDC">
            <w:pPr>
              <w:pStyle w:val="BoxTitle"/>
            </w:pPr>
            <w:r w:rsidRPr="00141D36">
              <w:rPr>
                <w:b w:val="0"/>
              </w:rPr>
              <w:t>Box 5.</w:t>
            </w:r>
            <w:r w:rsidR="008E6BDC" w:rsidRPr="00141D36">
              <w:rPr>
                <w:b w:val="0"/>
                <w:noProof/>
              </w:rPr>
              <w:t>1</w:t>
            </w:r>
            <w:r w:rsidRPr="00141D36">
              <w:tab/>
              <w:t>VET participation by target group</w:t>
            </w:r>
          </w:p>
        </w:tc>
      </w:tr>
      <w:tr w:rsidR="00133B84" w:rsidRPr="00141D36" w:rsidTr="00133B84">
        <w:trPr>
          <w:cantSplit/>
        </w:trPr>
        <w:tc>
          <w:tcPr>
            <w:tcW w:w="8771" w:type="dxa"/>
            <w:tcBorders>
              <w:top w:val="nil"/>
              <w:left w:val="nil"/>
              <w:bottom w:val="nil"/>
              <w:right w:val="nil"/>
            </w:tcBorders>
            <w:shd w:val="clear" w:color="auto" w:fill="F2F2F2" w:themeFill="background1" w:themeFillShade="F2"/>
          </w:tcPr>
          <w:p w:rsidR="00133B84" w:rsidRPr="00141D36" w:rsidRDefault="00133B84" w:rsidP="00133B84">
            <w:pPr>
              <w:pStyle w:val="Box"/>
            </w:pPr>
            <w:r w:rsidRPr="00141D36">
              <w:t>‘VET participation by target group’ is defined as the number of government funded participants in the VET system who self-identified that they are from a target group, as a proportion of the total number of people in the population in that group. The four target groups are:</w:t>
            </w:r>
          </w:p>
          <w:p w:rsidR="00133B84" w:rsidRPr="00141D36" w:rsidRDefault="00133B84" w:rsidP="00133B84">
            <w:pPr>
              <w:pStyle w:val="BoxListBullet"/>
            </w:pPr>
            <w:r w:rsidRPr="00141D36">
              <w:t>Aboriginal and Torres Strait Islander people</w:t>
            </w:r>
          </w:p>
          <w:p w:rsidR="00133B84" w:rsidRPr="00141D36" w:rsidRDefault="00133B84" w:rsidP="00133B84">
            <w:pPr>
              <w:pStyle w:val="BoxListBullet"/>
            </w:pPr>
            <w:r w:rsidRPr="00141D36">
              <w:t>people from remote and very remote areas</w:t>
            </w:r>
          </w:p>
          <w:p w:rsidR="00133B84" w:rsidRPr="00141D36" w:rsidRDefault="00133B84" w:rsidP="00133B84">
            <w:pPr>
              <w:pStyle w:val="BoxListBullet"/>
            </w:pPr>
            <w:r w:rsidRPr="00141D36">
              <w:t>people with disability</w:t>
            </w:r>
          </w:p>
          <w:p w:rsidR="00133B84" w:rsidRPr="00141D36" w:rsidRDefault="00133B84" w:rsidP="00133B84">
            <w:pPr>
              <w:pStyle w:val="BoxListBullet"/>
            </w:pPr>
            <w:r w:rsidRPr="00141D36">
              <w:t>people speaking a language other than English (</w:t>
            </w:r>
            <w:proofErr w:type="spellStart"/>
            <w:r w:rsidRPr="00141D36">
              <w:t>LOTE</w:t>
            </w:r>
            <w:proofErr w:type="spellEnd"/>
            <w:r w:rsidRPr="00141D36">
              <w:t>) at home.</w:t>
            </w:r>
          </w:p>
          <w:p w:rsidR="00133B84" w:rsidRPr="00141D36" w:rsidRDefault="00133B84" w:rsidP="00133B84">
            <w:pPr>
              <w:pStyle w:val="Box"/>
            </w:pPr>
            <w:r w:rsidRPr="00141D36">
              <w:t>It is desirable that VET participation by target group is at a similar level to that for all students. A lower participation rate means the target group is under</w:t>
            </w:r>
            <w:r w:rsidR="00D24DE5" w:rsidRPr="00141D36">
              <w:t>-</w:t>
            </w:r>
            <w:r w:rsidRPr="00141D36">
              <w:t>represented in VET; a higher participation rate means the group is over</w:t>
            </w:r>
            <w:r w:rsidR="00D24DE5" w:rsidRPr="00141D36">
              <w:t>-</w:t>
            </w:r>
            <w:r w:rsidRPr="00141D36">
              <w:t>represented in VET.</w:t>
            </w:r>
          </w:p>
          <w:p w:rsidR="00133B84" w:rsidRPr="00141D36" w:rsidRDefault="00133B84" w:rsidP="00133B84">
            <w:pPr>
              <w:pStyle w:val="Box"/>
            </w:pPr>
            <w:r w:rsidRPr="00141D36">
              <w:t xml:space="preserve">Care needs to be taken in interpreting the participation rates presented for people with disability, people speaking a </w:t>
            </w:r>
            <w:proofErr w:type="spellStart"/>
            <w:r w:rsidRPr="00141D36">
              <w:t>LOTE</w:t>
            </w:r>
            <w:proofErr w:type="spellEnd"/>
            <w:r w:rsidRPr="00141D36">
              <w:t xml:space="preserve"> at home, and Aboriginal and Torres Strait Islander people, because the data depend on self-identification at the time of enrolment and the number of non</w:t>
            </w:r>
            <w:r w:rsidRPr="00141D36">
              <w:noBreakHyphen/>
              <w:t>responses (that is, students who did not indicate whether or not they belong to these group</w:t>
            </w:r>
            <w:r w:rsidR="008E6BDC" w:rsidRPr="00141D36">
              <w:t>s) varies across jurisdictions.</w:t>
            </w:r>
          </w:p>
          <w:p w:rsidR="00133B84" w:rsidRPr="00141D36" w:rsidRDefault="00133B84" w:rsidP="00133B84">
            <w:pPr>
              <w:pStyle w:val="Box"/>
            </w:pPr>
            <w:r w:rsidRPr="00141D36">
              <w:t>Data on participation by Indigenous status are for students identified as aged 15–64 years, and data on participation for other groups are reported for students of all ages. Data on participation are for students who have participated in Australia's government funded VET system.</w:t>
            </w:r>
          </w:p>
          <w:p w:rsidR="00133B84" w:rsidRPr="00141D36" w:rsidRDefault="00133B84" w:rsidP="00133B84">
            <w:pPr>
              <w:pStyle w:val="Box"/>
            </w:pPr>
            <w:r w:rsidRPr="00141D36">
              <w:t>The participation rates by Indigenous status are calculated from two sources and comparability issues may occur when rates utilise data from different sources. This measure uses a numerator from the National VET provider collection and a denominator of</w:t>
            </w:r>
            <w:r w:rsidR="008E6BDC" w:rsidRPr="00141D36">
              <w:t xml:space="preserve"> Estimated Resident Population.</w:t>
            </w:r>
          </w:p>
          <w:p w:rsidR="00133B84" w:rsidRPr="00141D36" w:rsidRDefault="00133B84" w:rsidP="00133B84">
            <w:pPr>
              <w:pStyle w:val="Box"/>
            </w:pPr>
            <w:r w:rsidRPr="00141D36">
              <w:t>Data reported for this measure:</w:t>
            </w:r>
          </w:p>
          <w:p w:rsidR="00133B84" w:rsidRPr="00141D36" w:rsidRDefault="00133B84" w:rsidP="00133B84">
            <w:pPr>
              <w:pStyle w:val="BoxListBullet"/>
            </w:pPr>
            <w:r w:rsidRPr="00141D36">
              <w:t>may not be comparable (subject to caveats) within jurisdictions over time and may not be comparable across jurisdictions</w:t>
            </w:r>
          </w:p>
          <w:p w:rsidR="00133B84" w:rsidRPr="00141D36" w:rsidRDefault="00133B84" w:rsidP="00133B84">
            <w:pPr>
              <w:pStyle w:val="BoxListBullet"/>
            </w:pPr>
            <w:r w:rsidRPr="00141D36">
              <w:t>are complete for the current reporting period (subject to caveats). All required 2013 data are available for all jurisdictions.</w:t>
            </w:r>
          </w:p>
          <w:p w:rsidR="00133B84" w:rsidRPr="00141D36" w:rsidRDefault="00133B84" w:rsidP="00133B84">
            <w:pPr>
              <w:pStyle w:val="Box"/>
            </w:pPr>
            <w:r w:rsidRPr="00141D36">
              <w:t xml:space="preserve">Data quality information for this indicator is at </w:t>
            </w:r>
            <w:proofErr w:type="spellStart"/>
            <w:r w:rsidR="00D24DE5" w:rsidRPr="00141D36">
              <w:t>www.pc.gov.au</w:t>
            </w:r>
            <w:proofErr w:type="spellEnd"/>
            <w:r w:rsidR="00D24DE5" w:rsidRPr="00141D36">
              <w:t>/research/recurring/report-on-government-services</w:t>
            </w:r>
            <w:r w:rsidRPr="00141D36">
              <w:t>.</w:t>
            </w:r>
          </w:p>
        </w:tc>
      </w:tr>
      <w:tr w:rsidR="00133B84" w:rsidRPr="00141D36" w:rsidTr="00133B84">
        <w:trPr>
          <w:cantSplit/>
        </w:trPr>
        <w:tc>
          <w:tcPr>
            <w:tcW w:w="8771" w:type="dxa"/>
            <w:tcBorders>
              <w:top w:val="nil"/>
              <w:left w:val="nil"/>
              <w:bottom w:val="single" w:sz="6" w:space="0" w:color="78A22F"/>
              <w:right w:val="nil"/>
            </w:tcBorders>
            <w:shd w:val="clear" w:color="auto" w:fill="F2F2F2" w:themeFill="background1" w:themeFillShade="F2"/>
          </w:tcPr>
          <w:p w:rsidR="00133B84" w:rsidRPr="00141D36" w:rsidRDefault="00133B84" w:rsidP="00133B84">
            <w:pPr>
              <w:pStyle w:val="Box"/>
              <w:spacing w:before="0" w:line="120" w:lineRule="exact"/>
            </w:pPr>
          </w:p>
        </w:tc>
      </w:tr>
      <w:tr w:rsidR="007664DC" w:rsidRPr="00141D36" w:rsidTr="00133B84">
        <w:tc>
          <w:tcPr>
            <w:tcW w:w="8771" w:type="dxa"/>
            <w:tcBorders>
              <w:top w:val="single" w:sz="6" w:space="0" w:color="78A22F"/>
              <w:left w:val="nil"/>
              <w:bottom w:val="nil"/>
              <w:right w:val="nil"/>
            </w:tcBorders>
          </w:tcPr>
          <w:p w:rsidR="007664DC" w:rsidRPr="00141D36" w:rsidRDefault="007664DC" w:rsidP="00D57D33">
            <w:pPr>
              <w:pStyle w:val="BoxSpaceBelow"/>
            </w:pPr>
          </w:p>
        </w:tc>
      </w:tr>
    </w:tbl>
    <w:p w:rsidR="00133B84" w:rsidRPr="00141D36" w:rsidRDefault="00133B84" w:rsidP="00133B84">
      <w:pPr>
        <w:pStyle w:val="Heading6"/>
      </w:pPr>
      <w:r w:rsidRPr="00141D36">
        <w:t>VET participation by target group — Aboriginal and Torres Strait Islander people</w:t>
      </w:r>
    </w:p>
    <w:p w:rsidR="00133B84" w:rsidRPr="00141D36" w:rsidRDefault="00133B84" w:rsidP="00133B84">
      <w:pPr>
        <w:pStyle w:val="BodyText"/>
      </w:pPr>
      <w:r w:rsidRPr="00141D36">
        <w:t xml:space="preserve">Nationally, the participation rate in government funded VET for Aboriginal and Torres Strait Islander people aged 15–64 years was 17.4 per cent in 2013, compared </w:t>
      </w:r>
      <w:r w:rsidRPr="00141D36">
        <w:rPr>
          <w:shd w:val="clear" w:color="auto" w:fill="FFFFFF" w:themeFill="background1"/>
        </w:rPr>
        <w:t xml:space="preserve">with </w:t>
      </w:r>
      <w:r w:rsidR="008E6BDC" w:rsidRPr="00141D36">
        <w:rPr>
          <w:shd w:val="clear" w:color="auto" w:fill="FFFFFF" w:themeFill="background1"/>
        </w:rPr>
        <w:br/>
      </w:r>
      <w:r w:rsidRPr="00141D36">
        <w:rPr>
          <w:shd w:val="clear" w:color="auto" w:fill="FFFFFF" w:themeFill="background1"/>
        </w:rPr>
        <w:t>16.9</w:t>
      </w:r>
      <w:r w:rsidR="008E6BDC" w:rsidRPr="00141D36">
        <w:rPr>
          <w:shd w:val="clear" w:color="auto" w:fill="FFFFFF" w:themeFill="background1"/>
        </w:rPr>
        <w:t xml:space="preserve"> per </w:t>
      </w:r>
      <w:r w:rsidRPr="00141D36">
        <w:rPr>
          <w:shd w:val="clear" w:color="auto" w:fill="FFFFFF" w:themeFill="background1"/>
        </w:rPr>
        <w:t>cent in 2009 and 15.1 per cent in 2004. The participation rate for the</w:t>
      </w:r>
      <w:r w:rsidRPr="00141D36">
        <w:t xml:space="preserve"> non</w:t>
      </w:r>
      <w:r w:rsidRPr="00141D36">
        <w:noBreakHyphen/>
        <w:t xml:space="preserve">Indigenous population aged 15–64 years was 8.9 per </w:t>
      </w:r>
      <w:r w:rsidR="008E6BDC" w:rsidRPr="00141D36">
        <w:t xml:space="preserve">cent in 2013, compared with </w:t>
      </w:r>
      <w:r w:rsidR="008E6BDC" w:rsidRPr="00141D36">
        <w:br/>
        <w:t xml:space="preserve">7.5 per </w:t>
      </w:r>
      <w:r w:rsidRPr="00141D36">
        <w:t xml:space="preserve">cent in 2009 and 7.0 per cent in 2004. The participation rate for all people aged </w:t>
      </w:r>
      <w:r w:rsidR="00D24DE5" w:rsidRPr="00141D36">
        <w:br/>
      </w:r>
      <w:r w:rsidRPr="00141D36">
        <w:t>15</w:t>
      </w:r>
      <w:r w:rsidR="00D24DE5" w:rsidRPr="00141D36">
        <w:t>–</w:t>
      </w:r>
      <w:r w:rsidRPr="00141D36">
        <w:t>64 years was 9.4 per cent in 2013, compared with 8.4 per cent in 2008 and 8.3 per cent in 2004 (figure 5.</w:t>
      </w:r>
      <w:r w:rsidR="008E6BDC" w:rsidRPr="00141D36">
        <w:t>2</w:t>
      </w:r>
      <w:r w:rsidRPr="00141D36">
        <w:t>).</w:t>
      </w:r>
    </w:p>
    <w:p w:rsidR="00133B84" w:rsidRPr="00141D36" w:rsidRDefault="00133B84" w:rsidP="00133B84">
      <w:pPr>
        <w:pStyle w:val="BodyText"/>
      </w:pPr>
      <w:r w:rsidRPr="00141D36">
        <w:lastRenderedPageBreak/>
        <w:t>These student participation data are not age standardised, so the younger age profile of the Aboriginal and Torres Strait Islander population relative to all Australians is likely to affect the results.</w:t>
      </w:r>
    </w:p>
    <w:p w:rsidR="00133B84" w:rsidRPr="00141D36" w:rsidRDefault="00133B84" w:rsidP="00133B8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33B84" w:rsidRPr="00141D36" w:rsidTr="00133B84">
        <w:tc>
          <w:tcPr>
            <w:tcW w:w="8771" w:type="dxa"/>
            <w:tcBorders>
              <w:top w:val="single" w:sz="6" w:space="0" w:color="78A22F"/>
              <w:left w:val="nil"/>
              <w:bottom w:val="nil"/>
              <w:right w:val="nil"/>
            </w:tcBorders>
            <w:shd w:val="clear" w:color="auto" w:fill="auto"/>
          </w:tcPr>
          <w:p w:rsidR="00133B84" w:rsidRPr="00141D36" w:rsidRDefault="00133B84" w:rsidP="008E6BDC">
            <w:pPr>
              <w:pStyle w:val="FigureTitle"/>
            </w:pPr>
            <w:r w:rsidRPr="00141D36">
              <w:rPr>
                <w:b w:val="0"/>
              </w:rPr>
              <w:t>Figure 5.</w:t>
            </w:r>
            <w:r w:rsidR="008E6BDC" w:rsidRPr="00141D36">
              <w:rPr>
                <w:b w:val="0"/>
                <w:noProof/>
              </w:rPr>
              <w:t>2</w:t>
            </w:r>
            <w:r w:rsidRPr="00141D36">
              <w:tab/>
              <w:t>National VET participation rate for people aged 15–64 years, by Indigenous status</w:t>
            </w:r>
            <w:r w:rsidRPr="00141D36">
              <w:rPr>
                <w:rStyle w:val="NoteLabel"/>
                <w:b/>
              </w:rPr>
              <w:t>a, b, c</w:t>
            </w:r>
          </w:p>
        </w:tc>
      </w:tr>
      <w:tr w:rsidR="00133B84" w:rsidRPr="00141D36" w:rsidTr="00133B84">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33B84" w:rsidRPr="00141D36" w:rsidTr="00133B84">
              <w:tc>
                <w:tcPr>
                  <w:tcW w:w="5000" w:type="pct"/>
                  <w:tcBorders>
                    <w:top w:val="nil"/>
                    <w:bottom w:val="nil"/>
                  </w:tcBorders>
                </w:tcPr>
                <w:p w:rsidR="00133B84" w:rsidRPr="00141D36" w:rsidRDefault="00133B84" w:rsidP="00133B84">
                  <w:pPr>
                    <w:pStyle w:val="Figure"/>
                    <w:spacing w:before="60" w:after="60"/>
                  </w:pPr>
                  <w:r w:rsidRPr="00141D36">
                    <w:rPr>
                      <w:noProof/>
                    </w:rPr>
                    <w:drawing>
                      <wp:inline distT="0" distB="0" distL="0" distR="0" wp14:anchorId="00F5F889" wp14:editId="774C4AA0">
                        <wp:extent cx="5391150" cy="2686050"/>
                        <wp:effectExtent l="0" t="0" r="0" b="0"/>
                        <wp:docPr id="3" name="Picture 3" descr="Figure 5.5 National VET participation rate for people aged 15-64 years, by Indigenous statu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133B84" w:rsidRPr="00141D36" w:rsidRDefault="00133B84" w:rsidP="00133B84">
            <w:pPr>
              <w:pStyle w:val="Figure"/>
            </w:pPr>
          </w:p>
        </w:tc>
      </w:tr>
      <w:tr w:rsidR="00133B84" w:rsidRPr="00141D36" w:rsidTr="00133B84">
        <w:tc>
          <w:tcPr>
            <w:tcW w:w="8771" w:type="dxa"/>
            <w:tcBorders>
              <w:top w:val="nil"/>
              <w:left w:val="nil"/>
              <w:bottom w:val="nil"/>
              <w:right w:val="nil"/>
            </w:tcBorders>
            <w:shd w:val="clear" w:color="auto" w:fill="auto"/>
          </w:tcPr>
          <w:p w:rsidR="00133B84" w:rsidRPr="00141D36" w:rsidRDefault="00133B84" w:rsidP="00133B84">
            <w:pPr>
              <w:pStyle w:val="Note"/>
            </w:pPr>
            <w:r w:rsidRPr="00141D36">
              <w:rPr>
                <w:rStyle w:val="NoteLabel"/>
              </w:rPr>
              <w:t>a</w:t>
            </w:r>
            <w:r w:rsidRPr="00141D36">
              <w:t xml:space="preserve"> Data are for government funded VET students. </w:t>
            </w:r>
            <w:r w:rsidRPr="00141D36">
              <w:rPr>
                <w:rStyle w:val="NoteLabel"/>
              </w:rPr>
              <w:t>b</w:t>
            </w:r>
            <w:r w:rsidRPr="00141D36">
              <w:t xml:space="preserve"> The Aboriginal and Torres Strait Islander students participation rate is the number of Aboriginal and Torres Strait Islander students as a percentage of the estimate of the Aboriginal and Torres Strait Islander population for 30 June. The all students participation rate is the number of students as a percentage of the esti</w:t>
            </w:r>
            <w:r w:rsidR="008E6BDC" w:rsidRPr="00141D36">
              <w:t xml:space="preserve">mated total population as at 30 </w:t>
            </w:r>
            <w:r w:rsidRPr="00141D36">
              <w:t>June. The non</w:t>
            </w:r>
            <w:r w:rsidRPr="00141D36">
              <w:noBreakHyphen/>
              <w:t>Indigenous students participation rate is the number of students as a percentage of the estimated non</w:t>
            </w:r>
            <w:r w:rsidRPr="00141D36">
              <w:noBreakHyphen/>
              <w:t xml:space="preserve">Indigenous population as at 30 June, calculated by subtracting the estimates of Aboriginal and Torres Strait Islander population from estimates of the total resident population. </w:t>
            </w:r>
            <w:r w:rsidRPr="00141D36">
              <w:rPr>
                <w:rStyle w:val="NoteLabel"/>
              </w:rPr>
              <w:t>c</w:t>
            </w:r>
            <w:r w:rsidR="008E6BDC" w:rsidRPr="00141D36">
              <w:t xml:space="preserve"> </w:t>
            </w:r>
            <w:r w:rsidRPr="00141D36">
              <w:t xml:space="preserve">Aboriginal and Torres Strait Islander students are defined as those who self-identify on enrolment forms that they are of Aboriginal and/or Torres Strait Islander background. Care should be taken in comparing participation data due to the high non-response rates in some jurisdictions (see table </w:t>
            </w:r>
            <w:proofErr w:type="spellStart"/>
            <w:r w:rsidRPr="00141D36">
              <w:t>5A.10</w:t>
            </w:r>
            <w:proofErr w:type="spellEnd"/>
            <w:r w:rsidRPr="00141D36">
              <w:t>).</w:t>
            </w:r>
          </w:p>
        </w:tc>
      </w:tr>
      <w:tr w:rsidR="00133B84" w:rsidRPr="00141D36" w:rsidTr="00133B84">
        <w:tc>
          <w:tcPr>
            <w:tcW w:w="8771" w:type="dxa"/>
            <w:tcBorders>
              <w:top w:val="nil"/>
              <w:left w:val="nil"/>
              <w:bottom w:val="nil"/>
              <w:right w:val="nil"/>
            </w:tcBorders>
            <w:shd w:val="clear" w:color="auto" w:fill="auto"/>
          </w:tcPr>
          <w:p w:rsidR="00133B84" w:rsidRPr="00141D36" w:rsidRDefault="00133B84" w:rsidP="008E6BDC">
            <w:pPr>
              <w:pStyle w:val="Source"/>
            </w:pPr>
            <w:r w:rsidRPr="00141D36">
              <w:rPr>
                <w:i/>
              </w:rPr>
              <w:t>Source</w:t>
            </w:r>
            <w:r w:rsidRPr="00141D36">
              <w:t xml:space="preserve">: </w:t>
            </w:r>
            <w:proofErr w:type="spellStart"/>
            <w:r w:rsidRPr="00141D36">
              <w:t>NCVER</w:t>
            </w:r>
            <w:proofErr w:type="spellEnd"/>
            <w:r w:rsidRPr="00141D36">
              <w:t xml:space="preserve"> (unpublished) National VET provider collection; ABS (2013 and previous years), </w:t>
            </w:r>
            <w:r w:rsidRPr="00141D36">
              <w:rPr>
                <w:i/>
              </w:rPr>
              <w:t>Australian Demographic Statistics, June 2013</w:t>
            </w:r>
            <w:r w:rsidRPr="00141D36">
              <w:t xml:space="preserve">, Cat. no. 3101.0, Canberra; ABS (2013) </w:t>
            </w:r>
            <w:r w:rsidRPr="00141D36">
              <w:rPr>
                <w:i/>
              </w:rPr>
              <w:t>Estimates and Projections, Aboriginal and Torres Strait Islander Australians</w:t>
            </w:r>
            <w:r w:rsidRPr="00141D36">
              <w:t>, 2001 to 202</w:t>
            </w:r>
            <w:r w:rsidR="008E6BDC" w:rsidRPr="00141D36">
              <w:t xml:space="preserve">6, Cat. no. 3238.0; table </w:t>
            </w:r>
            <w:proofErr w:type="spellStart"/>
            <w:r w:rsidR="008E6BDC" w:rsidRPr="00141D36">
              <w:t>5A.10</w:t>
            </w:r>
            <w:proofErr w:type="spellEnd"/>
            <w:r w:rsidR="008E6BDC" w:rsidRPr="00141D36">
              <w:t>; 2015 Report, figure 5.5, p. 5.17.</w:t>
            </w:r>
          </w:p>
        </w:tc>
      </w:tr>
      <w:tr w:rsidR="00133B84" w:rsidRPr="00141D36" w:rsidTr="00133B84">
        <w:tc>
          <w:tcPr>
            <w:tcW w:w="8771" w:type="dxa"/>
            <w:tcBorders>
              <w:top w:val="nil"/>
              <w:left w:val="nil"/>
              <w:bottom w:val="single" w:sz="6" w:space="0" w:color="78A22F"/>
              <w:right w:val="nil"/>
            </w:tcBorders>
            <w:shd w:val="clear" w:color="auto" w:fill="auto"/>
          </w:tcPr>
          <w:p w:rsidR="00133B84" w:rsidRPr="00141D36" w:rsidRDefault="00133B84" w:rsidP="00133B84">
            <w:pPr>
              <w:pStyle w:val="Figurespace"/>
            </w:pPr>
          </w:p>
        </w:tc>
      </w:tr>
      <w:tr w:rsidR="007664DC" w:rsidRPr="00141D36" w:rsidTr="00133B84">
        <w:tc>
          <w:tcPr>
            <w:tcW w:w="8771" w:type="dxa"/>
            <w:tcBorders>
              <w:top w:val="single" w:sz="6" w:space="0" w:color="78A22F"/>
              <w:left w:val="nil"/>
              <w:bottom w:val="nil"/>
              <w:right w:val="nil"/>
            </w:tcBorders>
          </w:tcPr>
          <w:p w:rsidR="007664DC" w:rsidRPr="00141D36" w:rsidRDefault="007664DC" w:rsidP="00D57D33">
            <w:pPr>
              <w:pStyle w:val="BoxSpaceBelow"/>
            </w:pPr>
          </w:p>
        </w:tc>
      </w:tr>
    </w:tbl>
    <w:p w:rsidR="00133B84" w:rsidRPr="00141D36" w:rsidRDefault="00133B84" w:rsidP="00133B84">
      <w:pPr>
        <w:pStyle w:val="BodyText"/>
      </w:pPr>
      <w:r w:rsidRPr="00141D36">
        <w:t>Nationally in 2013, 5.1 per cent of government funded VET students (of all ages) identified as being of Aboriginal and Torres Str</w:t>
      </w:r>
      <w:r w:rsidR="008E6BDC" w:rsidRPr="00141D36">
        <w:t xml:space="preserve">ait Islander background (figure </w:t>
      </w:r>
      <w:r w:rsidR="00E46125" w:rsidRPr="00141D36">
        <w:t>5.3</w:t>
      </w:r>
      <w:r w:rsidRPr="00141D36">
        <w:t>), higher than the proportion of Aboriginal and Torres Strait Islander peop</w:t>
      </w:r>
      <w:r w:rsidR="00E46125" w:rsidRPr="00141D36">
        <w:t xml:space="preserve">le in the total population (3.0 per </w:t>
      </w:r>
      <w:r w:rsidRPr="00141D36">
        <w:t xml:space="preserve">cent) (table </w:t>
      </w:r>
      <w:proofErr w:type="spellStart"/>
      <w:r w:rsidRPr="00141D36">
        <w:t>5A.16</w:t>
      </w:r>
      <w:proofErr w:type="spellEnd"/>
      <w:r w:rsidRPr="00141D36">
        <w:t>). Nationally, 91.2 per cent of government funded VET students (of all ages) identified themselves as non-Indigenous (Indigenous status was unknown for 3.7 per cent of government funded VET students).</w:t>
      </w:r>
    </w:p>
    <w:p w:rsidR="00133B84" w:rsidRPr="00141D36" w:rsidRDefault="00133B84" w:rsidP="00133B8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33B84" w:rsidRPr="00141D36" w:rsidTr="00133B84">
        <w:tc>
          <w:tcPr>
            <w:tcW w:w="8771" w:type="dxa"/>
            <w:tcBorders>
              <w:top w:val="single" w:sz="6" w:space="0" w:color="78A22F"/>
              <w:left w:val="nil"/>
              <w:bottom w:val="nil"/>
              <w:right w:val="nil"/>
            </w:tcBorders>
            <w:shd w:val="clear" w:color="auto" w:fill="auto"/>
          </w:tcPr>
          <w:p w:rsidR="00133B84" w:rsidRPr="00141D36" w:rsidRDefault="00133B84" w:rsidP="00E46125">
            <w:pPr>
              <w:pStyle w:val="FigureTitle"/>
            </w:pPr>
            <w:r w:rsidRPr="00141D36">
              <w:rPr>
                <w:b w:val="0"/>
              </w:rPr>
              <w:t>Figure 5.</w:t>
            </w:r>
            <w:r w:rsidR="00E46125" w:rsidRPr="00141D36">
              <w:rPr>
                <w:b w:val="0"/>
                <w:noProof/>
              </w:rPr>
              <w:t>3</w:t>
            </w:r>
            <w:r w:rsidRPr="00141D36">
              <w:tab/>
              <w:t>VET students, all ages, by Indigenous status, 2013</w:t>
            </w:r>
            <w:r w:rsidRPr="00141D36">
              <w:rPr>
                <w:rStyle w:val="NoteLabel"/>
                <w:b/>
              </w:rPr>
              <w:t>a, b</w:t>
            </w:r>
          </w:p>
        </w:tc>
      </w:tr>
      <w:tr w:rsidR="00133B84" w:rsidRPr="00141D36" w:rsidTr="00133B84">
        <w:tc>
          <w:tcPr>
            <w:tcW w:w="8771" w:type="dxa"/>
            <w:tcBorders>
              <w:top w:val="nil"/>
              <w:left w:val="nil"/>
              <w:bottom w:val="nil"/>
              <w:right w:val="nil"/>
            </w:tcBorders>
            <w:shd w:val="clear" w:color="auto" w:fill="auto"/>
            <w:tcMar>
              <w:top w:w="28" w:type="dxa"/>
              <w:bottom w:w="28" w:type="dxa"/>
            </w:tcMar>
          </w:tcPr>
          <w:tbl>
            <w:tblPr>
              <w:tblW w:w="8561"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61"/>
            </w:tblGrid>
            <w:tr w:rsidR="00133B84" w:rsidRPr="00141D36" w:rsidTr="00133B84">
              <w:tc>
                <w:tcPr>
                  <w:tcW w:w="5000" w:type="pct"/>
                  <w:tcBorders>
                    <w:top w:val="nil"/>
                    <w:bottom w:val="nil"/>
                  </w:tcBorders>
                </w:tcPr>
                <w:p w:rsidR="00133B84" w:rsidRPr="00141D36" w:rsidRDefault="00F25AA7" w:rsidP="00133B84">
                  <w:pPr>
                    <w:pStyle w:val="Figure"/>
                    <w:spacing w:before="60" w:after="60"/>
                  </w:pPr>
                  <w:r>
                    <w:rPr>
                      <w:noProof/>
                    </w:rPr>
                    <w:drawing>
                      <wp:inline distT="0" distB="0" distL="0" distR="0">
                        <wp:extent cx="5400675" cy="2686050"/>
                        <wp:effectExtent l="0" t="0" r="9525" b="0"/>
                        <wp:docPr id="1" name="Picture 1" descr="Figure 5.3 VET students, all ages, by Indigenous status, 2013&#10;&#10;More details can be found within the text surrounding this image.&#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675" cy="2686050"/>
                                </a:xfrm>
                                <a:prstGeom prst="rect">
                                  <a:avLst/>
                                </a:prstGeom>
                                <a:noFill/>
                                <a:ln>
                                  <a:noFill/>
                                </a:ln>
                              </pic:spPr>
                            </pic:pic>
                          </a:graphicData>
                        </a:graphic>
                      </wp:inline>
                    </w:drawing>
                  </w:r>
                </w:p>
              </w:tc>
            </w:tr>
          </w:tbl>
          <w:p w:rsidR="00133B84" w:rsidRPr="00141D36" w:rsidRDefault="00133B84" w:rsidP="00133B84">
            <w:pPr>
              <w:pStyle w:val="Figure"/>
            </w:pPr>
          </w:p>
        </w:tc>
      </w:tr>
      <w:tr w:rsidR="00133B84" w:rsidRPr="00141D36" w:rsidTr="00133B84">
        <w:tc>
          <w:tcPr>
            <w:tcW w:w="8771" w:type="dxa"/>
            <w:tcBorders>
              <w:top w:val="nil"/>
              <w:left w:val="nil"/>
              <w:bottom w:val="nil"/>
              <w:right w:val="nil"/>
            </w:tcBorders>
            <w:shd w:val="clear" w:color="auto" w:fill="auto"/>
          </w:tcPr>
          <w:p w:rsidR="00133B84" w:rsidRPr="00141D36" w:rsidRDefault="00133B84" w:rsidP="00133B84">
            <w:pPr>
              <w:pStyle w:val="Note"/>
            </w:pPr>
            <w:r w:rsidRPr="00141D36">
              <w:rPr>
                <w:rStyle w:val="NoteLabel"/>
              </w:rPr>
              <w:t>a</w:t>
            </w:r>
            <w:r w:rsidRPr="00141D36">
              <w:t xml:space="preserve"> Data are for government funded VET students.</w:t>
            </w:r>
            <w:r w:rsidRPr="00141D36">
              <w:rPr>
                <w:rStyle w:val="NoteLabel"/>
              </w:rPr>
              <w:t xml:space="preserve"> b</w:t>
            </w:r>
            <w:r w:rsidRPr="00141D36">
              <w:t xml:space="preserve"> Aboriginal and Torres Strait Islander students are defined as those who self-identify on enrolment forms that they are of Aboriginal and/or Torres Strait Islander background. Not all students respond to the relevant question on the enrolment form (see </w:t>
            </w:r>
            <w:r w:rsidR="00EF1D1E" w:rsidRPr="00141D36">
              <w:br/>
            </w:r>
            <w:r w:rsidRPr="00141D36">
              <w:t>tab</w:t>
            </w:r>
            <w:r w:rsidR="00EF1D1E" w:rsidRPr="00141D36">
              <w:t xml:space="preserve">le </w:t>
            </w:r>
            <w:proofErr w:type="spellStart"/>
            <w:r w:rsidRPr="00141D36">
              <w:t>5A.16</w:t>
            </w:r>
            <w:proofErr w:type="spellEnd"/>
            <w:r w:rsidRPr="00141D36">
              <w:t>).</w:t>
            </w:r>
          </w:p>
        </w:tc>
      </w:tr>
      <w:tr w:rsidR="00133B84" w:rsidRPr="00141D36" w:rsidTr="00133B84">
        <w:tc>
          <w:tcPr>
            <w:tcW w:w="8771" w:type="dxa"/>
            <w:tcBorders>
              <w:top w:val="nil"/>
              <w:left w:val="nil"/>
              <w:bottom w:val="nil"/>
              <w:right w:val="nil"/>
            </w:tcBorders>
            <w:shd w:val="clear" w:color="auto" w:fill="auto"/>
          </w:tcPr>
          <w:p w:rsidR="00133B84" w:rsidRPr="00141D36" w:rsidRDefault="00133B84" w:rsidP="00E46125">
            <w:pPr>
              <w:pStyle w:val="Source"/>
            </w:pPr>
            <w:r w:rsidRPr="00141D36">
              <w:rPr>
                <w:i/>
              </w:rPr>
              <w:t>Source</w:t>
            </w:r>
            <w:r w:rsidRPr="00141D36">
              <w:t xml:space="preserve">: </w:t>
            </w:r>
            <w:proofErr w:type="spellStart"/>
            <w:r w:rsidRPr="00141D36">
              <w:t>NCVER</w:t>
            </w:r>
            <w:proofErr w:type="spellEnd"/>
            <w:r w:rsidRPr="00141D36">
              <w:t xml:space="preserve"> (unpublished) National VET pr</w:t>
            </w:r>
            <w:r w:rsidR="00E46125" w:rsidRPr="00141D36">
              <w:t xml:space="preserve">ovider collection; table </w:t>
            </w:r>
            <w:proofErr w:type="spellStart"/>
            <w:r w:rsidR="00E46125" w:rsidRPr="00141D36">
              <w:t>5A.16</w:t>
            </w:r>
            <w:proofErr w:type="spellEnd"/>
            <w:r w:rsidR="00E46125" w:rsidRPr="00141D36">
              <w:t xml:space="preserve">; 2015 Report, figure 5.6, </w:t>
            </w:r>
            <w:r w:rsidR="00E46125" w:rsidRPr="00141D36">
              <w:br/>
              <w:t>p. 5.18.</w:t>
            </w:r>
          </w:p>
        </w:tc>
      </w:tr>
      <w:tr w:rsidR="00133B84" w:rsidRPr="00141D36" w:rsidTr="00133B84">
        <w:tc>
          <w:tcPr>
            <w:tcW w:w="8771" w:type="dxa"/>
            <w:tcBorders>
              <w:top w:val="nil"/>
              <w:left w:val="nil"/>
              <w:bottom w:val="single" w:sz="6" w:space="0" w:color="78A22F"/>
              <w:right w:val="nil"/>
            </w:tcBorders>
            <w:shd w:val="clear" w:color="auto" w:fill="auto"/>
          </w:tcPr>
          <w:p w:rsidR="00133B84" w:rsidRPr="00141D36" w:rsidRDefault="00133B84" w:rsidP="00133B84">
            <w:pPr>
              <w:pStyle w:val="Figurespace"/>
            </w:pPr>
          </w:p>
        </w:tc>
      </w:tr>
      <w:tr w:rsidR="007664DC" w:rsidRPr="00141D36" w:rsidTr="00133B84">
        <w:tc>
          <w:tcPr>
            <w:tcW w:w="8771" w:type="dxa"/>
            <w:tcBorders>
              <w:top w:val="single" w:sz="6" w:space="0" w:color="78A22F"/>
              <w:left w:val="nil"/>
              <w:bottom w:val="nil"/>
              <w:right w:val="nil"/>
            </w:tcBorders>
          </w:tcPr>
          <w:p w:rsidR="007664DC" w:rsidRPr="00141D36" w:rsidRDefault="007664DC" w:rsidP="00D57D33">
            <w:pPr>
              <w:pStyle w:val="BoxSpaceBelow"/>
            </w:pPr>
          </w:p>
        </w:tc>
      </w:tr>
    </w:tbl>
    <w:p w:rsidR="00133B84" w:rsidRPr="00141D36" w:rsidRDefault="00E46125" w:rsidP="00E46125">
      <w:pPr>
        <w:pStyle w:val="Heading3"/>
      </w:pPr>
      <w:bookmarkStart w:id="18" w:name="_Toc410731940"/>
      <w:r w:rsidRPr="00141D36">
        <w:t>Effectiveness</w:t>
      </w:r>
      <w:bookmarkEnd w:id="18"/>
    </w:p>
    <w:p w:rsidR="00133B84" w:rsidRPr="00141D36" w:rsidRDefault="00133B84" w:rsidP="00E46125">
      <w:pPr>
        <w:pStyle w:val="Heading4"/>
      </w:pPr>
      <w:r w:rsidRPr="00141D36">
        <w:t>Student participation in VET</w:t>
      </w:r>
    </w:p>
    <w:p w:rsidR="00133B84" w:rsidRPr="00141D36" w:rsidRDefault="00133B84" w:rsidP="00133B84">
      <w:pPr>
        <w:pStyle w:val="BodyText"/>
      </w:pPr>
      <w:r w:rsidRPr="00141D36">
        <w:t>‘Student participation in VET’ is an indicator of governments’ objective to provide people aged 15–64 years with the level of access to the VET system that is necessary for a highly skilled workforce (box 5.</w:t>
      </w:r>
      <w:r w:rsidR="00E46125" w:rsidRPr="00141D36">
        <w:t>2</w:t>
      </w:r>
      <w:r w:rsidRPr="00141D36">
        <w:t>).</w:t>
      </w:r>
    </w:p>
    <w:p w:rsidR="00133B84" w:rsidRPr="00141D36" w:rsidRDefault="00133B84" w:rsidP="00133B8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33B84" w:rsidRPr="00141D36" w:rsidTr="00133B84">
        <w:tc>
          <w:tcPr>
            <w:tcW w:w="8771" w:type="dxa"/>
            <w:tcBorders>
              <w:top w:val="single" w:sz="6" w:space="0" w:color="78A22F"/>
              <w:left w:val="nil"/>
              <w:bottom w:val="nil"/>
              <w:right w:val="nil"/>
            </w:tcBorders>
            <w:shd w:val="clear" w:color="auto" w:fill="F2F2F2" w:themeFill="background1" w:themeFillShade="F2"/>
          </w:tcPr>
          <w:p w:rsidR="00133B84" w:rsidRPr="00141D36" w:rsidRDefault="00133B84" w:rsidP="00E46125">
            <w:pPr>
              <w:pStyle w:val="BoxTitle"/>
            </w:pPr>
            <w:r w:rsidRPr="00141D36">
              <w:rPr>
                <w:b w:val="0"/>
              </w:rPr>
              <w:t>Box 5.</w:t>
            </w:r>
            <w:r w:rsidR="00E46125" w:rsidRPr="00141D36">
              <w:rPr>
                <w:b w:val="0"/>
                <w:noProof/>
              </w:rPr>
              <w:t>2</w:t>
            </w:r>
            <w:r w:rsidRPr="00141D36">
              <w:tab/>
              <w:t>Student participation in VET</w:t>
            </w:r>
          </w:p>
        </w:tc>
      </w:tr>
      <w:tr w:rsidR="00133B84" w:rsidRPr="00141D36" w:rsidTr="00133B84">
        <w:trPr>
          <w:cantSplit/>
        </w:trPr>
        <w:tc>
          <w:tcPr>
            <w:tcW w:w="8771" w:type="dxa"/>
            <w:tcBorders>
              <w:top w:val="nil"/>
              <w:left w:val="nil"/>
              <w:bottom w:val="nil"/>
              <w:right w:val="nil"/>
            </w:tcBorders>
            <w:shd w:val="clear" w:color="auto" w:fill="F2F2F2" w:themeFill="background1" w:themeFillShade="F2"/>
          </w:tcPr>
          <w:p w:rsidR="00133B84" w:rsidRPr="00141D36" w:rsidRDefault="00133B84" w:rsidP="00133B84">
            <w:pPr>
              <w:pStyle w:val="Box"/>
            </w:pPr>
            <w:r w:rsidRPr="00141D36">
              <w:t>‘Student participation in VET’ is defined by three measures:</w:t>
            </w:r>
          </w:p>
          <w:p w:rsidR="00133B84" w:rsidRPr="00141D36" w:rsidRDefault="00133B84" w:rsidP="00133B84">
            <w:pPr>
              <w:pStyle w:val="BoxListBullet"/>
            </w:pPr>
            <w:r w:rsidRPr="00141D36">
              <w:t>the number of people aged 15–64 years participating in VET as a proportion of the population aged 15–64 years</w:t>
            </w:r>
          </w:p>
          <w:p w:rsidR="00133B84" w:rsidRPr="00141D36" w:rsidRDefault="00133B84" w:rsidP="00133B84">
            <w:pPr>
              <w:pStyle w:val="BoxListBullet"/>
            </w:pPr>
            <w:r w:rsidRPr="00141D36">
              <w:t>the number of people aged 15–64 years participating in VET at certificate level III and above as a proportion of the population aged 15–64 years</w:t>
            </w:r>
          </w:p>
          <w:p w:rsidR="00133B84" w:rsidRPr="00141D36" w:rsidRDefault="00133B84" w:rsidP="00133B84">
            <w:pPr>
              <w:pStyle w:val="BoxListBullet"/>
            </w:pPr>
            <w:r w:rsidRPr="00141D36">
              <w:t>the number of people aged 15–64 years participating in VET at diploma level and above as a proportion of the population aged 15–64 years.</w:t>
            </w:r>
          </w:p>
          <w:p w:rsidR="00133B84" w:rsidRPr="00141D36" w:rsidRDefault="00133B84" w:rsidP="00133B84">
            <w:pPr>
              <w:pStyle w:val="Box"/>
            </w:pPr>
            <w:r w:rsidRPr="00141D36">
              <w:t>High or increasing VET participation rates indicate high or increasing levels of access to the VET system by the general population. High or increasing participation in VET certificate level III and above, and in VET diploma level and above, indicate greater or increasing participation in higher skill level courses, which is desirable.</w:t>
            </w:r>
          </w:p>
          <w:p w:rsidR="00133B84" w:rsidRPr="00141D36" w:rsidRDefault="00133B84" w:rsidP="00133B84">
            <w:pPr>
              <w:pStyle w:val="Box"/>
            </w:pPr>
            <w:r w:rsidRPr="00141D36">
              <w:t>Data for VET diploma level and above are a sub-set of data for the larger group of VET certificate III level and above. Data are for government funded VET students.</w:t>
            </w:r>
          </w:p>
          <w:p w:rsidR="00133B84" w:rsidRPr="00141D36" w:rsidRDefault="00133B84" w:rsidP="00133B84">
            <w:pPr>
              <w:pStyle w:val="BoxListBullet"/>
              <w:numPr>
                <w:ilvl w:val="0"/>
                <w:numId w:val="0"/>
              </w:numPr>
              <w:ind w:left="284" w:hanging="284"/>
            </w:pPr>
            <w:r w:rsidRPr="00141D36">
              <w:t>Data reported for this indicator are</w:t>
            </w:r>
          </w:p>
          <w:p w:rsidR="00133B84" w:rsidRPr="00141D36" w:rsidRDefault="00133B84" w:rsidP="00133B84">
            <w:pPr>
              <w:pStyle w:val="BoxListBullet"/>
              <w:numPr>
                <w:ilvl w:val="0"/>
                <w:numId w:val="0"/>
              </w:numPr>
              <w:ind w:left="284" w:hanging="284"/>
            </w:pPr>
            <w:r w:rsidRPr="00141D36">
              <w:t>•</w:t>
            </w:r>
            <w:r w:rsidRPr="00141D36">
              <w:tab/>
              <w:t>comparable (subject to caveats) across jurisdictions and over time</w:t>
            </w:r>
          </w:p>
          <w:p w:rsidR="00133B84" w:rsidRPr="00141D36" w:rsidRDefault="00133B84" w:rsidP="00133B84">
            <w:pPr>
              <w:pStyle w:val="BoxListBullet"/>
              <w:numPr>
                <w:ilvl w:val="0"/>
                <w:numId w:val="0"/>
              </w:numPr>
              <w:ind w:left="284" w:hanging="284"/>
            </w:pPr>
            <w:r w:rsidRPr="00141D36">
              <w:t>•</w:t>
            </w:r>
            <w:r w:rsidRPr="00141D36">
              <w:tab/>
              <w:t>complete for the current reporting period (subject to caveats). All required 2013 data are available for all jurisdictions providing the service.</w:t>
            </w:r>
          </w:p>
          <w:p w:rsidR="00133B84" w:rsidRPr="00141D36" w:rsidRDefault="00133B84" w:rsidP="00133B84">
            <w:pPr>
              <w:pStyle w:val="Box"/>
            </w:pPr>
            <w:r w:rsidRPr="00141D36">
              <w:t xml:space="preserve">Data quality information for this indicator is at </w:t>
            </w:r>
            <w:proofErr w:type="spellStart"/>
            <w:r w:rsidR="00EF1D1E" w:rsidRPr="00141D36">
              <w:t>www.pc.gov.au</w:t>
            </w:r>
            <w:proofErr w:type="spellEnd"/>
            <w:r w:rsidR="00EF1D1E" w:rsidRPr="00141D36">
              <w:t>/research/recurring/report-on-government-services.</w:t>
            </w:r>
          </w:p>
        </w:tc>
      </w:tr>
      <w:tr w:rsidR="00133B84" w:rsidRPr="00141D36" w:rsidTr="00133B84">
        <w:trPr>
          <w:cantSplit/>
        </w:trPr>
        <w:tc>
          <w:tcPr>
            <w:tcW w:w="8771" w:type="dxa"/>
            <w:tcBorders>
              <w:top w:val="nil"/>
              <w:left w:val="nil"/>
              <w:bottom w:val="single" w:sz="6" w:space="0" w:color="78A22F"/>
              <w:right w:val="nil"/>
            </w:tcBorders>
            <w:shd w:val="clear" w:color="auto" w:fill="F2F2F2" w:themeFill="background1" w:themeFillShade="F2"/>
          </w:tcPr>
          <w:p w:rsidR="00133B84" w:rsidRPr="00141D36" w:rsidRDefault="00133B84" w:rsidP="00133B84">
            <w:pPr>
              <w:pStyle w:val="Box"/>
              <w:spacing w:before="0" w:line="120" w:lineRule="exact"/>
            </w:pPr>
          </w:p>
        </w:tc>
      </w:tr>
      <w:tr w:rsidR="007664DC" w:rsidRPr="00141D36" w:rsidTr="00133B84">
        <w:tc>
          <w:tcPr>
            <w:tcW w:w="8771" w:type="dxa"/>
            <w:tcBorders>
              <w:top w:val="single" w:sz="6" w:space="0" w:color="78A22F"/>
              <w:left w:val="nil"/>
              <w:bottom w:val="nil"/>
              <w:right w:val="nil"/>
            </w:tcBorders>
          </w:tcPr>
          <w:p w:rsidR="007664DC" w:rsidRPr="00141D36" w:rsidRDefault="007664DC" w:rsidP="00D57D33">
            <w:pPr>
              <w:pStyle w:val="BoxSpaceBelow"/>
            </w:pPr>
          </w:p>
        </w:tc>
      </w:tr>
    </w:tbl>
    <w:p w:rsidR="00133B84" w:rsidRPr="00141D36" w:rsidRDefault="00E46125" w:rsidP="00133B84">
      <w:pPr>
        <w:pStyle w:val="BodyText"/>
      </w:pPr>
      <w:r w:rsidRPr="00141D36">
        <w:t>Figures 5.4–6</w:t>
      </w:r>
      <w:r w:rsidR="00133B84" w:rsidRPr="00141D36">
        <w:t xml:space="preserve"> show VET participation rates for the 15–64 year old population by Indigenous status, and for the target age groups </w:t>
      </w:r>
      <w:r w:rsidR="00133B84" w:rsidRPr="00141D36">
        <w:rPr>
          <w:szCs w:val="26"/>
        </w:rPr>
        <w:t>of 18</w:t>
      </w:r>
      <w:r w:rsidR="00133B84" w:rsidRPr="00141D36">
        <w:t xml:space="preserve">–24 years and </w:t>
      </w:r>
      <w:r w:rsidR="00133B84" w:rsidRPr="00141D36">
        <w:rPr>
          <w:szCs w:val="26"/>
        </w:rPr>
        <w:t>20</w:t>
      </w:r>
      <w:r w:rsidRPr="00141D36">
        <w:t xml:space="preserve">–64 years. </w:t>
      </w:r>
      <w:r w:rsidR="00133B84" w:rsidRPr="00141D36">
        <w:t>The national participation rate for the general population aged 15–64 years was 9.4 per cent in 2013, compared with 17.4 per cent for the Aboriginal and Torres Strait Islander population and 8.9 per cent for the non-Indigenous population aged 15–64 years (figure</w:t>
      </w:r>
      <w:r w:rsidRPr="00141D36">
        <w:t xml:space="preserve"> </w:t>
      </w:r>
      <w:r w:rsidR="00133B84" w:rsidRPr="00141D36">
        <w:t>5.</w:t>
      </w:r>
      <w:r w:rsidRPr="00141D36">
        <w:t>4</w:t>
      </w:r>
      <w:r w:rsidR="00133B84" w:rsidRPr="00141D36">
        <w:t>).</w:t>
      </w:r>
    </w:p>
    <w:p w:rsidR="00133B84" w:rsidRPr="00141D36" w:rsidRDefault="00133B84" w:rsidP="00133B84">
      <w:pPr>
        <w:pStyle w:val="BodyText"/>
      </w:pPr>
      <w:r w:rsidRPr="00141D36">
        <w:t xml:space="preserve">Nationally in 2013, 20.4 per cent of all people aged </w:t>
      </w:r>
      <w:r w:rsidRPr="00141D36">
        <w:rPr>
          <w:szCs w:val="26"/>
        </w:rPr>
        <w:t>18</w:t>
      </w:r>
      <w:r w:rsidRPr="00141D36">
        <w:t xml:space="preserve">–24 years participated in government funded VET, </w:t>
      </w:r>
      <w:r w:rsidRPr="00141D36">
        <w:rPr>
          <w:shd w:val="clear" w:color="auto" w:fill="FFFFFF" w:themeFill="background1"/>
        </w:rPr>
        <w:t>compared with 25.4 per cent</w:t>
      </w:r>
      <w:r w:rsidRPr="00141D36">
        <w:t xml:space="preserve"> of the Aboriginal and Torres Strait Islander population and 19.6 per cent of the non-Indigenous population in the same age group. Nationally, 7.6 per cent of all people aged </w:t>
      </w:r>
      <w:r w:rsidRPr="00141D36">
        <w:rPr>
          <w:szCs w:val="26"/>
        </w:rPr>
        <w:t>20</w:t>
      </w:r>
      <w:r w:rsidRPr="00141D36">
        <w:t>–64 years participated, compared with 14.2 per cent of the Aboriginal and Torres Strait Islander population and 7.1 per cent of the non</w:t>
      </w:r>
      <w:r w:rsidRPr="00141D36">
        <w:noBreakHyphen/>
        <w:t xml:space="preserve">Indigenous population aged </w:t>
      </w:r>
      <w:r w:rsidRPr="00141D36">
        <w:rPr>
          <w:szCs w:val="26"/>
        </w:rPr>
        <w:t>20</w:t>
      </w:r>
      <w:r w:rsidRPr="00141D36">
        <w:t>–64 years (figure 5.</w:t>
      </w:r>
      <w:r w:rsidR="00E46125" w:rsidRPr="00141D36">
        <w:t>4</w:t>
      </w:r>
      <w:r w:rsidRPr="00141D36">
        <w:t>).</w:t>
      </w:r>
    </w:p>
    <w:p w:rsidR="00133B84" w:rsidRPr="00141D36" w:rsidRDefault="00133B84" w:rsidP="00133B8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33B84" w:rsidRPr="00141D36" w:rsidTr="00133B84">
        <w:tc>
          <w:tcPr>
            <w:tcW w:w="8771" w:type="dxa"/>
            <w:tcBorders>
              <w:top w:val="single" w:sz="6" w:space="0" w:color="78A22F"/>
              <w:left w:val="nil"/>
              <w:bottom w:val="nil"/>
              <w:right w:val="nil"/>
            </w:tcBorders>
            <w:shd w:val="clear" w:color="auto" w:fill="auto"/>
          </w:tcPr>
          <w:p w:rsidR="00133B84" w:rsidRPr="00141D36" w:rsidRDefault="00133B84" w:rsidP="00E46125">
            <w:pPr>
              <w:pStyle w:val="FigureTitle"/>
            </w:pPr>
            <w:r w:rsidRPr="00141D36">
              <w:rPr>
                <w:b w:val="0"/>
              </w:rPr>
              <w:t>Figure 5.</w:t>
            </w:r>
            <w:r w:rsidR="00E46125" w:rsidRPr="00141D36">
              <w:rPr>
                <w:b w:val="0"/>
                <w:noProof/>
              </w:rPr>
              <w:t>4</w:t>
            </w:r>
            <w:r w:rsidRPr="00141D36">
              <w:tab/>
              <w:t>VET participation rate, by target age group and Indigenous status, 2013</w:t>
            </w:r>
            <w:r w:rsidRPr="00141D36">
              <w:rPr>
                <w:rStyle w:val="NoteLabel"/>
                <w:b/>
              </w:rPr>
              <w:t>a, b, c</w:t>
            </w:r>
          </w:p>
        </w:tc>
      </w:tr>
      <w:tr w:rsidR="00133B84" w:rsidRPr="00141D36" w:rsidTr="00133B84">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33B84" w:rsidRPr="00141D36" w:rsidTr="00133B84">
              <w:tc>
                <w:tcPr>
                  <w:tcW w:w="5000" w:type="pct"/>
                  <w:tcBorders>
                    <w:top w:val="nil"/>
                    <w:bottom w:val="nil"/>
                  </w:tcBorders>
                </w:tcPr>
                <w:p w:rsidR="00133B84" w:rsidRPr="00141D36" w:rsidRDefault="00133B84" w:rsidP="00133B84">
                  <w:pPr>
                    <w:pStyle w:val="Figure"/>
                    <w:spacing w:before="0" w:after="0"/>
                  </w:pPr>
                  <w:r w:rsidRPr="00141D36">
                    <w:rPr>
                      <w:noProof/>
                    </w:rPr>
                    <w:drawing>
                      <wp:inline distT="0" distB="0" distL="0" distR="0" wp14:anchorId="44D7D86F" wp14:editId="2796E661">
                        <wp:extent cx="5391150" cy="1790700"/>
                        <wp:effectExtent l="0" t="0" r="0" b="0"/>
                        <wp:docPr id="10" name="Picture 10" descr="Figure 5.10 VET participation rate, by target age group and Indigenous status, 2013&#10;&#10;(a) 15-64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1150" cy="1790700"/>
                                </a:xfrm>
                                <a:prstGeom prst="rect">
                                  <a:avLst/>
                                </a:prstGeom>
                                <a:noFill/>
                                <a:ln>
                                  <a:noFill/>
                                </a:ln>
                              </pic:spPr>
                            </pic:pic>
                          </a:graphicData>
                        </a:graphic>
                      </wp:inline>
                    </w:drawing>
                  </w:r>
                  <w:r w:rsidRPr="00141D36">
                    <w:t xml:space="preserve"> </w:t>
                  </w:r>
                  <w:r w:rsidRPr="00141D36">
                    <w:br/>
                  </w:r>
                  <w:r w:rsidRPr="00141D36">
                    <w:rPr>
                      <w:noProof/>
                    </w:rPr>
                    <w:drawing>
                      <wp:inline distT="0" distB="0" distL="0" distR="0" wp14:anchorId="6310D8B9" wp14:editId="185727F9">
                        <wp:extent cx="5391150" cy="1790700"/>
                        <wp:effectExtent l="0" t="0" r="0" b="0"/>
                        <wp:docPr id="11" name="Picture 11" descr="Figure 5.10 VET participation rate, by target age group and Indigenous status, 2013&#10;&#10;(b) 18-24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1150" cy="1790700"/>
                                </a:xfrm>
                                <a:prstGeom prst="rect">
                                  <a:avLst/>
                                </a:prstGeom>
                                <a:noFill/>
                                <a:ln>
                                  <a:noFill/>
                                </a:ln>
                              </pic:spPr>
                            </pic:pic>
                          </a:graphicData>
                        </a:graphic>
                      </wp:inline>
                    </w:drawing>
                  </w:r>
                  <w:r w:rsidRPr="00141D36">
                    <w:t xml:space="preserve"> </w:t>
                  </w:r>
                  <w:r w:rsidRPr="00141D36">
                    <w:br/>
                  </w:r>
                  <w:r w:rsidRPr="00141D36">
                    <w:rPr>
                      <w:noProof/>
                    </w:rPr>
                    <w:drawing>
                      <wp:inline distT="0" distB="0" distL="0" distR="0" wp14:anchorId="62A52B1C" wp14:editId="7573BF17">
                        <wp:extent cx="5391150" cy="2076450"/>
                        <wp:effectExtent l="0" t="0" r="0" b="0"/>
                        <wp:docPr id="12" name="Picture 12" descr="Figure 5.10 VET participation rate, by target age group and Indigenous status, 2013&#10;&#10;(c) 20-64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1150" cy="2076450"/>
                                </a:xfrm>
                                <a:prstGeom prst="rect">
                                  <a:avLst/>
                                </a:prstGeom>
                                <a:noFill/>
                                <a:ln>
                                  <a:noFill/>
                                </a:ln>
                              </pic:spPr>
                            </pic:pic>
                          </a:graphicData>
                        </a:graphic>
                      </wp:inline>
                    </w:drawing>
                  </w:r>
                </w:p>
              </w:tc>
            </w:tr>
          </w:tbl>
          <w:p w:rsidR="00133B84" w:rsidRPr="00141D36" w:rsidRDefault="00133B84" w:rsidP="00133B84">
            <w:pPr>
              <w:pStyle w:val="Figure"/>
            </w:pPr>
          </w:p>
        </w:tc>
      </w:tr>
      <w:tr w:rsidR="00133B84" w:rsidRPr="00141D36" w:rsidTr="00133B84">
        <w:tc>
          <w:tcPr>
            <w:tcW w:w="8771" w:type="dxa"/>
            <w:tcBorders>
              <w:top w:val="nil"/>
              <w:left w:val="nil"/>
              <w:bottom w:val="nil"/>
              <w:right w:val="nil"/>
            </w:tcBorders>
            <w:shd w:val="clear" w:color="auto" w:fill="auto"/>
          </w:tcPr>
          <w:p w:rsidR="00133B84" w:rsidRPr="00141D36" w:rsidRDefault="00133B84" w:rsidP="00EF1D1E">
            <w:pPr>
              <w:pStyle w:val="Note"/>
            </w:pPr>
            <w:r w:rsidRPr="00141D36">
              <w:rPr>
                <w:rStyle w:val="NoteLabel"/>
              </w:rPr>
              <w:t>a</w:t>
            </w:r>
            <w:r w:rsidRPr="00141D36">
              <w:t xml:space="preserve"> Data are for government funded VET students. </w:t>
            </w:r>
            <w:r w:rsidRPr="00141D36">
              <w:rPr>
                <w:rStyle w:val="NoteLabel"/>
              </w:rPr>
              <w:t>b</w:t>
            </w:r>
            <w:r w:rsidRPr="00141D36">
              <w:t xml:space="preserve"> The Aboriginal and Torres Strait Islander student participation rate is the number of Aboriginal and Torres Strait Islander students as a percentage of the estimates of the Aboriginal and Torres Strait Islander population. The all students participation rate is the number of students as a percentage of the estimated total population.</w:t>
            </w:r>
            <w:r w:rsidRPr="00141D36">
              <w:rPr>
                <w:rStyle w:val="NoteLabel"/>
              </w:rPr>
              <w:t xml:space="preserve"> c</w:t>
            </w:r>
            <w:r w:rsidRPr="00141D36">
              <w:t xml:space="preserve"> Aboriginal and Torres Strait Islander students are defined as those who self-identify on enrolment forms that they are of Aboriginal and/or Torres Strait Islander background. Care should be taken in comparing participation data due to the high non-response rates in some jurisdictions (see table </w:t>
            </w:r>
            <w:proofErr w:type="spellStart"/>
            <w:r w:rsidRPr="00141D36">
              <w:t>5A.10</w:t>
            </w:r>
            <w:proofErr w:type="spellEnd"/>
            <w:r w:rsidRPr="00141D36">
              <w:t>).</w:t>
            </w:r>
          </w:p>
        </w:tc>
      </w:tr>
      <w:tr w:rsidR="00133B84" w:rsidRPr="00141D36" w:rsidTr="00133B84">
        <w:tc>
          <w:tcPr>
            <w:tcW w:w="8771" w:type="dxa"/>
            <w:tcBorders>
              <w:top w:val="nil"/>
              <w:left w:val="nil"/>
              <w:bottom w:val="nil"/>
              <w:right w:val="nil"/>
            </w:tcBorders>
            <w:shd w:val="clear" w:color="auto" w:fill="auto"/>
          </w:tcPr>
          <w:p w:rsidR="00133B84" w:rsidRPr="00141D36" w:rsidRDefault="00133B84" w:rsidP="00D657C4">
            <w:pPr>
              <w:pStyle w:val="Source"/>
            </w:pPr>
            <w:r w:rsidRPr="00141D36">
              <w:rPr>
                <w:i/>
              </w:rPr>
              <w:t>Source</w:t>
            </w:r>
            <w:r w:rsidRPr="00141D36">
              <w:t xml:space="preserve">: </w:t>
            </w:r>
            <w:proofErr w:type="spellStart"/>
            <w:r w:rsidRPr="00141D36">
              <w:t>NCVER</w:t>
            </w:r>
            <w:proofErr w:type="spellEnd"/>
            <w:r w:rsidRPr="00141D36">
              <w:t xml:space="preserve"> (unpublished) National VET provider </w:t>
            </w:r>
            <w:r w:rsidRPr="00141D36">
              <w:rPr>
                <w:shd w:val="clear" w:color="auto" w:fill="FFFFFF" w:themeFill="background1"/>
              </w:rPr>
              <w:t xml:space="preserve">collection; ABS (2013), </w:t>
            </w:r>
            <w:r w:rsidRPr="00141D36">
              <w:rPr>
                <w:i/>
                <w:shd w:val="clear" w:color="auto" w:fill="FFFFFF" w:themeFill="background1"/>
              </w:rPr>
              <w:t>Australian</w:t>
            </w:r>
            <w:r w:rsidRPr="00141D36">
              <w:rPr>
                <w:i/>
              </w:rPr>
              <w:t xml:space="preserve"> Demographic Statistics, June 2013</w:t>
            </w:r>
            <w:r w:rsidRPr="00141D36">
              <w:t xml:space="preserve">, Cat. no. 3101.0, Canberra; ABS (2013) </w:t>
            </w:r>
            <w:r w:rsidRPr="00141D36">
              <w:rPr>
                <w:i/>
              </w:rPr>
              <w:t>Estimates and Projections, Aboriginal and Torres Strait Islander Australians</w:t>
            </w:r>
            <w:r w:rsidRPr="00141D36">
              <w:t>, 2001 to 202</w:t>
            </w:r>
            <w:r w:rsidR="00E46125" w:rsidRPr="00141D36">
              <w:t xml:space="preserve">6, Cat. no. 3238.0; table </w:t>
            </w:r>
            <w:proofErr w:type="spellStart"/>
            <w:r w:rsidR="00E46125" w:rsidRPr="00141D36">
              <w:t>5A.10</w:t>
            </w:r>
            <w:proofErr w:type="spellEnd"/>
            <w:r w:rsidR="00E46125" w:rsidRPr="00141D36">
              <w:t>; 201</w:t>
            </w:r>
            <w:r w:rsidR="00D657C4" w:rsidRPr="00141D36">
              <w:t>5</w:t>
            </w:r>
            <w:r w:rsidR="00E46125" w:rsidRPr="00141D36">
              <w:t xml:space="preserve"> Report, figure 5.10, </w:t>
            </w:r>
            <w:r w:rsidR="00E46125" w:rsidRPr="00141D36">
              <w:br/>
              <w:t>p. 5.24.</w:t>
            </w:r>
          </w:p>
        </w:tc>
      </w:tr>
      <w:tr w:rsidR="00133B84" w:rsidRPr="00141D36" w:rsidTr="00133B84">
        <w:tc>
          <w:tcPr>
            <w:tcW w:w="8771" w:type="dxa"/>
            <w:tcBorders>
              <w:top w:val="nil"/>
              <w:left w:val="nil"/>
              <w:bottom w:val="single" w:sz="6" w:space="0" w:color="78A22F"/>
              <w:right w:val="nil"/>
            </w:tcBorders>
            <w:shd w:val="clear" w:color="auto" w:fill="auto"/>
          </w:tcPr>
          <w:p w:rsidR="00133B84" w:rsidRPr="00141D36" w:rsidRDefault="00133B84" w:rsidP="00133B84">
            <w:pPr>
              <w:pStyle w:val="Figurespace"/>
            </w:pPr>
          </w:p>
        </w:tc>
      </w:tr>
      <w:tr w:rsidR="007664DC" w:rsidRPr="00141D36" w:rsidTr="00133B84">
        <w:tc>
          <w:tcPr>
            <w:tcW w:w="8771" w:type="dxa"/>
            <w:tcBorders>
              <w:top w:val="single" w:sz="6" w:space="0" w:color="78A22F"/>
              <w:left w:val="nil"/>
              <w:bottom w:val="nil"/>
              <w:right w:val="nil"/>
            </w:tcBorders>
          </w:tcPr>
          <w:p w:rsidR="007664DC" w:rsidRPr="00141D36" w:rsidRDefault="007664DC" w:rsidP="00D57D33">
            <w:pPr>
              <w:pStyle w:val="BoxSpaceBelow"/>
            </w:pPr>
          </w:p>
        </w:tc>
      </w:tr>
    </w:tbl>
    <w:p w:rsidR="00D657C4" w:rsidRPr="00141D36" w:rsidRDefault="00D657C4" w:rsidP="00D657C4">
      <w:pPr>
        <w:pStyle w:val="Heading5"/>
      </w:pPr>
      <w:r w:rsidRPr="00141D36">
        <w:lastRenderedPageBreak/>
        <w:t>Participation in Certificate III or above</w:t>
      </w:r>
    </w:p>
    <w:p w:rsidR="00133B84" w:rsidRPr="00141D36" w:rsidRDefault="00133B84" w:rsidP="00133B84">
      <w:pPr>
        <w:pStyle w:val="BodyText"/>
      </w:pPr>
      <w:r w:rsidRPr="00141D36">
        <w:t>In 2013, approximately 1.0 million people aged 15–64 years participated in a government funded VET program at certificate III level or above, representing 6.6 per cent of the population aged 15–64 years nationally (figure 5.</w:t>
      </w:r>
      <w:r w:rsidR="00D657C4" w:rsidRPr="00141D36">
        <w:t>5</w:t>
      </w:r>
      <w:r w:rsidRPr="00141D36">
        <w:t xml:space="preserve"> and table </w:t>
      </w:r>
      <w:proofErr w:type="spellStart"/>
      <w:r w:rsidRPr="00141D36">
        <w:t>5A.17</w:t>
      </w:r>
      <w:proofErr w:type="spellEnd"/>
      <w:r w:rsidRPr="00141D36">
        <w:t>). This compares with 8.5 per cent of the Aboriginal and Torres Strait Islander population and 6.3 per cent of the non-Indigenous population aged 15–64 years (figure 5.</w:t>
      </w:r>
      <w:r w:rsidR="00D657C4" w:rsidRPr="00141D36">
        <w:t>5</w:t>
      </w:r>
      <w:r w:rsidRPr="00141D36">
        <w:t>).</w:t>
      </w:r>
    </w:p>
    <w:p w:rsidR="00133B84" w:rsidRPr="00141D36" w:rsidRDefault="00133B84" w:rsidP="00133B84">
      <w:pPr>
        <w:pStyle w:val="BodyText"/>
      </w:pPr>
      <w:r w:rsidRPr="00141D36">
        <w:t>Nationally in 2013, 16.0 per cent of all people aged 18–24 years participated in government funded VET at the certificate III level or above, compared with 14.3 per cent of the Aboriginal and Torres Strait Islander population and 15.7 per cent of the non</w:t>
      </w:r>
      <w:r w:rsidRPr="00141D36">
        <w:noBreakHyphen/>
        <w:t>Indigenous population aged 18–24 years. Nationally, 5.7 per cent of all people aged 20</w:t>
      </w:r>
      <w:r w:rsidR="00EF1D1E" w:rsidRPr="00141D36">
        <w:t>–</w:t>
      </w:r>
      <w:r w:rsidRPr="00141D36">
        <w:t>64 years participated, compared with 7.7 per cent of the Aboriginal and Torres Strait Islander population and 5.4 per cent of the non-Indigenous population aged 20–64 years (figure 5.</w:t>
      </w:r>
      <w:r w:rsidR="00D657C4" w:rsidRPr="00141D36">
        <w:t>5</w:t>
      </w:r>
      <w:r w:rsidRPr="00141D36">
        <w:t>).</w:t>
      </w:r>
    </w:p>
    <w:p w:rsidR="00133B84" w:rsidRPr="00141D36" w:rsidRDefault="00133B84" w:rsidP="00133B8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33B84" w:rsidRPr="00141D36" w:rsidTr="00133B84">
        <w:tc>
          <w:tcPr>
            <w:tcW w:w="8771" w:type="dxa"/>
            <w:tcBorders>
              <w:top w:val="single" w:sz="6" w:space="0" w:color="78A22F"/>
              <w:left w:val="nil"/>
              <w:bottom w:val="nil"/>
              <w:right w:val="nil"/>
            </w:tcBorders>
            <w:shd w:val="clear" w:color="auto" w:fill="auto"/>
          </w:tcPr>
          <w:p w:rsidR="00133B84" w:rsidRPr="00141D36" w:rsidRDefault="00133B84" w:rsidP="00D657C4">
            <w:pPr>
              <w:pStyle w:val="FigureTitle"/>
            </w:pPr>
            <w:r w:rsidRPr="00141D36">
              <w:rPr>
                <w:b w:val="0"/>
              </w:rPr>
              <w:t>Figure 5.</w:t>
            </w:r>
            <w:r w:rsidR="00D657C4" w:rsidRPr="00141D36">
              <w:rPr>
                <w:b w:val="0"/>
                <w:noProof/>
              </w:rPr>
              <w:t>5</w:t>
            </w:r>
            <w:r w:rsidRPr="00141D36">
              <w:tab/>
              <w:t>VET participation rate in certificate III and above, by target age group and Indigenous status, 2013</w:t>
            </w:r>
            <w:r w:rsidRPr="00141D36">
              <w:rPr>
                <w:rStyle w:val="NoteLabel"/>
                <w:b/>
              </w:rPr>
              <w:t>a, b, c, d</w:t>
            </w:r>
          </w:p>
        </w:tc>
      </w:tr>
      <w:tr w:rsidR="00133B84" w:rsidRPr="00141D36" w:rsidTr="00133B84">
        <w:tc>
          <w:tcPr>
            <w:tcW w:w="8771" w:type="dxa"/>
            <w:tcBorders>
              <w:top w:val="nil"/>
              <w:left w:val="nil"/>
              <w:bottom w:val="nil"/>
              <w:right w:val="nil"/>
            </w:tcBorders>
            <w:shd w:val="clear" w:color="auto" w:fill="auto"/>
            <w:tcMar>
              <w:top w:w="28" w:type="dxa"/>
              <w:bottom w:w="28" w:type="dxa"/>
            </w:tcMar>
          </w:tcPr>
          <w:tbl>
            <w:tblPr>
              <w:tblW w:w="8561"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61"/>
            </w:tblGrid>
            <w:tr w:rsidR="00133B84" w:rsidRPr="00141D36" w:rsidTr="00133B84">
              <w:tc>
                <w:tcPr>
                  <w:tcW w:w="5000" w:type="pct"/>
                  <w:tcBorders>
                    <w:top w:val="nil"/>
                    <w:bottom w:val="nil"/>
                  </w:tcBorders>
                </w:tcPr>
                <w:p w:rsidR="00133B84" w:rsidRPr="00141D36" w:rsidRDefault="00133B84" w:rsidP="00133B84">
                  <w:pPr>
                    <w:pStyle w:val="Figure"/>
                    <w:shd w:val="clear" w:color="auto" w:fill="FFFFFF" w:themeFill="background1"/>
                    <w:spacing w:before="0" w:after="0"/>
                  </w:pPr>
                  <w:r w:rsidRPr="00141D36">
                    <w:rPr>
                      <w:noProof/>
                    </w:rPr>
                    <w:drawing>
                      <wp:inline distT="0" distB="0" distL="0" distR="0" wp14:anchorId="7476C119" wp14:editId="0ADAE3EE">
                        <wp:extent cx="5391150" cy="1790700"/>
                        <wp:effectExtent l="0" t="0" r="0" b="0"/>
                        <wp:docPr id="13" name="Picture 13" descr="Figure 5.11 VET participation rate in certificate III and above, by target age group and Indigenous status, 2013&#10;&#10;(a) 15-64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91150" cy="1790700"/>
                                </a:xfrm>
                                <a:prstGeom prst="rect">
                                  <a:avLst/>
                                </a:prstGeom>
                                <a:noFill/>
                                <a:ln>
                                  <a:noFill/>
                                </a:ln>
                              </pic:spPr>
                            </pic:pic>
                          </a:graphicData>
                        </a:graphic>
                      </wp:inline>
                    </w:drawing>
                  </w:r>
                </w:p>
                <w:p w:rsidR="00133B84" w:rsidRPr="00141D36" w:rsidRDefault="00133B84" w:rsidP="00133B84">
                  <w:pPr>
                    <w:pStyle w:val="Figure"/>
                    <w:shd w:val="clear" w:color="auto" w:fill="FFFFFF" w:themeFill="background1"/>
                    <w:spacing w:before="0" w:after="0"/>
                  </w:pPr>
                  <w:r w:rsidRPr="00141D36">
                    <w:rPr>
                      <w:noProof/>
                    </w:rPr>
                    <w:drawing>
                      <wp:inline distT="0" distB="0" distL="0" distR="0" wp14:anchorId="0A66E114" wp14:editId="27D577E9">
                        <wp:extent cx="5391150" cy="1790700"/>
                        <wp:effectExtent l="0" t="0" r="0" b="0"/>
                        <wp:docPr id="15" name="Picture 15" descr="Figure 5.11 VET participation rate in certificate III and above, by target age group and Indigenous status, 2013&#10;&#10;(b) 18-24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1150" cy="1790700"/>
                                </a:xfrm>
                                <a:prstGeom prst="rect">
                                  <a:avLst/>
                                </a:prstGeom>
                                <a:noFill/>
                                <a:ln>
                                  <a:noFill/>
                                </a:ln>
                              </pic:spPr>
                            </pic:pic>
                          </a:graphicData>
                        </a:graphic>
                      </wp:inline>
                    </w:drawing>
                  </w:r>
                </w:p>
                <w:p w:rsidR="00133B84" w:rsidRPr="00141D36" w:rsidRDefault="00133B84" w:rsidP="00133B84">
                  <w:pPr>
                    <w:pStyle w:val="Figure"/>
                    <w:shd w:val="clear" w:color="auto" w:fill="FFFFFF" w:themeFill="background1"/>
                    <w:spacing w:before="0" w:after="0"/>
                  </w:pPr>
                  <w:r w:rsidRPr="00141D36">
                    <w:rPr>
                      <w:noProof/>
                    </w:rPr>
                    <w:drawing>
                      <wp:inline distT="0" distB="0" distL="0" distR="0" wp14:anchorId="4365EF99" wp14:editId="38A5A523">
                        <wp:extent cx="5391150" cy="2076450"/>
                        <wp:effectExtent l="0" t="0" r="0" b="0"/>
                        <wp:docPr id="16" name="Picture 16" descr="Figure 5.11 VET participation rate in certificate III and above, by target age group and Indigenous status, 2013&#10;&#10;(c) 20-64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91150" cy="2076450"/>
                                </a:xfrm>
                                <a:prstGeom prst="rect">
                                  <a:avLst/>
                                </a:prstGeom>
                                <a:noFill/>
                                <a:ln>
                                  <a:noFill/>
                                </a:ln>
                              </pic:spPr>
                            </pic:pic>
                          </a:graphicData>
                        </a:graphic>
                      </wp:inline>
                    </w:drawing>
                  </w:r>
                </w:p>
              </w:tc>
            </w:tr>
          </w:tbl>
          <w:p w:rsidR="00133B84" w:rsidRPr="00141D36" w:rsidRDefault="00133B84" w:rsidP="00133B84">
            <w:pPr>
              <w:pStyle w:val="Figure"/>
            </w:pPr>
          </w:p>
        </w:tc>
      </w:tr>
      <w:tr w:rsidR="00133B84" w:rsidRPr="00141D36" w:rsidTr="00133B84">
        <w:tc>
          <w:tcPr>
            <w:tcW w:w="8771" w:type="dxa"/>
            <w:tcBorders>
              <w:top w:val="nil"/>
              <w:left w:val="nil"/>
              <w:bottom w:val="nil"/>
              <w:right w:val="nil"/>
            </w:tcBorders>
            <w:shd w:val="clear" w:color="auto" w:fill="auto"/>
          </w:tcPr>
          <w:p w:rsidR="00133B84" w:rsidRPr="00141D36" w:rsidRDefault="00133B84" w:rsidP="00133B84">
            <w:pPr>
              <w:pStyle w:val="Note"/>
            </w:pPr>
            <w:r w:rsidRPr="00141D36">
              <w:rPr>
                <w:rStyle w:val="NoteLabel"/>
              </w:rPr>
              <w:t>a</w:t>
            </w:r>
            <w:r w:rsidRPr="00141D36">
              <w:t xml:space="preserve"> Data are for government funded VET students. </w:t>
            </w:r>
            <w:r w:rsidRPr="00141D36">
              <w:rPr>
                <w:rStyle w:val="NoteLabel"/>
              </w:rPr>
              <w:t>b</w:t>
            </w:r>
            <w:r w:rsidRPr="00141D36">
              <w:t xml:space="preserve"> Data are for the highest level qualification attempted by a student in a reporting year. </w:t>
            </w:r>
            <w:r w:rsidRPr="00141D36">
              <w:rPr>
                <w:rStyle w:val="NoteLabel"/>
              </w:rPr>
              <w:t>c</w:t>
            </w:r>
            <w:r w:rsidRPr="00141D36">
              <w:t xml:space="preserve"> The Aboriginal and Torres Strait Islander students participation rate is the number of Aboriginal and Torres Strait Islander students as a percentage of the estimates of the Aboriginal and Torres Strait Islander population. The all students participation rate is the number of students as a percentage of the estimated total population. </w:t>
            </w:r>
            <w:r w:rsidRPr="00141D36">
              <w:rPr>
                <w:rStyle w:val="NoteLabel"/>
              </w:rPr>
              <w:t>d</w:t>
            </w:r>
            <w:r w:rsidRPr="00141D36">
              <w:t xml:space="preserve"> Aboriginal and Torres Strait Islander students are defined as those who self-identify on enrolment forms that they are of Aboriginal and/or Torres Strait Islander background. Care should be taken in comparing participation data due to the high non-response rates in some </w:t>
            </w:r>
            <w:r w:rsidR="00D657C4" w:rsidRPr="00141D36">
              <w:t xml:space="preserve">jurisdictions (see table </w:t>
            </w:r>
            <w:proofErr w:type="spellStart"/>
            <w:r w:rsidRPr="00141D36">
              <w:t>5A.17</w:t>
            </w:r>
            <w:proofErr w:type="spellEnd"/>
            <w:r w:rsidRPr="00141D36">
              <w:t>).</w:t>
            </w:r>
          </w:p>
        </w:tc>
      </w:tr>
      <w:tr w:rsidR="00133B84" w:rsidRPr="00141D36" w:rsidTr="00133B84">
        <w:tc>
          <w:tcPr>
            <w:tcW w:w="8771" w:type="dxa"/>
            <w:tcBorders>
              <w:top w:val="nil"/>
              <w:left w:val="nil"/>
              <w:bottom w:val="nil"/>
              <w:right w:val="nil"/>
            </w:tcBorders>
            <w:shd w:val="clear" w:color="auto" w:fill="auto"/>
          </w:tcPr>
          <w:p w:rsidR="00133B84" w:rsidRPr="00141D36" w:rsidRDefault="00133B84" w:rsidP="00D657C4">
            <w:pPr>
              <w:pStyle w:val="Source"/>
            </w:pPr>
            <w:r w:rsidRPr="00141D36">
              <w:rPr>
                <w:i/>
              </w:rPr>
              <w:t>Source</w:t>
            </w:r>
            <w:r w:rsidRPr="00141D36">
              <w:t xml:space="preserve">: </w:t>
            </w:r>
            <w:proofErr w:type="spellStart"/>
            <w:r w:rsidRPr="00141D36">
              <w:t>NCVER</w:t>
            </w:r>
            <w:proofErr w:type="spellEnd"/>
            <w:r w:rsidRPr="00141D36">
              <w:t xml:space="preserve"> (unpublished) National VET provider collection; ABS (2013), </w:t>
            </w:r>
            <w:r w:rsidRPr="00141D36">
              <w:rPr>
                <w:i/>
              </w:rPr>
              <w:t>Australian Demographic Statistics, June 2013</w:t>
            </w:r>
            <w:r w:rsidRPr="00141D36">
              <w:t xml:space="preserve">, Cat. no. 3101.0, Canberra; ABS (2013) </w:t>
            </w:r>
            <w:r w:rsidRPr="00141D36">
              <w:rPr>
                <w:i/>
              </w:rPr>
              <w:t>Estimates and Projections, Aboriginal and Torres Strait Islander Australians</w:t>
            </w:r>
            <w:r w:rsidRPr="00141D36">
              <w:t>, 2001 to 202</w:t>
            </w:r>
            <w:r w:rsidR="00D657C4" w:rsidRPr="00141D36">
              <w:t xml:space="preserve">6, Cat. no. 3238.0; table </w:t>
            </w:r>
            <w:proofErr w:type="spellStart"/>
            <w:r w:rsidR="00D657C4" w:rsidRPr="00141D36">
              <w:t>5A.17</w:t>
            </w:r>
            <w:proofErr w:type="spellEnd"/>
            <w:r w:rsidR="00D657C4" w:rsidRPr="00141D36">
              <w:t xml:space="preserve">; 2015 Report, figure 5.11, </w:t>
            </w:r>
            <w:r w:rsidR="00D657C4" w:rsidRPr="00141D36">
              <w:br/>
              <w:t>p. 5.26.</w:t>
            </w:r>
          </w:p>
        </w:tc>
      </w:tr>
      <w:tr w:rsidR="00133B84" w:rsidRPr="00141D36" w:rsidTr="00133B84">
        <w:tc>
          <w:tcPr>
            <w:tcW w:w="8771" w:type="dxa"/>
            <w:tcBorders>
              <w:top w:val="nil"/>
              <w:left w:val="nil"/>
              <w:bottom w:val="single" w:sz="6" w:space="0" w:color="78A22F"/>
              <w:right w:val="nil"/>
            </w:tcBorders>
            <w:shd w:val="clear" w:color="auto" w:fill="auto"/>
          </w:tcPr>
          <w:p w:rsidR="00133B84" w:rsidRPr="00141D36" w:rsidRDefault="00133B84" w:rsidP="00133B84">
            <w:pPr>
              <w:pStyle w:val="Figurespace"/>
            </w:pPr>
          </w:p>
        </w:tc>
      </w:tr>
      <w:tr w:rsidR="007664DC" w:rsidRPr="00141D36" w:rsidTr="00133B84">
        <w:tc>
          <w:tcPr>
            <w:tcW w:w="8771" w:type="dxa"/>
            <w:tcBorders>
              <w:top w:val="single" w:sz="6" w:space="0" w:color="78A22F"/>
              <w:left w:val="nil"/>
              <w:bottom w:val="nil"/>
              <w:right w:val="nil"/>
            </w:tcBorders>
          </w:tcPr>
          <w:p w:rsidR="007664DC" w:rsidRPr="00141D36" w:rsidRDefault="007664DC" w:rsidP="00D57D33">
            <w:pPr>
              <w:pStyle w:val="BoxSpaceBelow"/>
            </w:pPr>
          </w:p>
        </w:tc>
      </w:tr>
    </w:tbl>
    <w:p w:rsidR="00133B84" w:rsidRPr="00141D36" w:rsidRDefault="00133B84" w:rsidP="00133B84">
      <w:pPr>
        <w:pStyle w:val="Heading5"/>
      </w:pPr>
      <w:r w:rsidRPr="00141D36">
        <w:lastRenderedPageBreak/>
        <w:t>Participation in diploma and above</w:t>
      </w:r>
    </w:p>
    <w:p w:rsidR="00133B84" w:rsidRPr="00141D36" w:rsidRDefault="00D657C4" w:rsidP="00133B84">
      <w:pPr>
        <w:pStyle w:val="BodyText"/>
      </w:pPr>
      <w:r w:rsidRPr="00141D36">
        <w:t>In 2013, approximately 173</w:t>
      </w:r>
      <w:r w:rsidR="00EF1D1E" w:rsidRPr="00141D36">
        <w:t> </w:t>
      </w:r>
      <w:r w:rsidR="00133B84" w:rsidRPr="00141D36">
        <w:t>400</w:t>
      </w:r>
      <w:r w:rsidR="00133B84" w:rsidRPr="00141D36">
        <w:rPr>
          <w:color w:val="FF0000"/>
        </w:rPr>
        <w:t xml:space="preserve"> </w:t>
      </w:r>
      <w:r w:rsidR="00133B84" w:rsidRPr="00141D36">
        <w:t>people aged 15–64 years participated in a government funded VET program at the diploma level or above, representing 1.1 per cent of the population aged 15–64 years nationally (figure 5.</w:t>
      </w:r>
      <w:r w:rsidRPr="00141D36">
        <w:t>6</w:t>
      </w:r>
      <w:r w:rsidR="00133B84" w:rsidRPr="00141D36">
        <w:t xml:space="preserve"> and table </w:t>
      </w:r>
      <w:proofErr w:type="spellStart"/>
      <w:r w:rsidR="00133B84" w:rsidRPr="00141D36">
        <w:t>5A.18</w:t>
      </w:r>
      <w:proofErr w:type="spellEnd"/>
      <w:r w:rsidR="00133B84" w:rsidRPr="00141D36">
        <w:t>). This compares with 1.0 per cent of the Aboriginal and Torres Strait Islander population and 1.1 per cent of the non-Indigenous population aged 15–64 years (figure 5.</w:t>
      </w:r>
      <w:r w:rsidRPr="00141D36">
        <w:t>6</w:t>
      </w:r>
      <w:r w:rsidR="00133B84" w:rsidRPr="00141D36">
        <w:t>).</w:t>
      </w:r>
    </w:p>
    <w:p w:rsidR="00D657C4" w:rsidRPr="00141D36" w:rsidRDefault="00133B84" w:rsidP="00133B84">
      <w:pPr>
        <w:pStyle w:val="BodyText"/>
        <w:shd w:val="clear" w:color="auto" w:fill="FFFFFF" w:themeFill="background1"/>
      </w:pPr>
      <w:r w:rsidRPr="00141D36">
        <w:t xml:space="preserve">Nationally in 2013, 2.5 per cent of all people aged </w:t>
      </w:r>
      <w:r w:rsidRPr="00141D36">
        <w:rPr>
          <w:szCs w:val="26"/>
        </w:rPr>
        <w:t>18</w:t>
      </w:r>
      <w:r w:rsidRPr="00141D36">
        <w:t xml:space="preserve">–24 years participated in government funded VET at the diploma level or above, compared with 1.2 per cent of the Aboriginal and Torres Strait Islander population and 2.5 per cent of the non-Indigenous population aged </w:t>
      </w:r>
      <w:r w:rsidRPr="00141D36">
        <w:rPr>
          <w:szCs w:val="26"/>
        </w:rPr>
        <w:t>18</w:t>
      </w:r>
      <w:r w:rsidRPr="00141D36">
        <w:t xml:space="preserve">–24 years. Nationally, 1.1 per cent of all people aged </w:t>
      </w:r>
      <w:r w:rsidRPr="00141D36">
        <w:rPr>
          <w:szCs w:val="26"/>
        </w:rPr>
        <w:t>20</w:t>
      </w:r>
      <w:r w:rsidRPr="00141D36">
        <w:t>–64 years participated, with similar proportions participating for Aboriginal and Torres Strait Islander and non</w:t>
      </w:r>
      <w:r w:rsidRPr="00141D36">
        <w:noBreakHyphen/>
        <w:t>Indigenous populations (1.1 per cent and 1.0 per cent, respectively) (figure 5.</w:t>
      </w:r>
      <w:r w:rsidR="00D657C4" w:rsidRPr="00141D36">
        <w:t>6</w:t>
      </w:r>
      <w:r w:rsidRPr="00141D36">
        <w:t>).</w:t>
      </w:r>
    </w:p>
    <w:p w:rsidR="00133B84" w:rsidRPr="00141D36" w:rsidRDefault="00133B84" w:rsidP="00133B84">
      <w:pPr>
        <w:pStyle w:val="BodyText"/>
        <w:shd w:val="clear" w:color="auto" w:fill="FFFFFF" w:themeFill="background1"/>
      </w:pPr>
      <w:r w:rsidRPr="00141D36">
        <w:br w:type="page"/>
      </w:r>
    </w:p>
    <w:p w:rsidR="009C4470" w:rsidRPr="00141D36" w:rsidRDefault="009C4470" w:rsidP="009C447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33B84" w:rsidRPr="00141D36" w:rsidTr="00133B84">
        <w:tc>
          <w:tcPr>
            <w:tcW w:w="8771" w:type="dxa"/>
            <w:tcBorders>
              <w:top w:val="single" w:sz="6" w:space="0" w:color="78A22F"/>
              <w:left w:val="nil"/>
              <w:bottom w:val="nil"/>
              <w:right w:val="nil"/>
            </w:tcBorders>
            <w:shd w:val="clear" w:color="auto" w:fill="auto"/>
          </w:tcPr>
          <w:p w:rsidR="00133B84" w:rsidRPr="00141D36" w:rsidRDefault="00133B84" w:rsidP="00D657C4">
            <w:pPr>
              <w:pStyle w:val="FigureTitle"/>
            </w:pPr>
            <w:r w:rsidRPr="00141D36">
              <w:rPr>
                <w:b w:val="0"/>
              </w:rPr>
              <w:t>Figure 5.</w:t>
            </w:r>
            <w:r w:rsidR="00D657C4" w:rsidRPr="00141D36">
              <w:rPr>
                <w:b w:val="0"/>
                <w:noProof/>
              </w:rPr>
              <w:t>6</w:t>
            </w:r>
            <w:r w:rsidRPr="00141D36">
              <w:tab/>
              <w:t>VET participation rate in diploma and above, by target age group and Indigenous status, 2013</w:t>
            </w:r>
            <w:r w:rsidRPr="00141D36">
              <w:rPr>
                <w:rStyle w:val="NoteLabel"/>
                <w:b/>
              </w:rPr>
              <w:t>a, b, c, d, e</w:t>
            </w:r>
          </w:p>
        </w:tc>
      </w:tr>
      <w:tr w:rsidR="00133B84" w:rsidRPr="00141D36" w:rsidTr="00133B84">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33B84" w:rsidRPr="00141D36" w:rsidTr="00133B84">
              <w:tc>
                <w:tcPr>
                  <w:tcW w:w="5000" w:type="pct"/>
                  <w:tcBorders>
                    <w:top w:val="nil"/>
                    <w:bottom w:val="nil"/>
                  </w:tcBorders>
                </w:tcPr>
                <w:p w:rsidR="00133B84" w:rsidRPr="00141D36" w:rsidRDefault="00133B84" w:rsidP="00133B84">
                  <w:pPr>
                    <w:pStyle w:val="Figure"/>
                    <w:spacing w:before="0" w:after="0"/>
                  </w:pPr>
                  <w:r w:rsidRPr="00141D36">
                    <w:rPr>
                      <w:noProof/>
                    </w:rPr>
                    <w:drawing>
                      <wp:inline distT="0" distB="0" distL="0" distR="0" wp14:anchorId="45BD006A" wp14:editId="7EC5AE08">
                        <wp:extent cx="5391150" cy="1619250"/>
                        <wp:effectExtent l="0" t="0" r="0" b="0"/>
                        <wp:docPr id="17" name="Picture 17" descr="Figure 5.12 VET participation rate in diploma and above, by target age group and Indigenous status, 2013&#10;&#10;(a) 15-64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91150" cy="1619250"/>
                                </a:xfrm>
                                <a:prstGeom prst="rect">
                                  <a:avLst/>
                                </a:prstGeom>
                                <a:noFill/>
                                <a:ln>
                                  <a:noFill/>
                                </a:ln>
                              </pic:spPr>
                            </pic:pic>
                          </a:graphicData>
                        </a:graphic>
                      </wp:inline>
                    </w:drawing>
                  </w:r>
                  <w:r w:rsidRPr="00141D36">
                    <w:rPr>
                      <w:noProof/>
                    </w:rPr>
                    <w:br/>
                  </w:r>
                  <w:r w:rsidRPr="00141D36">
                    <w:rPr>
                      <w:noProof/>
                    </w:rPr>
                    <w:drawing>
                      <wp:inline distT="0" distB="0" distL="0" distR="0" wp14:anchorId="00B26CB6" wp14:editId="580122B6">
                        <wp:extent cx="5391150" cy="1790700"/>
                        <wp:effectExtent l="0" t="0" r="0" b="0"/>
                        <wp:docPr id="18" name="Picture 18" descr="Figure 5.12 VET participation rate in diploma and above, by target age group and Indigenous status, 2013&#10;&#10;(b) 18-24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91150" cy="1790700"/>
                                </a:xfrm>
                                <a:prstGeom prst="rect">
                                  <a:avLst/>
                                </a:prstGeom>
                                <a:noFill/>
                                <a:ln>
                                  <a:noFill/>
                                </a:ln>
                              </pic:spPr>
                            </pic:pic>
                          </a:graphicData>
                        </a:graphic>
                      </wp:inline>
                    </w:drawing>
                  </w:r>
                  <w:r w:rsidRPr="00141D36">
                    <w:rPr>
                      <w:noProof/>
                    </w:rPr>
                    <w:br/>
                  </w:r>
                  <w:r w:rsidRPr="00141D36">
                    <w:rPr>
                      <w:noProof/>
                    </w:rPr>
                    <w:drawing>
                      <wp:inline distT="0" distB="0" distL="0" distR="0" wp14:anchorId="3E9D7A7B" wp14:editId="3A70A83C">
                        <wp:extent cx="5391150" cy="1952625"/>
                        <wp:effectExtent l="0" t="0" r="0" b="9525"/>
                        <wp:docPr id="19" name="Picture 19" descr="Figure 5.12 VET participation rate in diploma and above, by target age group and Indigenous status, 2013&#10;&#10;(c) 20-64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91150" cy="1952625"/>
                                </a:xfrm>
                                <a:prstGeom prst="rect">
                                  <a:avLst/>
                                </a:prstGeom>
                                <a:noFill/>
                                <a:ln>
                                  <a:noFill/>
                                </a:ln>
                              </pic:spPr>
                            </pic:pic>
                          </a:graphicData>
                        </a:graphic>
                      </wp:inline>
                    </w:drawing>
                  </w:r>
                </w:p>
              </w:tc>
            </w:tr>
          </w:tbl>
          <w:p w:rsidR="00133B84" w:rsidRPr="00141D36" w:rsidRDefault="00133B84" w:rsidP="00133B84">
            <w:pPr>
              <w:pStyle w:val="Figure"/>
            </w:pPr>
          </w:p>
        </w:tc>
      </w:tr>
      <w:tr w:rsidR="00133B84" w:rsidRPr="00141D36" w:rsidTr="00133B84">
        <w:tc>
          <w:tcPr>
            <w:tcW w:w="8771" w:type="dxa"/>
            <w:tcBorders>
              <w:top w:val="nil"/>
              <w:left w:val="nil"/>
              <w:bottom w:val="nil"/>
              <w:right w:val="nil"/>
            </w:tcBorders>
            <w:shd w:val="clear" w:color="auto" w:fill="auto"/>
          </w:tcPr>
          <w:p w:rsidR="00133B84" w:rsidRPr="00141D36" w:rsidRDefault="00133B84" w:rsidP="00133B84">
            <w:pPr>
              <w:pStyle w:val="Note"/>
            </w:pPr>
            <w:r w:rsidRPr="00141D36">
              <w:rPr>
                <w:rStyle w:val="NoteLabel"/>
              </w:rPr>
              <w:t>a</w:t>
            </w:r>
            <w:r w:rsidRPr="00141D36">
              <w:t xml:space="preserve"> Data are for government funded VET students. </w:t>
            </w:r>
            <w:r w:rsidRPr="00141D36">
              <w:rPr>
                <w:rStyle w:val="NoteLabel"/>
              </w:rPr>
              <w:t>b</w:t>
            </w:r>
            <w:r w:rsidRPr="00141D36">
              <w:t xml:space="preserve"> Data are for the highest level qualification attempted by a student in a reporting year. </w:t>
            </w:r>
            <w:r w:rsidRPr="00141D36">
              <w:rPr>
                <w:rStyle w:val="NoteLabel"/>
              </w:rPr>
              <w:t>c</w:t>
            </w:r>
            <w:r w:rsidRPr="00141D36">
              <w:t xml:space="preserve"> Course levels classified as diploma and above are included in the group of courses classified as certificate III and above. </w:t>
            </w:r>
            <w:r w:rsidRPr="00141D36">
              <w:rPr>
                <w:rStyle w:val="NoteLabel"/>
              </w:rPr>
              <w:t>d</w:t>
            </w:r>
            <w:r w:rsidRPr="00141D36">
              <w:t xml:space="preserve"> The Aboriginal and Torres Strait Islander students participation rate is the number of Aboriginal and Torres Strait Islander students as a percentage of the estimates of the Aboriginal and Torres Strait Islander population. The all students participation rate is the number of students as a percentage of the estimated total population.</w:t>
            </w:r>
            <w:r w:rsidRPr="00141D36">
              <w:rPr>
                <w:rStyle w:val="NoteLabel"/>
              </w:rPr>
              <w:t xml:space="preserve"> e</w:t>
            </w:r>
            <w:r w:rsidRPr="00141D36">
              <w:t xml:space="preserve"> Aboriginal and Torres Strait Islander students are defined as those who self-identify on enrolment forms that they are of Aboriginal and/or Torres Strait Islander background. Not all students respond to the relevant questi</w:t>
            </w:r>
            <w:r w:rsidR="00BF6A07" w:rsidRPr="00141D36">
              <w:t xml:space="preserve">on on the enrolment form (table </w:t>
            </w:r>
            <w:proofErr w:type="spellStart"/>
            <w:r w:rsidRPr="00141D36">
              <w:t>5A.18</w:t>
            </w:r>
            <w:proofErr w:type="spellEnd"/>
            <w:r w:rsidRPr="00141D36">
              <w:t>). Care needs to be taken in comparing participation data due to the high non</w:t>
            </w:r>
            <w:r w:rsidRPr="00141D36">
              <w:noBreakHyphen/>
              <w:t>response rates in some jurisdictions.</w:t>
            </w:r>
          </w:p>
        </w:tc>
      </w:tr>
      <w:tr w:rsidR="00133B84" w:rsidRPr="00141D36" w:rsidTr="00133B84">
        <w:tc>
          <w:tcPr>
            <w:tcW w:w="8771" w:type="dxa"/>
            <w:tcBorders>
              <w:top w:val="nil"/>
              <w:left w:val="nil"/>
              <w:bottom w:val="nil"/>
              <w:right w:val="nil"/>
            </w:tcBorders>
            <w:shd w:val="clear" w:color="auto" w:fill="auto"/>
          </w:tcPr>
          <w:p w:rsidR="00133B84" w:rsidRPr="00141D36" w:rsidRDefault="00133B84" w:rsidP="00D57D33">
            <w:pPr>
              <w:pStyle w:val="Source"/>
            </w:pPr>
            <w:r w:rsidRPr="00141D36">
              <w:rPr>
                <w:i/>
              </w:rPr>
              <w:t xml:space="preserve">Source: </w:t>
            </w:r>
            <w:proofErr w:type="spellStart"/>
            <w:r w:rsidRPr="00141D36">
              <w:rPr>
                <w:i/>
              </w:rPr>
              <w:t>NCVER</w:t>
            </w:r>
            <w:proofErr w:type="spellEnd"/>
            <w:r w:rsidRPr="00141D36">
              <w:rPr>
                <w:i/>
              </w:rPr>
              <w:t xml:space="preserve"> (unpublished) National VET </w:t>
            </w:r>
            <w:r w:rsidRPr="00141D36">
              <w:rPr>
                <w:i/>
                <w:shd w:val="clear" w:color="auto" w:fill="FFFFFF" w:themeFill="background1"/>
              </w:rPr>
              <w:t>provider collection; ABS</w:t>
            </w:r>
            <w:r w:rsidRPr="00141D36">
              <w:rPr>
                <w:shd w:val="clear" w:color="auto" w:fill="FFFFFF" w:themeFill="background1"/>
              </w:rPr>
              <w:t xml:space="preserve"> (2013), </w:t>
            </w:r>
            <w:r w:rsidRPr="00141D36">
              <w:rPr>
                <w:i/>
                <w:shd w:val="clear" w:color="auto" w:fill="FFFFFF" w:themeFill="background1"/>
              </w:rPr>
              <w:t>Australian Demographic Statistics, June 2013</w:t>
            </w:r>
            <w:r w:rsidRPr="00141D36">
              <w:rPr>
                <w:shd w:val="clear" w:color="auto" w:fill="FFFFFF" w:themeFill="background1"/>
              </w:rPr>
              <w:t xml:space="preserve">, Cat. no. 3101.0, Canberra; ABS (2013) </w:t>
            </w:r>
            <w:r w:rsidRPr="00141D36">
              <w:rPr>
                <w:i/>
                <w:shd w:val="clear" w:color="auto" w:fill="FFFFFF" w:themeFill="background1"/>
              </w:rPr>
              <w:t>Estimates and Projections, Aboriginal and Torres Strait Islander Australians</w:t>
            </w:r>
            <w:r w:rsidRPr="00141D36">
              <w:rPr>
                <w:shd w:val="clear" w:color="auto" w:fill="FFFFFF" w:themeFill="background1"/>
              </w:rPr>
              <w:t>, 2001 to 20</w:t>
            </w:r>
            <w:r w:rsidR="00D657C4" w:rsidRPr="00141D36">
              <w:rPr>
                <w:shd w:val="clear" w:color="auto" w:fill="FFFFFF" w:themeFill="background1"/>
              </w:rPr>
              <w:t xml:space="preserve">26, Cat. no. 3238.; table </w:t>
            </w:r>
            <w:proofErr w:type="spellStart"/>
            <w:r w:rsidR="00D657C4" w:rsidRPr="00141D36">
              <w:rPr>
                <w:shd w:val="clear" w:color="auto" w:fill="FFFFFF" w:themeFill="background1"/>
              </w:rPr>
              <w:t>5A.18</w:t>
            </w:r>
            <w:proofErr w:type="spellEnd"/>
            <w:r w:rsidR="00D657C4" w:rsidRPr="00141D36">
              <w:t xml:space="preserve">; 2015 Report, figure 5.12, </w:t>
            </w:r>
            <w:r w:rsidR="00D657C4" w:rsidRPr="00141D36">
              <w:br/>
              <w:t>p. 5.</w:t>
            </w:r>
            <w:r w:rsidR="00D57D33" w:rsidRPr="00141D36">
              <w:t>28</w:t>
            </w:r>
            <w:r w:rsidR="00D657C4" w:rsidRPr="00141D36">
              <w:t>.</w:t>
            </w:r>
          </w:p>
        </w:tc>
      </w:tr>
      <w:tr w:rsidR="00133B84" w:rsidRPr="00141D36" w:rsidTr="00133B84">
        <w:tc>
          <w:tcPr>
            <w:tcW w:w="8771" w:type="dxa"/>
            <w:tcBorders>
              <w:top w:val="nil"/>
              <w:left w:val="nil"/>
              <w:bottom w:val="single" w:sz="6" w:space="0" w:color="78A22F"/>
              <w:right w:val="nil"/>
            </w:tcBorders>
            <w:shd w:val="clear" w:color="auto" w:fill="auto"/>
          </w:tcPr>
          <w:p w:rsidR="00133B84" w:rsidRPr="00141D36" w:rsidRDefault="00133B84" w:rsidP="00133B84">
            <w:pPr>
              <w:pStyle w:val="Figurespace"/>
            </w:pPr>
          </w:p>
        </w:tc>
      </w:tr>
      <w:tr w:rsidR="007664DC" w:rsidRPr="00141D36" w:rsidTr="00133B84">
        <w:tc>
          <w:tcPr>
            <w:tcW w:w="8771" w:type="dxa"/>
            <w:tcBorders>
              <w:top w:val="single" w:sz="6" w:space="0" w:color="78A22F"/>
              <w:left w:val="nil"/>
              <w:bottom w:val="nil"/>
              <w:right w:val="nil"/>
            </w:tcBorders>
          </w:tcPr>
          <w:p w:rsidR="007664DC" w:rsidRPr="00141D36" w:rsidRDefault="007664DC" w:rsidP="00D57D33">
            <w:pPr>
              <w:pStyle w:val="BoxSpaceBelow"/>
            </w:pPr>
          </w:p>
        </w:tc>
      </w:tr>
    </w:tbl>
    <w:p w:rsidR="00133B84" w:rsidRPr="00141D36" w:rsidRDefault="00133B84" w:rsidP="00133B84">
      <w:pPr>
        <w:pStyle w:val="Heading3"/>
      </w:pPr>
      <w:bookmarkStart w:id="19" w:name="_Toc410731941"/>
      <w:r w:rsidRPr="00141D36">
        <w:lastRenderedPageBreak/>
        <w:t>Outcomes</w:t>
      </w:r>
      <w:bookmarkEnd w:id="19"/>
    </w:p>
    <w:p w:rsidR="00133B84" w:rsidRPr="00141D36" w:rsidRDefault="00133B84" w:rsidP="00133B84">
      <w:pPr>
        <w:pStyle w:val="Heading5"/>
      </w:pPr>
      <w:r w:rsidRPr="00141D36">
        <w:t>Student employment and further study outcomes</w:t>
      </w:r>
    </w:p>
    <w:p w:rsidR="00133B84" w:rsidRPr="00141D36" w:rsidRDefault="00133B84" w:rsidP="00133B84">
      <w:pPr>
        <w:pStyle w:val="BodyText"/>
      </w:pPr>
      <w:r w:rsidRPr="00141D36">
        <w:t>‘Student employment and further study outcomes’ is an indicator of governments’ objective for the VET system to meet individual students’ objectives. It reports on the benefits students gained from the VET system. These benefits include employment, improved employment circumstances, a pathway for further study/training, and personal development (box 5.</w:t>
      </w:r>
      <w:r w:rsidR="00D657C4" w:rsidRPr="00141D36">
        <w:t>3</w:t>
      </w:r>
      <w:r w:rsidRPr="00141D36">
        <w:t>).</w:t>
      </w:r>
    </w:p>
    <w:p w:rsidR="00133B84" w:rsidRPr="00141D36" w:rsidRDefault="00133B84" w:rsidP="00133B8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33B84" w:rsidRPr="00141D36" w:rsidTr="00133B84">
        <w:tc>
          <w:tcPr>
            <w:tcW w:w="8771" w:type="dxa"/>
            <w:tcBorders>
              <w:top w:val="single" w:sz="6" w:space="0" w:color="78A22F"/>
              <w:left w:val="nil"/>
              <w:bottom w:val="nil"/>
              <w:right w:val="nil"/>
            </w:tcBorders>
            <w:shd w:val="clear" w:color="auto" w:fill="F2F2F2" w:themeFill="background1" w:themeFillShade="F2"/>
          </w:tcPr>
          <w:p w:rsidR="00133B84" w:rsidRPr="00141D36" w:rsidRDefault="00133B84" w:rsidP="00D657C4">
            <w:pPr>
              <w:pStyle w:val="BoxTitle"/>
            </w:pPr>
            <w:r w:rsidRPr="00141D36">
              <w:rPr>
                <w:b w:val="0"/>
              </w:rPr>
              <w:t>Box 5.</w:t>
            </w:r>
            <w:r w:rsidR="00D657C4" w:rsidRPr="00141D36">
              <w:rPr>
                <w:b w:val="0"/>
                <w:noProof/>
              </w:rPr>
              <w:t>3</w:t>
            </w:r>
            <w:r w:rsidRPr="00141D36">
              <w:tab/>
              <w:t>Student employment and further study outcomes</w:t>
            </w:r>
          </w:p>
        </w:tc>
      </w:tr>
      <w:tr w:rsidR="00133B84" w:rsidRPr="00141D36" w:rsidTr="00133B84">
        <w:trPr>
          <w:cantSplit/>
        </w:trPr>
        <w:tc>
          <w:tcPr>
            <w:tcW w:w="8771" w:type="dxa"/>
            <w:tcBorders>
              <w:top w:val="nil"/>
              <w:left w:val="nil"/>
              <w:bottom w:val="nil"/>
              <w:right w:val="nil"/>
            </w:tcBorders>
            <w:shd w:val="clear" w:color="auto" w:fill="F2F2F2" w:themeFill="background1" w:themeFillShade="F2"/>
          </w:tcPr>
          <w:p w:rsidR="00133B84" w:rsidRPr="00141D36" w:rsidRDefault="00133B84" w:rsidP="00133B84">
            <w:pPr>
              <w:pStyle w:val="Box"/>
            </w:pPr>
            <w:r w:rsidRPr="00141D36">
              <w:t>‘Student employment and further study outcomes’ is defined by four measures:</w:t>
            </w:r>
          </w:p>
          <w:p w:rsidR="00133B84" w:rsidRPr="00141D36" w:rsidRDefault="00133B84" w:rsidP="00133B84">
            <w:pPr>
              <w:pStyle w:val="BoxListBullet"/>
            </w:pPr>
            <w:r w:rsidRPr="00141D36">
              <w:t>the proportion of government funded VET graduates who were employed and/or continued on to further study after completing their course, reported by VET target groups</w:t>
            </w:r>
          </w:p>
          <w:p w:rsidR="00133B84" w:rsidRPr="00141D36" w:rsidRDefault="00133B84" w:rsidP="00133B84">
            <w:pPr>
              <w:pStyle w:val="BoxListBullet"/>
            </w:pPr>
            <w:r w:rsidRPr="00141D36">
              <w:t>the proportion of government funded VET graduates employed after completing their course who we</w:t>
            </w:r>
            <w:r w:rsidR="00D657C4" w:rsidRPr="00141D36">
              <w:t>re unemployed before the course</w:t>
            </w:r>
          </w:p>
          <w:p w:rsidR="00133B84" w:rsidRPr="00141D36" w:rsidRDefault="00133B84" w:rsidP="00133B84">
            <w:pPr>
              <w:pStyle w:val="BoxListBullet"/>
            </w:pPr>
            <w:r w:rsidRPr="00141D36">
              <w:rPr>
                <w:rFonts w:cs="Arial"/>
                <w:szCs w:val="22"/>
              </w:rPr>
              <w:t xml:space="preserve">the proportion of </w:t>
            </w:r>
            <w:r w:rsidRPr="00141D36">
              <w:t xml:space="preserve">government funded VET </w:t>
            </w:r>
            <w:r w:rsidRPr="00141D36">
              <w:rPr>
                <w:rFonts w:cs="Arial"/>
                <w:szCs w:val="22"/>
              </w:rPr>
              <w:t>graduates who improved their employment circumstances after completing their course</w:t>
            </w:r>
            <w:r w:rsidRPr="00141D36">
              <w:t>, reported by VET target groups and by level of qualification. The definition of ‘</w:t>
            </w:r>
            <w:r w:rsidRPr="00141D36">
              <w:rPr>
                <w:rFonts w:cs="Arial"/>
                <w:szCs w:val="22"/>
              </w:rPr>
              <w:t>improved employment circumstances’ is at least one of</w:t>
            </w:r>
            <w:r w:rsidRPr="00141D36">
              <w:t>:</w:t>
            </w:r>
          </w:p>
          <w:p w:rsidR="00133B84" w:rsidRPr="00141D36" w:rsidRDefault="00133B84" w:rsidP="00133B84">
            <w:pPr>
              <w:pStyle w:val="BoxListBullet2"/>
            </w:pPr>
            <w:bookmarkStart w:id="20" w:name="OLE_LINK73"/>
            <w:r w:rsidRPr="00141D36">
              <w:t>employment status changing from not employed before training (both unemployed and not in the labour</w:t>
            </w:r>
            <w:r w:rsidR="00EF1D1E" w:rsidRPr="00141D36">
              <w:t xml:space="preserve"> force) to employed either full time or part </w:t>
            </w:r>
            <w:r w:rsidRPr="00141D36">
              <w:t>time after training</w:t>
            </w:r>
          </w:p>
          <w:p w:rsidR="00133B84" w:rsidRPr="00141D36" w:rsidRDefault="00133B84" w:rsidP="00133B84">
            <w:pPr>
              <w:pStyle w:val="BoxListBullet2"/>
            </w:pPr>
            <w:r w:rsidRPr="00141D36">
              <w:t>employed at a higher skill level after training</w:t>
            </w:r>
          </w:p>
          <w:p w:rsidR="00133B84" w:rsidRPr="00141D36" w:rsidRDefault="00133B84" w:rsidP="00133B84">
            <w:pPr>
              <w:pStyle w:val="BoxListBullet2"/>
            </w:pPr>
            <w:r w:rsidRPr="00141D36">
              <w:t>received a job-related benefit after completing their training, including set up or expanded their own business, got a promotion, increased earnings, or other job</w:t>
            </w:r>
            <w:r w:rsidRPr="00141D36">
              <w:noBreakHyphen/>
              <w:t>related benefits</w:t>
            </w:r>
          </w:p>
          <w:bookmarkEnd w:id="20"/>
          <w:p w:rsidR="00133B84" w:rsidRPr="00141D36" w:rsidRDefault="00133B84" w:rsidP="00133B84">
            <w:pPr>
              <w:pStyle w:val="BoxListBullet"/>
            </w:pPr>
            <w:r w:rsidRPr="00141D36">
              <w:t>the proportion of government funded VET graduates who undertook their course for employment-related reasons and were employed after completing their course, who reported at least one job-related bene</w:t>
            </w:r>
            <w:r w:rsidR="00D657C4" w:rsidRPr="00141D36">
              <w:t>fit from completing the course.</w:t>
            </w:r>
          </w:p>
          <w:p w:rsidR="00133B84" w:rsidRPr="00141D36" w:rsidRDefault="00133B84" w:rsidP="00133B84">
            <w:pPr>
              <w:pStyle w:val="Box"/>
            </w:pPr>
            <w:r w:rsidRPr="00141D36">
              <w:t>Data are provided for VET target groups (students with disability, students speaking a language other than English at home, students from remote and very remote areas and Aboriginal and Torres Strait Islander students).</w:t>
            </w:r>
          </w:p>
          <w:p w:rsidR="00133B84" w:rsidRPr="00141D36" w:rsidRDefault="00133B84" w:rsidP="00133B84">
            <w:pPr>
              <w:pStyle w:val="Box"/>
            </w:pPr>
            <w:r w:rsidRPr="00141D36">
              <w:t>Holding other factors constant, high or increasing proportions indicate positive employment or further study outcomes after training. The proportion of students who improved their employment outcomes or were engaged in further study can overlap, since students may realise the two outcomes simultaneously.</w:t>
            </w:r>
          </w:p>
          <w:p w:rsidR="00133B84" w:rsidRPr="00141D36" w:rsidRDefault="00133B84" w:rsidP="00133B84">
            <w:pPr>
              <w:pStyle w:val="Box"/>
            </w:pPr>
            <w:r w:rsidRPr="00141D36">
              <w:t xml:space="preserve">Comparison of labour market outcomes must also account for the general economic conditions in each jurisdiction (see </w:t>
            </w:r>
            <w:r w:rsidR="00EF1D1E" w:rsidRPr="00141D36">
              <w:t xml:space="preserve">2015 Report, </w:t>
            </w:r>
            <w:r w:rsidRPr="00141D36">
              <w:t>chapter 2).</w:t>
            </w:r>
          </w:p>
          <w:p w:rsidR="00133B84" w:rsidRPr="00141D36" w:rsidRDefault="00133B84" w:rsidP="00133B84">
            <w:pPr>
              <w:pStyle w:val="Box"/>
            </w:pPr>
            <w:r w:rsidRPr="00141D36">
              <w:t>Data reported for these measures are:</w:t>
            </w:r>
          </w:p>
          <w:p w:rsidR="00133B84" w:rsidRPr="00141D36" w:rsidRDefault="00133B84" w:rsidP="00133B84">
            <w:pPr>
              <w:pStyle w:val="BoxListBullet"/>
            </w:pPr>
            <w:r w:rsidRPr="00141D36">
              <w:t>comparable (subject to caveats) across jurisdictions and over time</w:t>
            </w:r>
          </w:p>
          <w:p w:rsidR="00133B84" w:rsidRPr="00141D36" w:rsidRDefault="00133B84" w:rsidP="00133B84">
            <w:pPr>
              <w:pStyle w:val="BoxListBullet"/>
            </w:pPr>
            <w:r w:rsidRPr="00141D36">
              <w:t>complete for the current reporting period (subject to caveats). All required 2013 data are available for all jurisdictions providing the service.</w:t>
            </w:r>
          </w:p>
          <w:p w:rsidR="00133B84" w:rsidRPr="00141D36" w:rsidRDefault="00133B84" w:rsidP="00133B84">
            <w:pPr>
              <w:pStyle w:val="Box"/>
            </w:pPr>
            <w:r w:rsidRPr="00141D36">
              <w:t xml:space="preserve">Data quality information for this indicator is at </w:t>
            </w:r>
            <w:proofErr w:type="spellStart"/>
            <w:r w:rsidR="00EF1D1E" w:rsidRPr="00141D36">
              <w:t>www.pc.gov.au</w:t>
            </w:r>
            <w:proofErr w:type="spellEnd"/>
            <w:r w:rsidR="00EF1D1E" w:rsidRPr="00141D36">
              <w:t>/research/recurring/report-on-government-services</w:t>
            </w:r>
            <w:r w:rsidRPr="00141D36">
              <w:t>.</w:t>
            </w:r>
          </w:p>
        </w:tc>
      </w:tr>
      <w:tr w:rsidR="00133B84" w:rsidRPr="00141D36" w:rsidTr="00133B84">
        <w:trPr>
          <w:cantSplit/>
        </w:trPr>
        <w:tc>
          <w:tcPr>
            <w:tcW w:w="8771" w:type="dxa"/>
            <w:tcBorders>
              <w:top w:val="nil"/>
              <w:left w:val="nil"/>
              <w:bottom w:val="single" w:sz="6" w:space="0" w:color="78A22F"/>
              <w:right w:val="nil"/>
            </w:tcBorders>
            <w:shd w:val="clear" w:color="auto" w:fill="F2F2F2" w:themeFill="background1" w:themeFillShade="F2"/>
          </w:tcPr>
          <w:p w:rsidR="00133B84" w:rsidRPr="00141D36" w:rsidRDefault="00133B84" w:rsidP="00133B84">
            <w:pPr>
              <w:pStyle w:val="Box"/>
              <w:spacing w:before="0" w:line="120" w:lineRule="exact"/>
            </w:pPr>
          </w:p>
        </w:tc>
      </w:tr>
      <w:tr w:rsidR="007664DC" w:rsidRPr="00141D36" w:rsidTr="00133B84">
        <w:tc>
          <w:tcPr>
            <w:tcW w:w="8771" w:type="dxa"/>
            <w:tcBorders>
              <w:top w:val="single" w:sz="6" w:space="0" w:color="78A22F"/>
              <w:left w:val="nil"/>
              <w:bottom w:val="nil"/>
              <w:right w:val="nil"/>
            </w:tcBorders>
          </w:tcPr>
          <w:p w:rsidR="007664DC" w:rsidRPr="00141D36" w:rsidRDefault="007664DC" w:rsidP="00D57D33">
            <w:pPr>
              <w:pStyle w:val="BoxSpaceBelow"/>
            </w:pPr>
          </w:p>
        </w:tc>
      </w:tr>
    </w:tbl>
    <w:p w:rsidR="00133B84" w:rsidRPr="00141D36" w:rsidRDefault="00133B84" w:rsidP="00133B84">
      <w:pPr>
        <w:pStyle w:val="Heading6"/>
      </w:pPr>
      <w:r w:rsidRPr="00141D36">
        <w:t>Student employment and further study outcomes —the proportion of graduates who were employed and/or continued on to further study after completing their course</w:t>
      </w:r>
    </w:p>
    <w:p w:rsidR="00133B84" w:rsidRPr="00141D36" w:rsidRDefault="00133B84" w:rsidP="00133B84">
      <w:pPr>
        <w:pStyle w:val="BodyText"/>
      </w:pPr>
      <w:r w:rsidRPr="00141D36">
        <w:t>Nationally, 81.5 per cent of government funded Aboriginal and Torres Strait Islander VET graduates in 2013 indicated that they were employed and/or in further study after completing a cou</w:t>
      </w:r>
      <w:r w:rsidR="00862B00" w:rsidRPr="00141D36">
        <w:t xml:space="preserve">rse — compared with 84.2 per </w:t>
      </w:r>
      <w:r w:rsidRPr="00141D36">
        <w:t xml:space="preserve">cent in 2009. Of government funded Aboriginal and Torres Strait Islander VET graduates in 2013, 67.2 per cent indicated that they were employed after completing a course (compared with 77.0 per cent of all government funded VET graduates) and 38.9 per cent continued on to further study </w:t>
      </w:r>
      <w:r w:rsidRPr="00141D36">
        <w:lastRenderedPageBreak/>
        <w:t>(compared with 35.3 per cent of all government funded VET graduates) (figure 5.</w:t>
      </w:r>
      <w:r w:rsidR="00862B00" w:rsidRPr="00141D36">
        <w:t>7</w:t>
      </w:r>
      <w:r w:rsidR="0025710A" w:rsidRPr="00141D36">
        <w:t xml:space="preserve">, </w:t>
      </w:r>
      <w:r w:rsidR="0025710A" w:rsidRPr="00141D36">
        <w:br/>
        <w:t>table</w:t>
      </w:r>
      <w:r w:rsidRPr="00141D36">
        <w:t xml:space="preserve"> </w:t>
      </w:r>
      <w:proofErr w:type="spellStart"/>
      <w:r w:rsidRPr="00141D36">
        <w:t>5A.2</w:t>
      </w:r>
      <w:r w:rsidR="009F34CF" w:rsidRPr="00141D36">
        <w:t>6</w:t>
      </w:r>
      <w:proofErr w:type="spellEnd"/>
      <w:r w:rsidR="009F34CF" w:rsidRPr="00141D36">
        <w:t xml:space="preserve"> and 201</w:t>
      </w:r>
      <w:r w:rsidR="00515AA4" w:rsidRPr="00141D36">
        <w:t>5</w:t>
      </w:r>
      <w:r w:rsidR="0025710A" w:rsidRPr="00141D36">
        <w:t xml:space="preserve"> Report</w:t>
      </w:r>
      <w:r w:rsidR="009F34CF" w:rsidRPr="00141D36">
        <w:t xml:space="preserve"> table </w:t>
      </w:r>
      <w:proofErr w:type="spellStart"/>
      <w:r w:rsidR="009F34CF" w:rsidRPr="00141D36">
        <w:t>5A.25</w:t>
      </w:r>
      <w:proofErr w:type="spellEnd"/>
      <w:r w:rsidRPr="00141D36">
        <w:t>).</w:t>
      </w:r>
    </w:p>
    <w:p w:rsidR="00133B84" w:rsidRPr="00141D36" w:rsidRDefault="00133B84" w:rsidP="00133B8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33B84" w:rsidRPr="00141D36" w:rsidTr="00133B84">
        <w:tc>
          <w:tcPr>
            <w:tcW w:w="8771" w:type="dxa"/>
            <w:tcBorders>
              <w:top w:val="single" w:sz="6" w:space="0" w:color="78A22F"/>
              <w:left w:val="nil"/>
              <w:bottom w:val="nil"/>
              <w:right w:val="nil"/>
            </w:tcBorders>
            <w:shd w:val="clear" w:color="auto" w:fill="auto"/>
          </w:tcPr>
          <w:p w:rsidR="00133B84" w:rsidRPr="00141D36" w:rsidRDefault="00133B84" w:rsidP="009F34CF">
            <w:pPr>
              <w:pStyle w:val="FigureTitle"/>
            </w:pPr>
            <w:r w:rsidRPr="00141D36">
              <w:rPr>
                <w:b w:val="0"/>
              </w:rPr>
              <w:t>Figure 5.</w:t>
            </w:r>
            <w:r w:rsidR="009F34CF" w:rsidRPr="00141D36">
              <w:rPr>
                <w:b w:val="0"/>
                <w:noProof/>
              </w:rPr>
              <w:t>7</w:t>
            </w:r>
            <w:r w:rsidRPr="00141D36">
              <w:tab/>
              <w:t>Proportion of Aboriginal and Torres Strait Islander government funded VET graduates in employment and/or who continued on to further study in 2013 after completing a course</w:t>
            </w:r>
            <w:r w:rsidR="0025710A" w:rsidRPr="00141D36">
              <w:rPr>
                <w:rStyle w:val="NoteLabel"/>
                <w:b/>
              </w:rPr>
              <w:t>a, b, c</w:t>
            </w:r>
          </w:p>
        </w:tc>
      </w:tr>
      <w:tr w:rsidR="00133B84" w:rsidRPr="00141D36" w:rsidTr="00133B84">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33B84" w:rsidRPr="00141D36" w:rsidTr="00133B84">
              <w:tc>
                <w:tcPr>
                  <w:tcW w:w="5000" w:type="pct"/>
                  <w:tcBorders>
                    <w:top w:val="nil"/>
                    <w:bottom w:val="nil"/>
                  </w:tcBorders>
                </w:tcPr>
                <w:p w:rsidR="00133B84" w:rsidRPr="00141D36" w:rsidRDefault="00F25AA7" w:rsidP="00133B84">
                  <w:pPr>
                    <w:pStyle w:val="Figure"/>
                    <w:spacing w:before="60" w:after="60"/>
                  </w:pPr>
                  <w:r>
                    <w:rPr>
                      <w:noProof/>
                    </w:rPr>
                    <w:drawing>
                      <wp:inline distT="0" distB="0" distL="0" distR="0">
                        <wp:extent cx="5391150" cy="2695575"/>
                        <wp:effectExtent l="0" t="0" r="0" b="9525"/>
                        <wp:docPr id="4" name="Picture 4" descr="Figure 5.7 Proportion of Aboriginal and Torres Strait Islander government funded VET graduates in employment and/or who continued on to further study in 2013 after completing a cours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133B84" w:rsidRPr="00141D36" w:rsidRDefault="00133B84" w:rsidP="00133B84">
            <w:pPr>
              <w:pStyle w:val="Figure"/>
            </w:pPr>
          </w:p>
        </w:tc>
      </w:tr>
      <w:tr w:rsidR="00133B84" w:rsidRPr="00141D36" w:rsidTr="00133B84">
        <w:tc>
          <w:tcPr>
            <w:tcW w:w="8771" w:type="dxa"/>
            <w:tcBorders>
              <w:top w:val="nil"/>
              <w:left w:val="nil"/>
              <w:bottom w:val="nil"/>
              <w:right w:val="nil"/>
            </w:tcBorders>
            <w:shd w:val="clear" w:color="auto" w:fill="auto"/>
          </w:tcPr>
          <w:p w:rsidR="00133B84" w:rsidRPr="00141D36" w:rsidRDefault="00133B84" w:rsidP="0025710A">
            <w:pPr>
              <w:pStyle w:val="Note"/>
            </w:pPr>
            <w:r w:rsidRPr="00141D36">
              <w:rPr>
                <w:rStyle w:val="NoteLabel"/>
              </w:rPr>
              <w:t>a</w:t>
            </w:r>
            <w:r w:rsidRPr="00141D36">
              <w:t xml:space="preserve"> Graduates employed and graduates in further study are subsets of graduates who are employed or in further study. Graduates can be both employed and in further study. </w:t>
            </w:r>
            <w:r w:rsidRPr="00141D36">
              <w:rPr>
                <w:rStyle w:val="NoteLabel"/>
              </w:rPr>
              <w:t>b</w:t>
            </w:r>
            <w:r w:rsidRPr="00141D36">
              <w:t xml:space="preserve"> Error bars represent the 95 per cent confidence interval associated with each point estimate </w:t>
            </w:r>
            <w:r w:rsidRPr="00141D36">
              <w:rPr>
                <w:rStyle w:val="NoteLabel"/>
              </w:rPr>
              <w:t>c </w:t>
            </w:r>
            <w:r w:rsidRPr="00141D36">
              <w:t>Data relate to</w:t>
            </w:r>
            <w:r w:rsidR="0025710A" w:rsidRPr="00141D36">
              <w:rPr>
                <w:shd w:val="clear" w:color="auto" w:fill="FFFFFF" w:themeFill="background1"/>
              </w:rPr>
              <w:t xml:space="preserve"> courses completed in 2012.</w:t>
            </w:r>
          </w:p>
        </w:tc>
      </w:tr>
      <w:tr w:rsidR="00133B84" w:rsidRPr="00141D36" w:rsidTr="00133B84">
        <w:tc>
          <w:tcPr>
            <w:tcW w:w="8771" w:type="dxa"/>
            <w:tcBorders>
              <w:top w:val="nil"/>
              <w:left w:val="nil"/>
              <w:bottom w:val="nil"/>
              <w:right w:val="nil"/>
            </w:tcBorders>
            <w:shd w:val="clear" w:color="auto" w:fill="auto"/>
          </w:tcPr>
          <w:p w:rsidR="00133B84" w:rsidRPr="00141D36" w:rsidRDefault="00133B84" w:rsidP="009F34CF">
            <w:pPr>
              <w:pStyle w:val="Source"/>
            </w:pPr>
            <w:r w:rsidRPr="00141D36">
              <w:rPr>
                <w:i/>
              </w:rPr>
              <w:t>Source</w:t>
            </w:r>
            <w:r w:rsidRPr="00141D36">
              <w:t xml:space="preserve">: </w:t>
            </w:r>
            <w:proofErr w:type="spellStart"/>
            <w:r w:rsidRPr="00141D36">
              <w:t>NCVER</w:t>
            </w:r>
            <w:proofErr w:type="spellEnd"/>
            <w:r w:rsidRPr="00141D36">
              <w:t xml:space="preserve"> (unpublished) </w:t>
            </w:r>
            <w:r w:rsidRPr="00141D36">
              <w:rPr>
                <w:i/>
              </w:rPr>
              <w:t>Student Outcomes Survey</w:t>
            </w:r>
            <w:r w:rsidR="009F34CF" w:rsidRPr="00141D36">
              <w:t xml:space="preserve">; table </w:t>
            </w:r>
            <w:proofErr w:type="spellStart"/>
            <w:r w:rsidR="009F34CF" w:rsidRPr="00141D36">
              <w:t>5A.26</w:t>
            </w:r>
            <w:proofErr w:type="spellEnd"/>
            <w:r w:rsidR="009F34CF" w:rsidRPr="00141D36">
              <w:t>; 2015 Report, figure 5.18, p. 5.42.</w:t>
            </w:r>
          </w:p>
        </w:tc>
      </w:tr>
      <w:tr w:rsidR="00133B84" w:rsidRPr="00141D36" w:rsidTr="00133B84">
        <w:tc>
          <w:tcPr>
            <w:tcW w:w="8771" w:type="dxa"/>
            <w:tcBorders>
              <w:top w:val="nil"/>
              <w:left w:val="nil"/>
              <w:bottom w:val="single" w:sz="6" w:space="0" w:color="78A22F"/>
              <w:right w:val="nil"/>
            </w:tcBorders>
            <w:shd w:val="clear" w:color="auto" w:fill="auto"/>
          </w:tcPr>
          <w:p w:rsidR="00133B84" w:rsidRPr="00141D36" w:rsidRDefault="00133B84" w:rsidP="00133B84">
            <w:pPr>
              <w:pStyle w:val="Figurespace"/>
            </w:pPr>
          </w:p>
        </w:tc>
      </w:tr>
      <w:tr w:rsidR="007664DC" w:rsidRPr="00141D36" w:rsidTr="00133B84">
        <w:tc>
          <w:tcPr>
            <w:tcW w:w="8771" w:type="dxa"/>
            <w:tcBorders>
              <w:top w:val="single" w:sz="6" w:space="0" w:color="78A22F"/>
              <w:left w:val="nil"/>
              <w:bottom w:val="nil"/>
              <w:right w:val="nil"/>
            </w:tcBorders>
          </w:tcPr>
          <w:p w:rsidR="007664DC" w:rsidRPr="00141D36" w:rsidRDefault="007664DC" w:rsidP="00D57D33">
            <w:pPr>
              <w:pStyle w:val="BoxSpaceBelow"/>
            </w:pPr>
          </w:p>
        </w:tc>
      </w:tr>
    </w:tbl>
    <w:p w:rsidR="00133B84" w:rsidRPr="00141D36" w:rsidRDefault="00133B84" w:rsidP="00133B84">
      <w:pPr>
        <w:pStyle w:val="BodyText"/>
      </w:pPr>
      <w:r w:rsidRPr="00141D36">
        <w:t xml:space="preserve">Nationally, 54.8 per cent of government funded VET </w:t>
      </w:r>
      <w:r w:rsidR="009F34CF" w:rsidRPr="00141D36">
        <w:t xml:space="preserve">graduates with disability, </w:t>
      </w:r>
      <w:r w:rsidR="009F34CF" w:rsidRPr="00141D36">
        <w:br/>
        <w:t xml:space="preserve">65.3 per </w:t>
      </w:r>
      <w:r w:rsidRPr="00141D36">
        <w:t>cent of graduates who spoke a language other than English at home, 85.9 per cent of graduates from remote and very remote areas and 67.2 per cent of Aboriginal and Torres Strait Islander graduates were employed in 2013 after completing a course in 2012. In comparison, 77.0 per cent of all government funded VET graduates were employed after completing a course (figure 5.</w:t>
      </w:r>
      <w:r w:rsidR="009F34CF" w:rsidRPr="00141D36">
        <w:t>8</w:t>
      </w:r>
      <w:r w:rsidRPr="00141D36">
        <w:t>).</w:t>
      </w:r>
    </w:p>
    <w:p w:rsidR="00133B84" w:rsidRPr="00141D36" w:rsidRDefault="00133B84" w:rsidP="00133B84">
      <w:pPr>
        <w:pStyle w:val="BodyText"/>
      </w:pPr>
      <w:r w:rsidRPr="00141D36">
        <w:t xml:space="preserve">Further information for non-Indigenous graduates and graduates from other geographical locations are </w:t>
      </w:r>
      <w:r w:rsidR="0025710A" w:rsidRPr="00141D36">
        <w:t xml:space="preserve">available in the </w:t>
      </w:r>
      <w:r w:rsidR="009F34CF" w:rsidRPr="00141D36">
        <w:t xml:space="preserve">2015 Report, tables </w:t>
      </w:r>
      <w:proofErr w:type="spellStart"/>
      <w:r w:rsidR="009F34CF" w:rsidRPr="00141D36">
        <w:t>5A.</w:t>
      </w:r>
      <w:r w:rsidR="00D57D33" w:rsidRPr="00141D36">
        <w:t>2</w:t>
      </w:r>
      <w:r w:rsidR="00DA518D" w:rsidRPr="00141D36">
        <w:t>7</w:t>
      </w:r>
      <w:proofErr w:type="spellEnd"/>
      <w:r w:rsidRPr="00141D36">
        <w:t>–30.</w:t>
      </w:r>
    </w:p>
    <w:p w:rsidR="00133B84" w:rsidRPr="00141D36" w:rsidRDefault="00133B84" w:rsidP="00133B8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33B84" w:rsidRPr="00141D36" w:rsidTr="00133B84">
        <w:tc>
          <w:tcPr>
            <w:tcW w:w="8771" w:type="dxa"/>
            <w:tcBorders>
              <w:top w:val="single" w:sz="6" w:space="0" w:color="78A22F"/>
              <w:left w:val="nil"/>
              <w:bottom w:val="nil"/>
              <w:right w:val="nil"/>
            </w:tcBorders>
            <w:shd w:val="clear" w:color="auto" w:fill="auto"/>
          </w:tcPr>
          <w:p w:rsidR="00133B84" w:rsidRPr="00141D36" w:rsidRDefault="00133B84" w:rsidP="009F34CF">
            <w:pPr>
              <w:pStyle w:val="FigureTitle"/>
            </w:pPr>
            <w:r w:rsidRPr="00141D36">
              <w:rPr>
                <w:b w:val="0"/>
              </w:rPr>
              <w:t>Figure 5.</w:t>
            </w:r>
            <w:r w:rsidR="009F34CF" w:rsidRPr="00141D36">
              <w:rPr>
                <w:b w:val="0"/>
                <w:noProof/>
              </w:rPr>
              <w:t>8</w:t>
            </w:r>
            <w:r w:rsidRPr="00141D36">
              <w:tab/>
              <w:t>Proportion of government funded VET graduates in employment after completing a course, by target group, 2013</w:t>
            </w:r>
            <w:r w:rsidRPr="00141D36">
              <w:rPr>
                <w:rStyle w:val="NoteLabel"/>
                <w:b/>
              </w:rPr>
              <w:t>a, b, c, d</w:t>
            </w:r>
          </w:p>
        </w:tc>
      </w:tr>
      <w:tr w:rsidR="00133B84" w:rsidRPr="00141D36" w:rsidTr="00133B84">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33B84" w:rsidRPr="00141D36" w:rsidTr="00133B84">
              <w:tc>
                <w:tcPr>
                  <w:tcW w:w="5000" w:type="pct"/>
                  <w:tcBorders>
                    <w:top w:val="nil"/>
                    <w:bottom w:val="nil"/>
                  </w:tcBorders>
                </w:tcPr>
                <w:p w:rsidR="00133B84" w:rsidRPr="00141D36" w:rsidRDefault="00F25AA7" w:rsidP="00133B84">
                  <w:pPr>
                    <w:pStyle w:val="Figure"/>
                    <w:spacing w:before="60" w:after="60"/>
                  </w:pPr>
                  <w:r>
                    <w:rPr>
                      <w:noProof/>
                    </w:rPr>
                    <w:drawing>
                      <wp:inline distT="0" distB="0" distL="0" distR="0">
                        <wp:extent cx="5391150" cy="2695575"/>
                        <wp:effectExtent l="0" t="0" r="0" b="9525"/>
                        <wp:docPr id="5" name="Picture 5" descr="Figure 5.8 Proportion of government funded VET graduates in employment after completing a course, by target group,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133B84" w:rsidRPr="00141D36" w:rsidRDefault="00133B84" w:rsidP="00133B84">
            <w:pPr>
              <w:pStyle w:val="Figure"/>
            </w:pPr>
          </w:p>
        </w:tc>
      </w:tr>
      <w:tr w:rsidR="00133B84" w:rsidRPr="00141D36" w:rsidTr="00133B84">
        <w:tc>
          <w:tcPr>
            <w:tcW w:w="8771" w:type="dxa"/>
            <w:tcBorders>
              <w:top w:val="nil"/>
              <w:left w:val="nil"/>
              <w:bottom w:val="nil"/>
              <w:right w:val="nil"/>
            </w:tcBorders>
            <w:shd w:val="clear" w:color="auto" w:fill="auto"/>
          </w:tcPr>
          <w:p w:rsidR="00133B84" w:rsidRPr="00141D36" w:rsidRDefault="00133B84" w:rsidP="00133B84">
            <w:pPr>
              <w:pStyle w:val="Note"/>
            </w:pPr>
            <w:r w:rsidRPr="00141D36">
              <w:rPr>
                <w:rStyle w:val="NoteLabel"/>
              </w:rPr>
              <w:t>a</w:t>
            </w:r>
            <w:r w:rsidRPr="00141D36">
              <w:t xml:space="preserve"> Students reported as having disability are defined as those who self-identify that they have disability, and impairment or a long-term condition. Disabilities include hearing/deaf, physical, intellectual, learning, mental illness, acquired brain impairment, vision, medical condition and other unspecified disabilities. </w:t>
            </w:r>
            <w:r w:rsidRPr="00141D36">
              <w:rPr>
                <w:rStyle w:val="NoteLabel"/>
              </w:rPr>
              <w:t>b</w:t>
            </w:r>
            <w:r w:rsidRPr="00141D36">
              <w:t xml:space="preserve"> Error bars represent the 95 per cent confidence interval associated with each point estimate. </w:t>
            </w:r>
            <w:r w:rsidRPr="00141D36">
              <w:rPr>
                <w:rStyle w:val="NoteLabel"/>
              </w:rPr>
              <w:t>c </w:t>
            </w:r>
            <w:r w:rsidRPr="00141D36">
              <w:t xml:space="preserve">Data relate to courses completed in 2012. </w:t>
            </w:r>
            <w:r w:rsidRPr="00141D36">
              <w:rPr>
                <w:rStyle w:val="NoteLabel"/>
              </w:rPr>
              <w:t>d</w:t>
            </w:r>
            <w:r w:rsidRPr="00141D36">
              <w:t xml:space="preserve"> There are no very</w:t>
            </w:r>
            <w:r w:rsidRPr="00141D36">
              <w:rPr>
                <w:shd w:val="clear" w:color="auto" w:fill="FFFFFF" w:themeFill="background1"/>
              </w:rPr>
              <w:t xml:space="preserve"> remote areas in Vict</w:t>
            </w:r>
            <w:r w:rsidRPr="00141D36">
              <w:t>oria and no remote or very remote areas in the ACT.</w:t>
            </w:r>
          </w:p>
        </w:tc>
      </w:tr>
      <w:tr w:rsidR="00133B84" w:rsidRPr="00141D36" w:rsidTr="00133B84">
        <w:tc>
          <w:tcPr>
            <w:tcW w:w="8771" w:type="dxa"/>
            <w:tcBorders>
              <w:top w:val="nil"/>
              <w:left w:val="nil"/>
              <w:bottom w:val="nil"/>
              <w:right w:val="nil"/>
            </w:tcBorders>
            <w:shd w:val="clear" w:color="auto" w:fill="auto"/>
          </w:tcPr>
          <w:p w:rsidR="00133B84" w:rsidRPr="00141D36" w:rsidRDefault="00133B84" w:rsidP="00515AA4">
            <w:pPr>
              <w:pStyle w:val="Source"/>
            </w:pPr>
            <w:r w:rsidRPr="00141D36">
              <w:rPr>
                <w:i/>
              </w:rPr>
              <w:t>Source</w:t>
            </w:r>
            <w:r w:rsidRPr="00141D36">
              <w:t xml:space="preserve">: </w:t>
            </w:r>
            <w:proofErr w:type="spellStart"/>
            <w:r w:rsidRPr="00141D36">
              <w:t>NCVER</w:t>
            </w:r>
            <w:proofErr w:type="spellEnd"/>
            <w:r w:rsidRPr="00141D36">
              <w:t xml:space="preserve"> (unpublished) </w:t>
            </w:r>
            <w:r w:rsidRPr="00141D36">
              <w:rPr>
                <w:i/>
              </w:rPr>
              <w:t>Student Outcomes Survey</w:t>
            </w:r>
            <w:r w:rsidR="009F34CF" w:rsidRPr="00141D36">
              <w:t xml:space="preserve">; table </w:t>
            </w:r>
            <w:proofErr w:type="spellStart"/>
            <w:r w:rsidR="009F34CF" w:rsidRPr="00141D36">
              <w:t>5A.26</w:t>
            </w:r>
            <w:proofErr w:type="spellEnd"/>
            <w:r w:rsidR="009F34CF" w:rsidRPr="00141D36">
              <w:t xml:space="preserve"> and 2015 Report, tables </w:t>
            </w:r>
            <w:proofErr w:type="spellStart"/>
            <w:r w:rsidR="009F34CF" w:rsidRPr="00141D36">
              <w:t>5A.25</w:t>
            </w:r>
            <w:proofErr w:type="spellEnd"/>
            <w:r w:rsidR="009F34CF" w:rsidRPr="00141D36">
              <w:t xml:space="preserve"> and </w:t>
            </w:r>
            <w:proofErr w:type="spellStart"/>
            <w:r w:rsidR="009F34CF" w:rsidRPr="00141D36">
              <w:t>5A.31</w:t>
            </w:r>
            <w:proofErr w:type="spellEnd"/>
            <w:r w:rsidR="009F34CF" w:rsidRPr="00141D36">
              <w:t>–33; 2015 Report, figure 5.19, p. 5.43.</w:t>
            </w:r>
          </w:p>
        </w:tc>
      </w:tr>
      <w:tr w:rsidR="00133B84" w:rsidRPr="00141D36" w:rsidTr="00133B84">
        <w:tc>
          <w:tcPr>
            <w:tcW w:w="8771" w:type="dxa"/>
            <w:tcBorders>
              <w:top w:val="nil"/>
              <w:left w:val="nil"/>
              <w:bottom w:val="single" w:sz="6" w:space="0" w:color="78A22F"/>
              <w:right w:val="nil"/>
            </w:tcBorders>
            <w:shd w:val="clear" w:color="auto" w:fill="auto"/>
          </w:tcPr>
          <w:p w:rsidR="00133B84" w:rsidRPr="00141D36" w:rsidRDefault="00133B84" w:rsidP="00133B84">
            <w:pPr>
              <w:pStyle w:val="Figurespace"/>
            </w:pPr>
          </w:p>
        </w:tc>
      </w:tr>
      <w:tr w:rsidR="007664DC" w:rsidRPr="00141D36" w:rsidTr="00133B84">
        <w:tc>
          <w:tcPr>
            <w:tcW w:w="8771" w:type="dxa"/>
            <w:tcBorders>
              <w:top w:val="single" w:sz="6" w:space="0" w:color="78A22F"/>
              <w:left w:val="nil"/>
              <w:bottom w:val="nil"/>
              <w:right w:val="nil"/>
            </w:tcBorders>
          </w:tcPr>
          <w:p w:rsidR="007664DC" w:rsidRPr="00141D36" w:rsidRDefault="007664DC" w:rsidP="00D57D33">
            <w:pPr>
              <w:pStyle w:val="BoxSpaceBelow"/>
            </w:pPr>
          </w:p>
        </w:tc>
      </w:tr>
    </w:tbl>
    <w:p w:rsidR="00133B84" w:rsidRPr="00141D36" w:rsidRDefault="00133B84" w:rsidP="00133B84">
      <w:pPr>
        <w:pStyle w:val="BodyText"/>
      </w:pPr>
      <w:r w:rsidRPr="00141D36">
        <w:t xml:space="preserve">Nationally, 37.4 per cent of government funded VET </w:t>
      </w:r>
      <w:r w:rsidR="009F34CF" w:rsidRPr="00141D36">
        <w:t xml:space="preserve">graduates with disability, </w:t>
      </w:r>
      <w:r w:rsidR="009F34CF" w:rsidRPr="00141D36">
        <w:br/>
        <w:t xml:space="preserve">36.9 per </w:t>
      </w:r>
      <w:r w:rsidRPr="00141D36">
        <w:t>cent of graduates who spoke a language other than English at home, 34.2 per cent of graduates from remote and very remote areas and 38.9 per cent of Aboriginal and Torres Strait Islander graduates continued on to further study in 2013 after completing a course in 2012. In comparison, 35.3 per cent of all government funded VET graduates continued on to further study (figure 5.</w:t>
      </w:r>
      <w:r w:rsidR="009F34CF" w:rsidRPr="00141D36">
        <w:t>9</w:t>
      </w:r>
      <w:r w:rsidRPr="00141D36">
        <w:t>).</w:t>
      </w:r>
    </w:p>
    <w:p w:rsidR="00133B84" w:rsidRPr="00141D36" w:rsidRDefault="00133B84" w:rsidP="00133B8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33B84" w:rsidRPr="00141D36" w:rsidTr="00133B84">
        <w:tc>
          <w:tcPr>
            <w:tcW w:w="8771" w:type="dxa"/>
            <w:tcBorders>
              <w:top w:val="nil"/>
              <w:left w:val="nil"/>
              <w:bottom w:val="nil"/>
              <w:right w:val="nil"/>
            </w:tcBorders>
            <w:shd w:val="clear" w:color="auto" w:fill="auto"/>
          </w:tcPr>
          <w:p w:rsidR="00133B84" w:rsidRPr="00141D36" w:rsidRDefault="00133B84" w:rsidP="009F34CF">
            <w:pPr>
              <w:pStyle w:val="FigureTitle"/>
            </w:pPr>
            <w:r w:rsidRPr="00141D36">
              <w:rPr>
                <w:b w:val="0"/>
              </w:rPr>
              <w:t>Figure 5.</w:t>
            </w:r>
            <w:r w:rsidR="009F34CF" w:rsidRPr="00141D36">
              <w:rPr>
                <w:b w:val="0"/>
                <w:noProof/>
              </w:rPr>
              <w:t>9</w:t>
            </w:r>
            <w:r w:rsidRPr="00141D36">
              <w:tab/>
              <w:t>Proportion of government funded VET graduates who continued on to further study after completing a course, by target group, 2013</w:t>
            </w:r>
            <w:r w:rsidRPr="00141D36">
              <w:rPr>
                <w:rStyle w:val="NoteLabel"/>
                <w:b/>
              </w:rPr>
              <w:t>a, b, c, d</w:t>
            </w:r>
          </w:p>
        </w:tc>
      </w:tr>
      <w:tr w:rsidR="00133B84" w:rsidRPr="00141D36" w:rsidTr="00133B84">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33B84" w:rsidRPr="00141D36" w:rsidTr="00133B84">
              <w:tc>
                <w:tcPr>
                  <w:tcW w:w="5000" w:type="pct"/>
                  <w:tcBorders>
                    <w:top w:val="nil"/>
                    <w:bottom w:val="nil"/>
                  </w:tcBorders>
                </w:tcPr>
                <w:p w:rsidR="00133B84" w:rsidRPr="00141D36" w:rsidRDefault="00F25AA7" w:rsidP="00133B84">
                  <w:pPr>
                    <w:pStyle w:val="Figure"/>
                    <w:spacing w:before="60" w:after="60"/>
                  </w:pPr>
                  <w:r>
                    <w:rPr>
                      <w:noProof/>
                    </w:rPr>
                    <w:drawing>
                      <wp:inline distT="0" distB="0" distL="0" distR="0">
                        <wp:extent cx="5391150" cy="2695575"/>
                        <wp:effectExtent l="0" t="0" r="0" b="9525"/>
                        <wp:docPr id="6" name="Picture 6" descr="Figure 5.9 Proportion of government funded VET graduates who continued on to further study after completing a course, by target group,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133B84" w:rsidRPr="00141D36" w:rsidRDefault="00133B84" w:rsidP="00133B84">
            <w:pPr>
              <w:pStyle w:val="Figure"/>
            </w:pPr>
          </w:p>
        </w:tc>
      </w:tr>
      <w:tr w:rsidR="00133B84" w:rsidRPr="00141D36" w:rsidTr="00133B84">
        <w:tc>
          <w:tcPr>
            <w:tcW w:w="8771" w:type="dxa"/>
            <w:tcBorders>
              <w:top w:val="nil"/>
              <w:left w:val="nil"/>
              <w:bottom w:val="nil"/>
              <w:right w:val="nil"/>
            </w:tcBorders>
            <w:shd w:val="clear" w:color="auto" w:fill="auto"/>
          </w:tcPr>
          <w:p w:rsidR="00133B84" w:rsidRPr="00141D36" w:rsidRDefault="00133B84" w:rsidP="00034490">
            <w:pPr>
              <w:pStyle w:val="Note"/>
            </w:pPr>
            <w:r w:rsidRPr="00141D36">
              <w:rPr>
                <w:rStyle w:val="NoteLabel"/>
              </w:rPr>
              <w:t>a</w:t>
            </w:r>
            <w:r w:rsidRPr="00141D36">
              <w:t xml:space="preserve"> Students reported as having disability are defined as those who self-identify that they have disability, and impairment or a long-term condition. Disabilities include hearing/deaf, physical, intellectual, learning, mental illness, acquired brain impairment, vision, medical condition and </w:t>
            </w:r>
            <w:r w:rsidR="00460357">
              <w:t>other unspecified disabilities.</w:t>
            </w:r>
            <w:r w:rsidRPr="00141D36">
              <w:rPr>
                <w:rStyle w:val="NoteLabel"/>
              </w:rPr>
              <w:t>b </w:t>
            </w:r>
            <w:r w:rsidRPr="00141D36">
              <w:t xml:space="preserve">Error bars represent the 95 per cent confidence interval associated with each point estimate. The data for graduates from remote and very remote areas in Victoria have relative standard errors greater than 25 per cent and need to be used with caution. </w:t>
            </w:r>
            <w:r w:rsidRPr="00141D36">
              <w:rPr>
                <w:rStyle w:val="NoteLabel"/>
              </w:rPr>
              <w:t>c </w:t>
            </w:r>
            <w:r w:rsidRPr="00141D36">
              <w:t xml:space="preserve">Data relate to courses completed in 2012. </w:t>
            </w:r>
            <w:r w:rsidR="00034490">
              <w:br/>
            </w:r>
            <w:bookmarkStart w:id="21" w:name="_GoBack"/>
            <w:bookmarkEnd w:id="21"/>
            <w:r w:rsidRPr="00141D36">
              <w:rPr>
                <w:rStyle w:val="NoteLabel"/>
              </w:rPr>
              <w:t>d</w:t>
            </w:r>
            <w:r w:rsidRPr="00141D36">
              <w:t xml:space="preserve"> There are no very remote areas in Victoria and no remote or very remote areas in the ACT. The remote and very remote data for Victoria are for students from remote and very remote areas throughout Australia studying in Victoria (there are no remote and very remote data for the ACT).</w:t>
            </w:r>
          </w:p>
        </w:tc>
      </w:tr>
      <w:tr w:rsidR="00133B84" w:rsidRPr="00141D36" w:rsidTr="00133B84">
        <w:tc>
          <w:tcPr>
            <w:tcW w:w="8771" w:type="dxa"/>
            <w:tcBorders>
              <w:top w:val="nil"/>
              <w:left w:val="nil"/>
              <w:bottom w:val="nil"/>
              <w:right w:val="nil"/>
            </w:tcBorders>
            <w:shd w:val="clear" w:color="auto" w:fill="auto"/>
          </w:tcPr>
          <w:p w:rsidR="00133B84" w:rsidRPr="00141D36" w:rsidRDefault="00133B84" w:rsidP="00BC1EBE">
            <w:pPr>
              <w:pStyle w:val="Source"/>
            </w:pPr>
            <w:r w:rsidRPr="00141D36">
              <w:rPr>
                <w:i/>
              </w:rPr>
              <w:t>Source</w:t>
            </w:r>
            <w:r w:rsidRPr="00141D36">
              <w:t xml:space="preserve">: </w:t>
            </w:r>
            <w:proofErr w:type="spellStart"/>
            <w:r w:rsidRPr="00141D36">
              <w:t>NCVER</w:t>
            </w:r>
            <w:proofErr w:type="spellEnd"/>
            <w:r w:rsidRPr="00141D36">
              <w:t xml:space="preserve"> (unpublished) </w:t>
            </w:r>
            <w:r w:rsidRPr="00141D36">
              <w:rPr>
                <w:i/>
              </w:rPr>
              <w:t>Student Outcomes</w:t>
            </w:r>
            <w:r w:rsidR="009F34CF" w:rsidRPr="00141D36">
              <w:t xml:space="preserve">; table </w:t>
            </w:r>
            <w:proofErr w:type="spellStart"/>
            <w:r w:rsidR="009F34CF" w:rsidRPr="00141D36">
              <w:t>5A.26</w:t>
            </w:r>
            <w:proofErr w:type="spellEnd"/>
            <w:r w:rsidR="009F34CF" w:rsidRPr="00141D36">
              <w:t xml:space="preserve"> and 2015 Re</w:t>
            </w:r>
            <w:r w:rsidR="00515AA4" w:rsidRPr="00141D36">
              <w:t xml:space="preserve">port, tables </w:t>
            </w:r>
            <w:proofErr w:type="spellStart"/>
            <w:r w:rsidR="00515AA4" w:rsidRPr="00141D36">
              <w:t>5A.25</w:t>
            </w:r>
            <w:proofErr w:type="spellEnd"/>
            <w:r w:rsidR="00515AA4" w:rsidRPr="00141D36">
              <w:t xml:space="preserve"> and </w:t>
            </w:r>
            <w:proofErr w:type="spellStart"/>
            <w:r w:rsidR="00515AA4" w:rsidRPr="00141D36">
              <w:t>5A.31</w:t>
            </w:r>
            <w:proofErr w:type="spellEnd"/>
            <w:r w:rsidR="00BC1EBE">
              <w:noBreakHyphen/>
            </w:r>
            <w:r w:rsidR="009F34CF" w:rsidRPr="00141D36">
              <w:t>33; 2015 Report; 2015 Report, figure 5.20, p.</w:t>
            </w:r>
            <w:r w:rsidR="00BC1EBE">
              <w:t> </w:t>
            </w:r>
            <w:r w:rsidR="009F34CF" w:rsidRPr="00141D36">
              <w:t>5.44.</w:t>
            </w:r>
          </w:p>
        </w:tc>
      </w:tr>
      <w:tr w:rsidR="00133B84" w:rsidRPr="00141D36" w:rsidTr="00133B84">
        <w:tc>
          <w:tcPr>
            <w:tcW w:w="8771" w:type="dxa"/>
            <w:tcBorders>
              <w:top w:val="nil"/>
              <w:left w:val="nil"/>
              <w:bottom w:val="single" w:sz="6" w:space="0" w:color="78A22F"/>
              <w:right w:val="nil"/>
            </w:tcBorders>
            <w:shd w:val="clear" w:color="auto" w:fill="auto"/>
          </w:tcPr>
          <w:p w:rsidR="00133B84" w:rsidRPr="00141D36" w:rsidRDefault="00133B84" w:rsidP="00133B84">
            <w:pPr>
              <w:pStyle w:val="Figurespace"/>
            </w:pPr>
          </w:p>
        </w:tc>
      </w:tr>
      <w:tr w:rsidR="007664DC" w:rsidRPr="00141D36" w:rsidTr="00133B84">
        <w:tc>
          <w:tcPr>
            <w:tcW w:w="8771" w:type="dxa"/>
            <w:tcBorders>
              <w:top w:val="single" w:sz="6" w:space="0" w:color="78A22F"/>
              <w:left w:val="nil"/>
              <w:bottom w:val="nil"/>
              <w:right w:val="nil"/>
            </w:tcBorders>
          </w:tcPr>
          <w:p w:rsidR="007664DC" w:rsidRPr="00141D36" w:rsidRDefault="007664DC" w:rsidP="00D57D33">
            <w:pPr>
              <w:pStyle w:val="BoxSpaceBelow"/>
            </w:pPr>
          </w:p>
        </w:tc>
      </w:tr>
    </w:tbl>
    <w:p w:rsidR="00133B84" w:rsidRPr="00141D36" w:rsidRDefault="00133B84" w:rsidP="00133B84">
      <w:pPr>
        <w:pStyle w:val="BodyText"/>
      </w:pPr>
      <w:r w:rsidRPr="00141D36">
        <w:t xml:space="preserve">Of those government funded Aboriginal and Torres Strait Islander VET graduates who went on to further study in 2013, 55.8 per cent continued on to further study within the TAFE system (compared with 47.6 per cent for all government funded VET graduates), while 12.1 per cent went </w:t>
      </w:r>
      <w:r w:rsidR="003749E0" w:rsidRPr="00141D36">
        <w:t xml:space="preserve">on </w:t>
      </w:r>
      <w:r w:rsidRPr="00141D36">
        <w:t>to university (compared with 23.0 per cent for all government funded VET graduates) and 32.1 per cent went on to further study at private providers or other registered providers (compared with 29.5 per cent for all government funded VET graduates) (figure 5.</w:t>
      </w:r>
      <w:r w:rsidR="00F3481B" w:rsidRPr="00141D36">
        <w:t>10</w:t>
      </w:r>
      <w:r w:rsidRPr="00141D36">
        <w:t xml:space="preserve"> and table </w:t>
      </w:r>
      <w:proofErr w:type="spellStart"/>
      <w:r w:rsidRPr="00141D36">
        <w:t>5A.2</w:t>
      </w:r>
      <w:r w:rsidR="004F40FC" w:rsidRPr="00141D36">
        <w:t>6</w:t>
      </w:r>
      <w:proofErr w:type="spellEnd"/>
      <w:r w:rsidRPr="00141D36">
        <w:t>).</w:t>
      </w:r>
    </w:p>
    <w:p w:rsidR="00133B84" w:rsidRPr="00141D36" w:rsidRDefault="00133B84" w:rsidP="00133B8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33B84" w:rsidRPr="00141D36" w:rsidTr="00133B84">
        <w:tc>
          <w:tcPr>
            <w:tcW w:w="8771" w:type="dxa"/>
            <w:tcBorders>
              <w:top w:val="single" w:sz="6" w:space="0" w:color="78A22F"/>
              <w:left w:val="nil"/>
              <w:bottom w:val="nil"/>
              <w:right w:val="nil"/>
            </w:tcBorders>
            <w:shd w:val="clear" w:color="auto" w:fill="auto"/>
          </w:tcPr>
          <w:p w:rsidR="00133B84" w:rsidRPr="00141D36" w:rsidRDefault="00133B84" w:rsidP="004F40FC">
            <w:pPr>
              <w:pStyle w:val="FigureTitle"/>
            </w:pPr>
            <w:r w:rsidRPr="00141D36">
              <w:rPr>
                <w:b w:val="0"/>
              </w:rPr>
              <w:t>Figure 5.</w:t>
            </w:r>
            <w:r w:rsidR="004F40FC" w:rsidRPr="00141D36">
              <w:rPr>
                <w:b w:val="0"/>
                <w:noProof/>
              </w:rPr>
              <w:t>10</w:t>
            </w:r>
            <w:r w:rsidRPr="00141D36">
              <w:tab/>
              <w:t>Proportion, by type of continuing institution, of Aboriginal and Torres Strait Islander government funded VET graduates who continued on to further study after completing a course, 2013</w:t>
            </w:r>
            <w:r w:rsidRPr="00141D36">
              <w:rPr>
                <w:rStyle w:val="NoteLabel"/>
                <w:b/>
              </w:rPr>
              <w:t>a, b</w:t>
            </w:r>
          </w:p>
        </w:tc>
      </w:tr>
      <w:tr w:rsidR="00133B84" w:rsidRPr="00141D36" w:rsidTr="00133B84">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33B84" w:rsidRPr="00141D36" w:rsidTr="00133B84">
              <w:tc>
                <w:tcPr>
                  <w:tcW w:w="5000" w:type="pct"/>
                  <w:tcBorders>
                    <w:top w:val="nil"/>
                    <w:bottom w:val="nil"/>
                  </w:tcBorders>
                </w:tcPr>
                <w:p w:rsidR="00133B84" w:rsidRPr="00141D36" w:rsidRDefault="00133B84" w:rsidP="00133B84">
                  <w:pPr>
                    <w:pStyle w:val="Figure"/>
                    <w:spacing w:before="60" w:after="60"/>
                  </w:pPr>
                  <w:r w:rsidRPr="00141D36">
                    <w:rPr>
                      <w:noProof/>
                    </w:rPr>
                    <w:drawing>
                      <wp:inline distT="0" distB="0" distL="0" distR="0" wp14:anchorId="0EF2E0B0" wp14:editId="16A28014">
                        <wp:extent cx="5391150" cy="2714625"/>
                        <wp:effectExtent l="0" t="0" r="0" b="9525"/>
                        <wp:docPr id="29" name="Picture 29" descr="Figure 5.22 Proportion, by type of continuing institution, of Aboriginal and Torres Strait Islander government funded VET grduates who continued on to further study after completing a course,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91150" cy="2714625"/>
                                </a:xfrm>
                                <a:prstGeom prst="rect">
                                  <a:avLst/>
                                </a:prstGeom>
                                <a:noFill/>
                                <a:ln>
                                  <a:noFill/>
                                </a:ln>
                              </pic:spPr>
                            </pic:pic>
                          </a:graphicData>
                        </a:graphic>
                      </wp:inline>
                    </w:drawing>
                  </w:r>
                </w:p>
              </w:tc>
            </w:tr>
          </w:tbl>
          <w:p w:rsidR="00133B84" w:rsidRPr="00141D36" w:rsidRDefault="00133B84" w:rsidP="00133B84">
            <w:pPr>
              <w:pStyle w:val="Figure"/>
            </w:pPr>
          </w:p>
        </w:tc>
      </w:tr>
      <w:tr w:rsidR="00133B84" w:rsidRPr="00141D36" w:rsidTr="00133B84">
        <w:tc>
          <w:tcPr>
            <w:tcW w:w="8771" w:type="dxa"/>
            <w:tcBorders>
              <w:top w:val="nil"/>
              <w:left w:val="nil"/>
              <w:bottom w:val="nil"/>
              <w:right w:val="nil"/>
            </w:tcBorders>
            <w:shd w:val="clear" w:color="auto" w:fill="auto"/>
          </w:tcPr>
          <w:p w:rsidR="00133B84" w:rsidRPr="00141D36" w:rsidRDefault="00133B84" w:rsidP="00133B84">
            <w:pPr>
              <w:pStyle w:val="Note"/>
            </w:pPr>
            <w:proofErr w:type="spellStart"/>
            <w:r w:rsidRPr="00141D36">
              <w:rPr>
                <w:rStyle w:val="NoteLabel"/>
              </w:rPr>
              <w:t>a</w:t>
            </w:r>
            <w:proofErr w:type="spellEnd"/>
            <w:r w:rsidRPr="00141D36">
              <w:t xml:space="preserve"> </w:t>
            </w:r>
            <w:r w:rsidR="003749E0" w:rsidRPr="00141D36">
              <w:t>The data for graduates who continued at TAFE for Victoria and the ACT, at University for Victoria, Queensland, WA and the ACT, and for graduates at private provider or other registered provider for Victoria, Tasmania and the ACT have relative standard errors greater than 25 per cent and should be used with caution. Data for graduates who continued at University for SA and Tasmania are not published due to 5 or fewer responses, but are included in the Australian total.</w:t>
            </w:r>
            <w:r w:rsidR="003749E0" w:rsidRPr="00141D36">
              <w:rPr>
                <w:b/>
              </w:rPr>
              <w:t xml:space="preserve"> </w:t>
            </w:r>
            <w:r w:rsidRPr="00141D36">
              <w:rPr>
                <w:rStyle w:val="NoteLabel"/>
              </w:rPr>
              <w:t>b</w:t>
            </w:r>
            <w:r w:rsidRPr="00141D36">
              <w:t xml:space="preserve"> Error bars represent the 95 per cent confidence interval associated with each point estimate.</w:t>
            </w:r>
          </w:p>
        </w:tc>
      </w:tr>
      <w:tr w:rsidR="00133B84" w:rsidRPr="00141D36" w:rsidTr="00133B84">
        <w:tc>
          <w:tcPr>
            <w:tcW w:w="8771" w:type="dxa"/>
            <w:tcBorders>
              <w:top w:val="nil"/>
              <w:left w:val="nil"/>
              <w:bottom w:val="nil"/>
              <w:right w:val="nil"/>
            </w:tcBorders>
            <w:shd w:val="clear" w:color="auto" w:fill="auto"/>
          </w:tcPr>
          <w:p w:rsidR="00133B84" w:rsidRPr="00141D36" w:rsidRDefault="00133B84" w:rsidP="00D57D33">
            <w:pPr>
              <w:pStyle w:val="Source"/>
            </w:pPr>
            <w:r w:rsidRPr="00141D36">
              <w:rPr>
                <w:i/>
              </w:rPr>
              <w:t>Source</w:t>
            </w:r>
            <w:r w:rsidRPr="00141D36">
              <w:t xml:space="preserve">: </w:t>
            </w:r>
            <w:proofErr w:type="spellStart"/>
            <w:r w:rsidRPr="00141D36">
              <w:t>NCVER</w:t>
            </w:r>
            <w:proofErr w:type="spellEnd"/>
            <w:r w:rsidRPr="00141D36">
              <w:t xml:space="preserve"> (unpublished) </w:t>
            </w:r>
            <w:r w:rsidRPr="00141D36">
              <w:rPr>
                <w:i/>
              </w:rPr>
              <w:t>Student Outcomes Survey</w:t>
            </w:r>
            <w:r w:rsidR="001259EB" w:rsidRPr="00141D36">
              <w:t xml:space="preserve">; tables </w:t>
            </w:r>
            <w:proofErr w:type="spellStart"/>
            <w:r w:rsidR="001259EB" w:rsidRPr="00141D36">
              <w:t>5A.26</w:t>
            </w:r>
            <w:proofErr w:type="spellEnd"/>
            <w:r w:rsidR="001259EB" w:rsidRPr="00141D36">
              <w:t xml:space="preserve">; </w:t>
            </w:r>
            <w:r w:rsidR="00A750E3" w:rsidRPr="00141D36">
              <w:t xml:space="preserve">2015 Report, </w:t>
            </w:r>
            <w:r w:rsidR="001259EB" w:rsidRPr="00141D36">
              <w:t>figure 5.22, p. 5.</w:t>
            </w:r>
            <w:r w:rsidR="00D57D33" w:rsidRPr="00141D36">
              <w:t>46</w:t>
            </w:r>
            <w:r w:rsidR="001259EB" w:rsidRPr="00141D36">
              <w:t>.</w:t>
            </w:r>
          </w:p>
        </w:tc>
      </w:tr>
      <w:tr w:rsidR="00133B84" w:rsidRPr="00141D36" w:rsidTr="00133B84">
        <w:tc>
          <w:tcPr>
            <w:tcW w:w="8771" w:type="dxa"/>
            <w:tcBorders>
              <w:top w:val="nil"/>
              <w:left w:val="nil"/>
              <w:bottom w:val="single" w:sz="6" w:space="0" w:color="78A22F"/>
              <w:right w:val="nil"/>
            </w:tcBorders>
            <w:shd w:val="clear" w:color="auto" w:fill="auto"/>
          </w:tcPr>
          <w:p w:rsidR="00133B84" w:rsidRPr="00141D36" w:rsidRDefault="00133B84" w:rsidP="00133B84">
            <w:pPr>
              <w:pStyle w:val="Figurespace"/>
            </w:pPr>
          </w:p>
        </w:tc>
      </w:tr>
      <w:tr w:rsidR="007664DC" w:rsidRPr="00141D36" w:rsidTr="00133B84">
        <w:tc>
          <w:tcPr>
            <w:tcW w:w="8771" w:type="dxa"/>
            <w:tcBorders>
              <w:top w:val="single" w:sz="6" w:space="0" w:color="78A22F"/>
              <w:left w:val="nil"/>
              <w:bottom w:val="nil"/>
              <w:right w:val="nil"/>
            </w:tcBorders>
          </w:tcPr>
          <w:p w:rsidR="007664DC" w:rsidRPr="00141D36" w:rsidRDefault="007664DC" w:rsidP="00D57D33">
            <w:pPr>
              <w:pStyle w:val="BoxSpaceBelow"/>
            </w:pPr>
          </w:p>
        </w:tc>
      </w:tr>
    </w:tbl>
    <w:p w:rsidR="00133B84" w:rsidRPr="00141D36" w:rsidRDefault="00133B84" w:rsidP="00133B84">
      <w:pPr>
        <w:pStyle w:val="Heading6"/>
      </w:pPr>
      <w:r w:rsidRPr="00141D36">
        <w:t>Student employment and further study outcomes — the proportion of graduates employed after completing their course who were unemployed before the course</w:t>
      </w:r>
    </w:p>
    <w:p w:rsidR="00133B84" w:rsidRPr="00141D36" w:rsidRDefault="00133B84" w:rsidP="00133B84">
      <w:pPr>
        <w:pStyle w:val="BodyText"/>
        <w:spacing w:before="120"/>
      </w:pPr>
      <w:r w:rsidRPr="00141D36">
        <w:t>Between 2009 and 2013, the proportion of all government funded VET graduates who were unemployed before the course and who became employed after the course decreased by 4.9 percentage points to 46.6 per cent (</w:t>
      </w:r>
      <w:r w:rsidR="0012015B" w:rsidRPr="00141D36">
        <w:t xml:space="preserve">2015 Report, </w:t>
      </w:r>
      <w:r w:rsidRPr="00141D36">
        <w:t>figure 5.</w:t>
      </w:r>
      <w:r w:rsidR="0012015B" w:rsidRPr="00141D36">
        <w:t>24</w:t>
      </w:r>
      <w:r w:rsidRPr="00141D36">
        <w:t xml:space="preserve">). This compares with a decrease of 13.6 percentage points over the same period for government funded Aboriginal and Torres Strait Islander VET graduates to 39.1 per cent (table </w:t>
      </w:r>
      <w:proofErr w:type="spellStart"/>
      <w:r w:rsidRPr="00141D36">
        <w:t>5A.35</w:t>
      </w:r>
      <w:proofErr w:type="spellEnd"/>
      <w:r w:rsidRPr="00141D36">
        <w:t>).</w:t>
      </w:r>
    </w:p>
    <w:p w:rsidR="00133B84" w:rsidRPr="00141D36" w:rsidRDefault="00133B84" w:rsidP="00133B84">
      <w:pPr>
        <w:pStyle w:val="Heading6"/>
      </w:pPr>
      <w:r w:rsidRPr="00141D36">
        <w:t>Student employment and further study outcomes — the proportion of graduates who improved their employment circumstances after completing their course</w:t>
      </w:r>
    </w:p>
    <w:p w:rsidR="00133B84" w:rsidRPr="00141D36" w:rsidRDefault="00133B84" w:rsidP="00133B84">
      <w:pPr>
        <w:pStyle w:val="BodyText"/>
      </w:pPr>
      <w:r w:rsidRPr="00141D36">
        <w:t>Nationally, 55.9</w:t>
      </w:r>
      <w:r w:rsidRPr="00141D36">
        <w:rPr>
          <w:color w:val="FF0000"/>
        </w:rPr>
        <w:t xml:space="preserve"> </w:t>
      </w:r>
      <w:r w:rsidRPr="00141D36">
        <w:t xml:space="preserve">per cent of all government funded Aboriginal and Torres Strait Islander VET graduates in 2013 indicated they had improved their employment circumstances after completing their course </w:t>
      </w:r>
      <w:r w:rsidRPr="00141D36">
        <w:sym w:font="Symbol" w:char="F0BE"/>
      </w:r>
      <w:r w:rsidRPr="00141D36">
        <w:t xml:space="preserve"> a decrease of 7.5 percentage points from 2008 (table </w:t>
      </w:r>
      <w:proofErr w:type="spellStart"/>
      <w:r w:rsidRPr="00141D36">
        <w:t>5A.43</w:t>
      </w:r>
      <w:proofErr w:type="spellEnd"/>
      <w:r w:rsidRPr="00141D36">
        <w:t xml:space="preserve">) </w:t>
      </w:r>
      <w:r w:rsidRPr="00141D36">
        <w:sym w:font="Symbol" w:char="F0BE"/>
      </w:r>
      <w:r w:rsidRPr="00141D36">
        <w:t xml:space="preserve"> compared with 60.5 per cent of government funded non-Indigenous VET graduates and 60.3 per cent of all government funded VET graduates in 2013 (figure 5.</w:t>
      </w:r>
      <w:r w:rsidR="00A750E3" w:rsidRPr="00141D36">
        <w:t>11).</w:t>
      </w:r>
    </w:p>
    <w:p w:rsidR="00133B84" w:rsidRPr="00141D36" w:rsidRDefault="00133B84" w:rsidP="00133B8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33B84" w:rsidRPr="00141D36" w:rsidTr="00133B84">
        <w:tc>
          <w:tcPr>
            <w:tcW w:w="8771" w:type="dxa"/>
            <w:tcBorders>
              <w:top w:val="single" w:sz="6" w:space="0" w:color="78A22F"/>
              <w:left w:val="nil"/>
              <w:bottom w:val="nil"/>
              <w:right w:val="nil"/>
            </w:tcBorders>
            <w:shd w:val="clear" w:color="auto" w:fill="auto"/>
          </w:tcPr>
          <w:p w:rsidR="00133B84" w:rsidRPr="00141D36" w:rsidRDefault="00133B84" w:rsidP="00A750E3">
            <w:pPr>
              <w:pStyle w:val="FigureTitle"/>
            </w:pPr>
            <w:r w:rsidRPr="00141D36">
              <w:rPr>
                <w:b w:val="0"/>
              </w:rPr>
              <w:t>Figure 5.</w:t>
            </w:r>
            <w:r w:rsidR="00A750E3" w:rsidRPr="00141D36">
              <w:rPr>
                <w:b w:val="0"/>
                <w:noProof/>
              </w:rPr>
              <w:t>11</w:t>
            </w:r>
            <w:r w:rsidRPr="00141D36">
              <w:tab/>
              <w:t>Proportion of government funded VET graduates who improved their employment circumstances after training, by Indigenous status</w:t>
            </w:r>
            <w:r w:rsidRPr="00141D36">
              <w:rPr>
                <w:rStyle w:val="NoteLabel"/>
                <w:b/>
              </w:rPr>
              <w:t>a</w:t>
            </w:r>
          </w:p>
        </w:tc>
      </w:tr>
      <w:tr w:rsidR="00133B84" w:rsidRPr="00141D36" w:rsidTr="00133B84">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33B84" w:rsidRPr="00141D36" w:rsidTr="00133B84">
              <w:tc>
                <w:tcPr>
                  <w:tcW w:w="5000" w:type="pct"/>
                  <w:tcBorders>
                    <w:top w:val="nil"/>
                    <w:bottom w:val="nil"/>
                  </w:tcBorders>
                </w:tcPr>
                <w:p w:rsidR="00133B84" w:rsidRPr="00141D36" w:rsidRDefault="00133B84" w:rsidP="00133B84">
                  <w:pPr>
                    <w:pStyle w:val="Figure"/>
                    <w:spacing w:before="60" w:after="60"/>
                  </w:pPr>
                  <w:r w:rsidRPr="00141D36">
                    <w:rPr>
                      <w:noProof/>
                    </w:rPr>
                    <w:drawing>
                      <wp:inline distT="0" distB="0" distL="0" distR="0" wp14:anchorId="73184552" wp14:editId="052854A0">
                        <wp:extent cx="5391150" cy="2714625"/>
                        <wp:effectExtent l="0" t="0" r="0" b="9525"/>
                        <wp:docPr id="33" name="Picture 33" descr="Figure 5.26 Proportion of government funded VET graduates who improved their employment circumstances after training, by Indigenous statu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91150" cy="2714625"/>
                                </a:xfrm>
                                <a:prstGeom prst="rect">
                                  <a:avLst/>
                                </a:prstGeom>
                                <a:noFill/>
                                <a:ln>
                                  <a:noFill/>
                                </a:ln>
                              </pic:spPr>
                            </pic:pic>
                          </a:graphicData>
                        </a:graphic>
                      </wp:inline>
                    </w:drawing>
                  </w:r>
                </w:p>
              </w:tc>
            </w:tr>
          </w:tbl>
          <w:p w:rsidR="00133B84" w:rsidRPr="00141D36" w:rsidRDefault="00133B84" w:rsidP="00133B84">
            <w:pPr>
              <w:pStyle w:val="Figure"/>
            </w:pPr>
          </w:p>
        </w:tc>
      </w:tr>
      <w:tr w:rsidR="00133B84" w:rsidRPr="00141D36" w:rsidTr="00133B84">
        <w:tc>
          <w:tcPr>
            <w:tcW w:w="8771" w:type="dxa"/>
            <w:tcBorders>
              <w:top w:val="nil"/>
              <w:left w:val="nil"/>
              <w:bottom w:val="nil"/>
              <w:right w:val="nil"/>
            </w:tcBorders>
            <w:shd w:val="clear" w:color="auto" w:fill="auto"/>
          </w:tcPr>
          <w:p w:rsidR="00133B84" w:rsidRPr="00141D36" w:rsidRDefault="00133B84" w:rsidP="00133B84">
            <w:pPr>
              <w:pStyle w:val="Note"/>
            </w:pPr>
            <w:proofErr w:type="spellStart"/>
            <w:r w:rsidRPr="00141D36">
              <w:rPr>
                <w:rStyle w:val="NoteLabel"/>
              </w:rPr>
              <w:t>a</w:t>
            </w:r>
            <w:proofErr w:type="spellEnd"/>
            <w:r w:rsidRPr="00141D36">
              <w:t xml:space="preserve"> Error bars represent the 95 per cent confidence interval associated with each point estimate.</w:t>
            </w:r>
          </w:p>
        </w:tc>
      </w:tr>
      <w:tr w:rsidR="00133B84" w:rsidRPr="00141D36" w:rsidTr="00133B84">
        <w:tc>
          <w:tcPr>
            <w:tcW w:w="8771" w:type="dxa"/>
            <w:tcBorders>
              <w:top w:val="nil"/>
              <w:left w:val="nil"/>
              <w:bottom w:val="nil"/>
              <w:right w:val="nil"/>
            </w:tcBorders>
            <w:shd w:val="clear" w:color="auto" w:fill="auto"/>
          </w:tcPr>
          <w:p w:rsidR="00133B84" w:rsidRPr="00141D36" w:rsidRDefault="00133B84" w:rsidP="0012015B">
            <w:pPr>
              <w:pStyle w:val="Source"/>
            </w:pPr>
            <w:r w:rsidRPr="00141D36">
              <w:rPr>
                <w:i/>
              </w:rPr>
              <w:t>Source</w:t>
            </w:r>
            <w:r w:rsidRPr="00141D36">
              <w:t xml:space="preserve">: </w:t>
            </w:r>
            <w:proofErr w:type="spellStart"/>
            <w:r w:rsidRPr="00141D36">
              <w:t>NCVER</w:t>
            </w:r>
            <w:proofErr w:type="spellEnd"/>
            <w:r w:rsidRPr="00141D36">
              <w:t xml:space="preserve"> (unpublished) </w:t>
            </w:r>
            <w:r w:rsidRPr="00141D36">
              <w:rPr>
                <w:i/>
              </w:rPr>
              <w:t>Student Outcomes Survey</w:t>
            </w:r>
            <w:r w:rsidR="00A750E3" w:rsidRPr="00141D36">
              <w:t xml:space="preserve">; tables </w:t>
            </w:r>
            <w:proofErr w:type="spellStart"/>
            <w:r w:rsidR="00A750E3" w:rsidRPr="00141D36">
              <w:t>5A.43</w:t>
            </w:r>
            <w:proofErr w:type="spellEnd"/>
            <w:r w:rsidR="00A750E3" w:rsidRPr="00141D36">
              <w:t xml:space="preserve">; 2015 Report; tables </w:t>
            </w:r>
            <w:proofErr w:type="spellStart"/>
            <w:r w:rsidR="00A750E3" w:rsidRPr="00141D36">
              <w:t>5A.41</w:t>
            </w:r>
            <w:proofErr w:type="spellEnd"/>
            <w:r w:rsidR="00A750E3" w:rsidRPr="00141D36">
              <w:t xml:space="preserve"> and </w:t>
            </w:r>
            <w:proofErr w:type="spellStart"/>
            <w:r w:rsidR="00A750E3" w:rsidRPr="00141D36">
              <w:t>5A.44</w:t>
            </w:r>
            <w:proofErr w:type="spellEnd"/>
            <w:r w:rsidR="00A750E3" w:rsidRPr="00141D36">
              <w:t>, 2015 Report, figure 5.</w:t>
            </w:r>
            <w:r w:rsidR="0012015B" w:rsidRPr="00141D36">
              <w:t>26</w:t>
            </w:r>
            <w:r w:rsidR="00A750E3" w:rsidRPr="00141D36">
              <w:t>, p. 5.</w:t>
            </w:r>
            <w:r w:rsidR="0012015B" w:rsidRPr="00141D36">
              <w:t>50</w:t>
            </w:r>
            <w:r w:rsidR="00A750E3" w:rsidRPr="00141D36">
              <w:t>.</w:t>
            </w:r>
          </w:p>
        </w:tc>
      </w:tr>
      <w:tr w:rsidR="00133B84" w:rsidRPr="00141D36" w:rsidTr="00133B84">
        <w:tc>
          <w:tcPr>
            <w:tcW w:w="8771" w:type="dxa"/>
            <w:tcBorders>
              <w:top w:val="nil"/>
              <w:left w:val="nil"/>
              <w:bottom w:val="single" w:sz="6" w:space="0" w:color="78A22F"/>
              <w:right w:val="nil"/>
            </w:tcBorders>
            <w:shd w:val="clear" w:color="auto" w:fill="auto"/>
          </w:tcPr>
          <w:p w:rsidR="00133B84" w:rsidRPr="00141D36" w:rsidRDefault="00133B84" w:rsidP="00133B84">
            <w:pPr>
              <w:pStyle w:val="Figurespace"/>
            </w:pPr>
          </w:p>
        </w:tc>
      </w:tr>
      <w:tr w:rsidR="007664DC" w:rsidRPr="00141D36" w:rsidTr="00133B84">
        <w:tc>
          <w:tcPr>
            <w:tcW w:w="8771" w:type="dxa"/>
            <w:tcBorders>
              <w:top w:val="single" w:sz="6" w:space="0" w:color="78A22F"/>
              <w:left w:val="nil"/>
              <w:bottom w:val="nil"/>
              <w:right w:val="nil"/>
            </w:tcBorders>
          </w:tcPr>
          <w:p w:rsidR="007664DC" w:rsidRPr="00141D36" w:rsidRDefault="007664DC" w:rsidP="00D57D33">
            <w:pPr>
              <w:pStyle w:val="BoxSpaceBelow"/>
            </w:pPr>
          </w:p>
        </w:tc>
      </w:tr>
    </w:tbl>
    <w:p w:rsidR="00133B84" w:rsidRPr="00141D36" w:rsidRDefault="00133B84" w:rsidP="00133B84">
      <w:pPr>
        <w:pStyle w:val="BodyText"/>
      </w:pPr>
      <w:r w:rsidRPr="00141D36">
        <w:t>Nationally for government funded Aboriginal and Torres Strait Islander VET graduates in 2013:</w:t>
      </w:r>
    </w:p>
    <w:p w:rsidR="00133B84" w:rsidRPr="00141D36" w:rsidRDefault="00133B84" w:rsidP="00133B84">
      <w:pPr>
        <w:pStyle w:val="ListBullet"/>
      </w:pPr>
      <w:r w:rsidRPr="00141D36">
        <w:t>14.8 per cent changed from ‘not employed’ before training to ‘employed’ after completing their training</w:t>
      </w:r>
    </w:p>
    <w:p w:rsidR="00133B84" w:rsidRPr="00141D36" w:rsidRDefault="00133B84" w:rsidP="00133B84">
      <w:pPr>
        <w:pStyle w:val="ListBullet"/>
      </w:pPr>
      <w:r w:rsidRPr="00141D36">
        <w:t>8.0 per cent were employed at a higher skill level after completing their training</w:t>
      </w:r>
    </w:p>
    <w:p w:rsidR="00133B84" w:rsidRPr="00141D36" w:rsidRDefault="00133B84" w:rsidP="00133B84">
      <w:pPr>
        <w:pStyle w:val="ListBullet"/>
      </w:pPr>
      <w:r w:rsidRPr="00141D36">
        <w:t>53.0 per cent received a job-related benefit after c</w:t>
      </w:r>
      <w:r w:rsidR="00BF6A07" w:rsidRPr="00141D36">
        <w:t xml:space="preserve">ompleting their training </w:t>
      </w:r>
      <w:r w:rsidR="00BF6A07" w:rsidRPr="00141D36">
        <w:br/>
        <w:t xml:space="preserve">(table </w:t>
      </w:r>
      <w:proofErr w:type="spellStart"/>
      <w:r w:rsidRPr="00141D36">
        <w:t>5A.45</w:t>
      </w:r>
      <w:proofErr w:type="spellEnd"/>
      <w:r w:rsidRPr="00141D36">
        <w:t>).</w:t>
      </w:r>
    </w:p>
    <w:p w:rsidR="00133B84" w:rsidRPr="00141D36" w:rsidRDefault="00133B84" w:rsidP="00133B84">
      <w:pPr>
        <w:pStyle w:val="BodyText"/>
        <w:rPr>
          <w:noProof/>
        </w:rPr>
      </w:pPr>
      <w:r w:rsidRPr="00141D36">
        <w:rPr>
          <w:noProof/>
        </w:rPr>
        <w:t>Data on the percentage of graduates aged 20</w:t>
      </w:r>
      <w:r w:rsidRPr="00141D36">
        <w:t xml:space="preserve">–64 years </w:t>
      </w:r>
      <w:r w:rsidRPr="00141D36">
        <w:rPr>
          <w:noProof/>
        </w:rPr>
        <w:t>who improved their employment circumstances after completing their training, by Indigenous status are</w:t>
      </w:r>
      <w:r w:rsidR="00694ECA" w:rsidRPr="00141D36">
        <w:rPr>
          <w:noProof/>
        </w:rPr>
        <w:t xml:space="preserve"> included in </w:t>
      </w:r>
      <w:r w:rsidR="00694ECA" w:rsidRPr="00141D36">
        <w:rPr>
          <w:noProof/>
        </w:rPr>
        <w:br/>
        <w:t>table 5A.47.</w:t>
      </w:r>
    </w:p>
    <w:p w:rsidR="00133B84" w:rsidRPr="00141D36" w:rsidRDefault="00133B84" w:rsidP="00133B84">
      <w:pPr>
        <w:pStyle w:val="Heading6"/>
      </w:pPr>
      <w:r w:rsidRPr="00141D36">
        <w:t>Student employment and further study outcomes — the proportion of graduates who undertook their course for employment-related reasons and were employed after completing their course, who reported at least one job-related benefit from completing the course</w:t>
      </w:r>
    </w:p>
    <w:p w:rsidR="00133B84" w:rsidRPr="00141D36" w:rsidRDefault="00133B84" w:rsidP="00133B84">
      <w:pPr>
        <w:pStyle w:val="BodyText"/>
      </w:pPr>
      <w:r w:rsidRPr="00141D36">
        <w:t xml:space="preserve">Nationally in 2013, of all government funded VET graduates who were employed after their training and undertook their course for employment related reasons, 76.3 per cent indicated they had gained at least one job-related benefit from completing the course </w:t>
      </w:r>
      <w:r w:rsidR="00694ECA" w:rsidRPr="00141D36">
        <w:br/>
      </w:r>
      <w:r w:rsidRPr="00141D36">
        <w:t>(</w:t>
      </w:r>
      <w:r w:rsidR="00694ECA" w:rsidRPr="00141D36">
        <w:t xml:space="preserve">2015 Report, </w:t>
      </w:r>
      <w:r w:rsidRPr="00141D36">
        <w:t>figure 5.28). This compares with 81.6 per cent for government funded Aboriginal and Torres Strait Island</w:t>
      </w:r>
      <w:r w:rsidR="00694ECA" w:rsidRPr="00141D36">
        <w:t xml:space="preserve">er VET graduates (table </w:t>
      </w:r>
      <w:proofErr w:type="spellStart"/>
      <w:r w:rsidR="00694ECA" w:rsidRPr="00141D36">
        <w:t>5A.40</w:t>
      </w:r>
      <w:proofErr w:type="spellEnd"/>
      <w:r w:rsidR="00694ECA" w:rsidRPr="00141D36">
        <w:t>).</w:t>
      </w:r>
    </w:p>
    <w:p w:rsidR="00133B84" w:rsidRPr="00141D36" w:rsidRDefault="00133B84" w:rsidP="00133B84">
      <w:pPr>
        <w:pStyle w:val="Heading5"/>
        <w:spacing w:before="360"/>
      </w:pPr>
      <w:r w:rsidRPr="00141D36">
        <w:lastRenderedPageBreak/>
        <w:t>Student achievement in VET</w:t>
      </w:r>
    </w:p>
    <w:p w:rsidR="00133B84" w:rsidRPr="00141D36" w:rsidRDefault="00133B84" w:rsidP="00133B84">
      <w:pPr>
        <w:pStyle w:val="BodyText"/>
      </w:pPr>
      <w:r w:rsidRPr="00141D36">
        <w:t>‘Student achievement in VET’ is an indicator of governments’ objective for students to achieve success in VET (box 5.</w:t>
      </w:r>
      <w:r w:rsidR="00694ECA" w:rsidRPr="00141D36">
        <w:t>4</w:t>
      </w:r>
      <w:r w:rsidRPr="00141D36">
        <w:t>).</w:t>
      </w:r>
    </w:p>
    <w:p w:rsidR="00133B84" w:rsidRPr="00141D36" w:rsidRDefault="00133B84" w:rsidP="00133B8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33B84" w:rsidRPr="00141D36" w:rsidTr="00133B84">
        <w:tc>
          <w:tcPr>
            <w:tcW w:w="8771" w:type="dxa"/>
            <w:tcBorders>
              <w:top w:val="single" w:sz="6" w:space="0" w:color="78A22F"/>
              <w:left w:val="nil"/>
              <w:bottom w:val="nil"/>
              <w:right w:val="nil"/>
            </w:tcBorders>
            <w:shd w:val="clear" w:color="auto" w:fill="F2F2F2" w:themeFill="background1" w:themeFillShade="F2"/>
          </w:tcPr>
          <w:p w:rsidR="00133B84" w:rsidRPr="00141D36" w:rsidRDefault="00133B84" w:rsidP="00694ECA">
            <w:pPr>
              <w:pStyle w:val="BoxTitle"/>
            </w:pPr>
            <w:r w:rsidRPr="00141D36">
              <w:rPr>
                <w:b w:val="0"/>
              </w:rPr>
              <w:t>Box 5.</w:t>
            </w:r>
            <w:r w:rsidR="00694ECA" w:rsidRPr="00141D36">
              <w:rPr>
                <w:b w:val="0"/>
                <w:noProof/>
              </w:rPr>
              <w:t>4</w:t>
            </w:r>
            <w:r w:rsidRPr="00141D36">
              <w:tab/>
              <w:t>Student achievement in VET</w:t>
            </w:r>
          </w:p>
        </w:tc>
      </w:tr>
      <w:tr w:rsidR="00133B84" w:rsidRPr="00141D36" w:rsidTr="00133B84">
        <w:trPr>
          <w:cantSplit/>
        </w:trPr>
        <w:tc>
          <w:tcPr>
            <w:tcW w:w="8771" w:type="dxa"/>
            <w:tcBorders>
              <w:top w:val="nil"/>
              <w:left w:val="nil"/>
              <w:bottom w:val="nil"/>
              <w:right w:val="nil"/>
            </w:tcBorders>
            <w:shd w:val="clear" w:color="auto" w:fill="F2F2F2" w:themeFill="background1" w:themeFillShade="F2"/>
          </w:tcPr>
          <w:p w:rsidR="00133B84" w:rsidRPr="00141D36" w:rsidRDefault="00133B84" w:rsidP="00133B84">
            <w:pPr>
              <w:pStyle w:val="Box"/>
              <w:spacing w:before="80"/>
            </w:pPr>
            <w:r w:rsidRPr="00141D36">
              <w:t>‘Student achievement in VET’ is defined by three measures:</w:t>
            </w:r>
          </w:p>
          <w:p w:rsidR="00133B84" w:rsidRPr="00141D36" w:rsidRDefault="00133B84" w:rsidP="00B44BB4">
            <w:pPr>
              <w:pStyle w:val="BoxListBullet"/>
            </w:pPr>
            <w:r w:rsidRPr="00141D36">
              <w:t xml:space="preserve">‘Load pass rate’ is the ratio of hours attributed to students who gained competencies/passed assessment in an assessable module or unit of competency to all hours of students who were assessed and either passed, failed or withdrew. The calculation is based on the annual hours for each assessable module or unit of competency and includes competencies achieved/units passed through </w:t>
            </w:r>
            <w:r w:rsidR="00B44BB4" w:rsidRPr="00141D36">
              <w:t>Recognition of prior learning (</w:t>
            </w:r>
            <w:proofErr w:type="spellStart"/>
            <w:r w:rsidR="00B44BB4" w:rsidRPr="00141D36">
              <w:t>RPL</w:t>
            </w:r>
            <w:proofErr w:type="spellEnd"/>
            <w:r w:rsidR="00B44BB4" w:rsidRPr="00141D36">
              <w:t>)</w:t>
            </w:r>
            <w:r w:rsidRPr="00141D36">
              <w:t>.</w:t>
            </w:r>
          </w:p>
          <w:p w:rsidR="00133B84" w:rsidRPr="00141D36" w:rsidRDefault="00133B84" w:rsidP="00133B84">
            <w:pPr>
              <w:pStyle w:val="BoxListBullet"/>
            </w:pPr>
            <w:r w:rsidRPr="00141D36">
              <w:t xml:space="preserve">‘Proportion of graduates with improved education/training status after training’ is the number of VET qualifications completed by students who have completed a course at a higher education level than their previous highest education level achieved (based on </w:t>
            </w:r>
            <w:proofErr w:type="spellStart"/>
            <w:r w:rsidRPr="00141D36">
              <w:t>AQF</w:t>
            </w:r>
            <w:proofErr w:type="spellEnd"/>
            <w:r w:rsidRPr="00141D36">
              <w:t>), divided by the n</w:t>
            </w:r>
            <w:r w:rsidR="00694ECA" w:rsidRPr="00141D36">
              <w:t>umber of VET course enrolments.</w:t>
            </w:r>
          </w:p>
          <w:p w:rsidR="00133B84" w:rsidRPr="00141D36" w:rsidRDefault="00133B84" w:rsidP="00133B84">
            <w:pPr>
              <w:pStyle w:val="BoxListBullet"/>
            </w:pPr>
            <w:r w:rsidRPr="00141D36">
              <w:t xml:space="preserve">‘Estimated qualification completion rate’ is the number of VET students in a given year who commenced a course and eventually completed their course, expressed as a proportion of all course commencing enrolments in that year. Qualifications at </w:t>
            </w:r>
            <w:proofErr w:type="spellStart"/>
            <w:r w:rsidRPr="00141D36">
              <w:t>AQF</w:t>
            </w:r>
            <w:proofErr w:type="spellEnd"/>
            <w:r w:rsidRPr="00141D36">
              <w:t xml:space="preserve"> Certificate 1 and above are included. The subject load pass rates for students commencing in that year are also included — while not all courses are completed, subject completions are also valuable. More detail on the estimation method is included in</w:t>
            </w:r>
            <w:r w:rsidR="00694ECA" w:rsidRPr="00141D36">
              <w:t xml:space="preserve"> 2015 Report,</w:t>
            </w:r>
            <w:r w:rsidRPr="00141D36">
              <w:t xml:space="preserve"> box 5.14.</w:t>
            </w:r>
          </w:p>
          <w:p w:rsidR="00133B84" w:rsidRPr="00141D36" w:rsidRDefault="00133B84" w:rsidP="00133B84">
            <w:pPr>
              <w:pStyle w:val="Box"/>
              <w:spacing w:before="80"/>
            </w:pPr>
            <w:r w:rsidRPr="00141D36">
              <w:t xml:space="preserve">For ‘load pass rate’ and ‘proportion of graduates with improved education/training status after training’, data are provided for VET target groups (students with disability, students speaking a language other than English at home, students from remote and very remote areas and Aboriginal and Torres Strait Islander students). Achievement by VET target groups can also indicate the equity of outcomes for these groups. </w:t>
            </w:r>
          </w:p>
          <w:p w:rsidR="00133B84" w:rsidRPr="00141D36" w:rsidRDefault="00133B84" w:rsidP="00133B84">
            <w:pPr>
              <w:pStyle w:val="Box"/>
              <w:spacing w:before="80"/>
            </w:pPr>
            <w:r w:rsidRPr="00141D36">
              <w:t xml:space="preserve">High or increasing load pass rates and proportions of students who commenced and completed indicate that student achievement is high or improving, which is desirable. The rates for target groups, relative to those for the general student population, indicate whether students from target groups are as successful as other students. Care needs to be taken in comparing data across jurisdictions because average module durations vary across jurisdictions. </w:t>
            </w:r>
          </w:p>
          <w:p w:rsidR="00133B84" w:rsidRPr="00141D36" w:rsidRDefault="00133B84" w:rsidP="00133B84">
            <w:pPr>
              <w:pStyle w:val="Box"/>
              <w:spacing w:before="80"/>
            </w:pPr>
            <w:r w:rsidRPr="00141D36">
              <w:t>Changes in the proportion of graduates with improved education/training status after training may be affected by relatively large changes in enrolments, due to the time lag between course enrolment (the denominator) and qualification completion (the numerator used for deriving the proportion). Care therefore needs to be taken when interpreting changes over time in the proportion of graduates with improved education/training status after training.</w:t>
            </w:r>
          </w:p>
          <w:p w:rsidR="00133B84" w:rsidRPr="00141D36" w:rsidRDefault="00133B84" w:rsidP="00133B84">
            <w:pPr>
              <w:pStyle w:val="Box"/>
              <w:spacing w:before="80"/>
            </w:pPr>
            <w:r w:rsidRPr="00141D36">
              <w:t xml:space="preserve">Data </w:t>
            </w:r>
            <w:r w:rsidR="00694ECA" w:rsidRPr="00141D36">
              <w:t>reported for these measures are:</w:t>
            </w:r>
          </w:p>
          <w:p w:rsidR="00133B84" w:rsidRPr="00141D36" w:rsidRDefault="00133B84" w:rsidP="00133B84">
            <w:pPr>
              <w:pStyle w:val="BoxListBullet"/>
            </w:pPr>
            <w:r w:rsidRPr="00141D36">
              <w:t>comparable (subject to caveats) across jurisdictions and over time</w:t>
            </w:r>
          </w:p>
          <w:p w:rsidR="00133B84" w:rsidRPr="00141D36" w:rsidRDefault="00133B84" w:rsidP="00133B84">
            <w:pPr>
              <w:pStyle w:val="BoxListBullet"/>
              <w:rPr>
                <w:b/>
              </w:rPr>
            </w:pPr>
            <w:r w:rsidRPr="00141D36">
              <w:t>complete for the current reporting period (subject to caveats). All required 2012 and 2013 data are available for all jurisdictions providing the service.</w:t>
            </w:r>
          </w:p>
          <w:p w:rsidR="00133B84" w:rsidRPr="00141D36" w:rsidRDefault="00133B84" w:rsidP="0068105B">
            <w:pPr>
              <w:pStyle w:val="Box"/>
              <w:spacing w:before="80"/>
              <w:rPr>
                <w:b/>
              </w:rPr>
            </w:pPr>
            <w:r w:rsidRPr="00141D36">
              <w:t xml:space="preserve">Data quality information for this indicator is at </w:t>
            </w:r>
            <w:proofErr w:type="spellStart"/>
            <w:r w:rsidRPr="00141D36">
              <w:t>www.pc.gov.au</w:t>
            </w:r>
            <w:proofErr w:type="spellEnd"/>
            <w:r w:rsidRPr="00141D36">
              <w:t>/</w:t>
            </w:r>
            <w:r w:rsidR="0068105B">
              <w:t>research</w:t>
            </w:r>
            <w:r w:rsidRPr="00141D36">
              <w:t>/</w:t>
            </w:r>
            <w:r w:rsidR="0068105B">
              <w:t>recurring/report-on-government-services</w:t>
            </w:r>
            <w:r w:rsidRPr="00141D36">
              <w:t>.</w:t>
            </w:r>
          </w:p>
        </w:tc>
      </w:tr>
      <w:tr w:rsidR="00133B84" w:rsidRPr="00141D36" w:rsidTr="00133B84">
        <w:trPr>
          <w:cantSplit/>
        </w:trPr>
        <w:tc>
          <w:tcPr>
            <w:tcW w:w="8771" w:type="dxa"/>
            <w:tcBorders>
              <w:top w:val="nil"/>
              <w:left w:val="nil"/>
              <w:bottom w:val="single" w:sz="6" w:space="0" w:color="78A22F"/>
              <w:right w:val="nil"/>
            </w:tcBorders>
            <w:shd w:val="clear" w:color="auto" w:fill="F2F2F2" w:themeFill="background1" w:themeFillShade="F2"/>
          </w:tcPr>
          <w:p w:rsidR="00133B84" w:rsidRPr="00141D36" w:rsidRDefault="00133B84" w:rsidP="00133B84">
            <w:pPr>
              <w:pStyle w:val="Box"/>
              <w:spacing w:before="0" w:line="120" w:lineRule="exact"/>
            </w:pPr>
          </w:p>
        </w:tc>
      </w:tr>
      <w:tr w:rsidR="007664DC" w:rsidRPr="00141D36" w:rsidTr="00133B84">
        <w:tc>
          <w:tcPr>
            <w:tcW w:w="8771" w:type="dxa"/>
            <w:tcBorders>
              <w:top w:val="single" w:sz="6" w:space="0" w:color="78A22F"/>
              <w:left w:val="nil"/>
              <w:bottom w:val="nil"/>
              <w:right w:val="nil"/>
            </w:tcBorders>
          </w:tcPr>
          <w:p w:rsidR="007664DC" w:rsidRPr="00141D36" w:rsidRDefault="007664DC" w:rsidP="00D57D33">
            <w:pPr>
              <w:pStyle w:val="BoxSpaceBelow"/>
            </w:pPr>
          </w:p>
        </w:tc>
      </w:tr>
    </w:tbl>
    <w:p w:rsidR="00694ECA" w:rsidRPr="00141D36" w:rsidRDefault="00694ECA" w:rsidP="00694ECA">
      <w:pPr>
        <w:pStyle w:val="BodyText"/>
        <w:rPr>
          <w:sz w:val="22"/>
        </w:rPr>
      </w:pPr>
      <w:r w:rsidRPr="00141D36">
        <w:br w:type="page"/>
      </w:r>
    </w:p>
    <w:p w:rsidR="00133B84" w:rsidRPr="00141D36" w:rsidRDefault="00133B84" w:rsidP="00133B84">
      <w:pPr>
        <w:pStyle w:val="Heading6"/>
      </w:pPr>
      <w:r w:rsidRPr="00141D36">
        <w:lastRenderedPageBreak/>
        <w:t>Student achievement in VET — load pass rate</w:t>
      </w:r>
    </w:p>
    <w:p w:rsidR="00133B84" w:rsidRPr="00141D36" w:rsidRDefault="00133B84" w:rsidP="00133B84">
      <w:pPr>
        <w:pStyle w:val="BodyText"/>
      </w:pPr>
      <w:r w:rsidRPr="00141D36">
        <w:t>In 2013, the load pass rate for all government funded students was 82.9 per cent, lower than the load pass rates for students from remote and very remote areas (85.0 per cent). The load pass rates for Aboriginal and Torres Strait Islander students (74.1 per cent), students with disability (74.0 per cent) and students speaking a language other than English at home (79.0 per cent) were lower than for all students (figure 5.</w:t>
      </w:r>
      <w:r w:rsidR="00694ECA" w:rsidRPr="00141D36">
        <w:t>12).</w:t>
      </w:r>
    </w:p>
    <w:p w:rsidR="00133B84" w:rsidRPr="00141D36" w:rsidRDefault="00133B84" w:rsidP="00133B8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33B84" w:rsidRPr="00141D36" w:rsidTr="00133B84">
        <w:tc>
          <w:tcPr>
            <w:tcW w:w="8771" w:type="dxa"/>
            <w:tcBorders>
              <w:top w:val="single" w:sz="6" w:space="0" w:color="78A22F"/>
              <w:left w:val="nil"/>
              <w:bottom w:val="nil"/>
              <w:right w:val="nil"/>
            </w:tcBorders>
            <w:shd w:val="clear" w:color="auto" w:fill="auto"/>
          </w:tcPr>
          <w:p w:rsidR="00133B84" w:rsidRPr="00141D36" w:rsidRDefault="00133B84" w:rsidP="00694ECA">
            <w:pPr>
              <w:pStyle w:val="FigureTitle"/>
            </w:pPr>
            <w:r w:rsidRPr="00141D36">
              <w:rPr>
                <w:b w:val="0"/>
              </w:rPr>
              <w:t>Figure 5.</w:t>
            </w:r>
            <w:r w:rsidR="00694ECA" w:rsidRPr="00141D36">
              <w:rPr>
                <w:b w:val="0"/>
                <w:noProof/>
              </w:rPr>
              <w:t>12</w:t>
            </w:r>
            <w:r w:rsidRPr="00141D36">
              <w:tab/>
              <w:t>Load pass rates, by target group, 2013</w:t>
            </w:r>
            <w:r w:rsidRPr="00141D36">
              <w:rPr>
                <w:rStyle w:val="NoteLabel"/>
                <w:b/>
              </w:rPr>
              <w:t>a, b, c, d</w:t>
            </w:r>
          </w:p>
        </w:tc>
      </w:tr>
      <w:tr w:rsidR="00133B84" w:rsidRPr="00141D36" w:rsidTr="00133B84">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33B84" w:rsidRPr="00141D36" w:rsidTr="00133B84">
              <w:tc>
                <w:tcPr>
                  <w:tcW w:w="5000" w:type="pct"/>
                  <w:tcBorders>
                    <w:top w:val="nil"/>
                    <w:bottom w:val="nil"/>
                  </w:tcBorders>
                </w:tcPr>
                <w:p w:rsidR="00133B84" w:rsidRPr="00141D36" w:rsidRDefault="00F25AA7" w:rsidP="00133B84">
                  <w:pPr>
                    <w:pStyle w:val="Figure"/>
                    <w:spacing w:before="60" w:after="60"/>
                  </w:pPr>
                  <w:r>
                    <w:rPr>
                      <w:noProof/>
                    </w:rPr>
                    <w:drawing>
                      <wp:inline distT="0" distB="0" distL="0" distR="0">
                        <wp:extent cx="5391150" cy="2695575"/>
                        <wp:effectExtent l="0" t="0" r="0" b="9525"/>
                        <wp:docPr id="7" name="Picture 7" descr="Figure 5.12 Load pass rates, by target group,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133B84" w:rsidRPr="00141D36" w:rsidRDefault="00133B84" w:rsidP="00133B84">
            <w:pPr>
              <w:pStyle w:val="Figure"/>
            </w:pPr>
          </w:p>
        </w:tc>
      </w:tr>
      <w:tr w:rsidR="00133B84" w:rsidRPr="00141D36" w:rsidTr="00133B84">
        <w:tc>
          <w:tcPr>
            <w:tcW w:w="8771" w:type="dxa"/>
            <w:tcBorders>
              <w:top w:val="nil"/>
              <w:left w:val="nil"/>
              <w:bottom w:val="nil"/>
              <w:right w:val="nil"/>
            </w:tcBorders>
            <w:shd w:val="clear" w:color="auto" w:fill="auto"/>
          </w:tcPr>
          <w:p w:rsidR="00133B84" w:rsidRPr="00141D36" w:rsidRDefault="00133B84" w:rsidP="00133B84">
            <w:pPr>
              <w:pStyle w:val="Note"/>
            </w:pPr>
            <w:r w:rsidRPr="00141D36">
              <w:rPr>
                <w:rStyle w:val="NoteLabel"/>
              </w:rPr>
              <w:t>a</w:t>
            </w:r>
            <w:r w:rsidRPr="00141D36">
              <w:t xml:space="preserve"> Data are for government funded hours. </w:t>
            </w:r>
            <w:r w:rsidRPr="00141D36">
              <w:rPr>
                <w:rStyle w:val="NoteLabel"/>
              </w:rPr>
              <w:t>b</w:t>
            </w:r>
            <w:r w:rsidRPr="00141D36">
              <w:t xml:space="preserve"> People with disability are defined as those who self-identify on enrolment forms that they have disability, impairment or a long-term condition. </w:t>
            </w:r>
            <w:r w:rsidRPr="00141D36">
              <w:rPr>
                <w:rStyle w:val="NoteLabel"/>
              </w:rPr>
              <w:t>c</w:t>
            </w:r>
            <w:r w:rsidRPr="00141D36">
              <w:t xml:space="preserve"> Care should be taken in comparing load pass rates for students reporting disability, students speaking a language other than English at home and for Aboriginal and Torres Strait Islander students because the non-identification rates for these groups are high. </w:t>
            </w:r>
            <w:r w:rsidRPr="00141D36">
              <w:rPr>
                <w:rStyle w:val="NoteLabel"/>
              </w:rPr>
              <w:t>d</w:t>
            </w:r>
            <w:r w:rsidRPr="00141D36">
              <w:t xml:space="preserve"> There are no very remote areas in Victoria and no remote or very remote areas in the ACT. The remote data for Victoria and the ACT are for students from remote areas throughout Australia studying in these jurisdictions.</w:t>
            </w:r>
          </w:p>
        </w:tc>
      </w:tr>
      <w:tr w:rsidR="00133B84" w:rsidRPr="00141D36" w:rsidTr="00133B84">
        <w:tc>
          <w:tcPr>
            <w:tcW w:w="8771" w:type="dxa"/>
            <w:tcBorders>
              <w:top w:val="nil"/>
              <w:left w:val="nil"/>
              <w:bottom w:val="nil"/>
              <w:right w:val="nil"/>
            </w:tcBorders>
            <w:shd w:val="clear" w:color="auto" w:fill="auto"/>
          </w:tcPr>
          <w:p w:rsidR="00133B84" w:rsidRPr="00141D36" w:rsidRDefault="00133B84" w:rsidP="0012015B">
            <w:pPr>
              <w:pStyle w:val="Source"/>
            </w:pPr>
            <w:r w:rsidRPr="00141D36">
              <w:rPr>
                <w:i/>
              </w:rPr>
              <w:t>Source</w:t>
            </w:r>
            <w:r w:rsidRPr="00141D36">
              <w:t xml:space="preserve">: </w:t>
            </w:r>
            <w:proofErr w:type="spellStart"/>
            <w:r w:rsidRPr="00141D36">
              <w:t>NCVER</w:t>
            </w:r>
            <w:proofErr w:type="spellEnd"/>
            <w:r w:rsidRPr="00141D36">
              <w:t xml:space="preserve"> (unpublished) National VET provi</w:t>
            </w:r>
            <w:r w:rsidR="00F3148B" w:rsidRPr="00141D36">
              <w:t xml:space="preserve">der collection; tables </w:t>
            </w:r>
            <w:proofErr w:type="spellStart"/>
            <w:r w:rsidR="00F3148B" w:rsidRPr="00141D36">
              <w:t>5A.50</w:t>
            </w:r>
            <w:proofErr w:type="spellEnd"/>
            <w:r w:rsidR="00F3148B" w:rsidRPr="00141D36">
              <w:t>–53</w:t>
            </w:r>
            <w:r w:rsidR="00694ECA" w:rsidRPr="00141D36">
              <w:t xml:space="preserve">; table </w:t>
            </w:r>
            <w:proofErr w:type="spellStart"/>
            <w:r w:rsidR="00694ECA" w:rsidRPr="00141D36">
              <w:t>5A.50</w:t>
            </w:r>
            <w:proofErr w:type="spellEnd"/>
            <w:r w:rsidR="00694ECA" w:rsidRPr="00141D36">
              <w:t xml:space="preserve"> and </w:t>
            </w:r>
            <w:r w:rsidR="00694ECA" w:rsidRPr="00141D36">
              <w:br/>
              <w:t xml:space="preserve">2015 Report, tables </w:t>
            </w:r>
            <w:proofErr w:type="spellStart"/>
            <w:r w:rsidR="00694ECA" w:rsidRPr="00141D36">
              <w:t>5A.51</w:t>
            </w:r>
            <w:proofErr w:type="spellEnd"/>
            <w:r w:rsidR="00694ECA" w:rsidRPr="00141D36">
              <w:t>–53, figure 5.29, p. 5.</w:t>
            </w:r>
            <w:r w:rsidR="0012015B" w:rsidRPr="00141D36">
              <w:t>54</w:t>
            </w:r>
            <w:r w:rsidR="00694ECA" w:rsidRPr="00141D36">
              <w:t>.</w:t>
            </w:r>
          </w:p>
        </w:tc>
      </w:tr>
      <w:tr w:rsidR="00133B84" w:rsidRPr="00141D36" w:rsidTr="00133B84">
        <w:tc>
          <w:tcPr>
            <w:tcW w:w="8771" w:type="dxa"/>
            <w:tcBorders>
              <w:top w:val="nil"/>
              <w:left w:val="nil"/>
              <w:bottom w:val="single" w:sz="6" w:space="0" w:color="78A22F"/>
              <w:right w:val="nil"/>
            </w:tcBorders>
            <w:shd w:val="clear" w:color="auto" w:fill="auto"/>
          </w:tcPr>
          <w:p w:rsidR="00133B84" w:rsidRPr="00141D36" w:rsidRDefault="00133B84" w:rsidP="00133B84">
            <w:pPr>
              <w:pStyle w:val="Figurespace"/>
            </w:pPr>
          </w:p>
        </w:tc>
      </w:tr>
      <w:tr w:rsidR="007664DC" w:rsidRPr="00141D36" w:rsidTr="00133B84">
        <w:tc>
          <w:tcPr>
            <w:tcW w:w="8771" w:type="dxa"/>
            <w:tcBorders>
              <w:top w:val="single" w:sz="6" w:space="0" w:color="78A22F"/>
              <w:left w:val="nil"/>
              <w:bottom w:val="nil"/>
              <w:right w:val="nil"/>
            </w:tcBorders>
          </w:tcPr>
          <w:p w:rsidR="007664DC" w:rsidRPr="00141D36" w:rsidRDefault="007664DC" w:rsidP="00D57D33">
            <w:pPr>
              <w:pStyle w:val="BoxSpaceBelow"/>
            </w:pPr>
          </w:p>
        </w:tc>
      </w:tr>
    </w:tbl>
    <w:p w:rsidR="00133B84" w:rsidRPr="00141D36" w:rsidRDefault="00133B84" w:rsidP="00694ECA">
      <w:pPr>
        <w:pStyle w:val="BodyText"/>
        <w:spacing w:before="120"/>
      </w:pPr>
      <w:r w:rsidRPr="00141D36">
        <w:t>Nationally, between 2009 and 2013, load pass rates increased for all students b</w:t>
      </w:r>
      <w:r w:rsidR="00694ECA" w:rsidRPr="00141D36">
        <w:t xml:space="preserve">y </w:t>
      </w:r>
      <w:r w:rsidR="00694ECA" w:rsidRPr="00141D36">
        <w:br/>
        <w:t xml:space="preserve">3.1 percentage points to 82.9 per </w:t>
      </w:r>
      <w:r w:rsidRPr="00141D36">
        <w:t>cent and for</w:t>
      </w:r>
      <w:r w:rsidR="00694ECA" w:rsidRPr="00141D36">
        <w:t xml:space="preserve"> </w:t>
      </w:r>
      <w:r w:rsidRPr="00141D36">
        <w:t xml:space="preserve">Aboriginal and Torres Strait Islander students by 3.8 percentage points to 74.1 per cent (table </w:t>
      </w:r>
      <w:proofErr w:type="spellStart"/>
      <w:r w:rsidRPr="00141D36">
        <w:t>5A.50</w:t>
      </w:r>
      <w:proofErr w:type="spellEnd"/>
      <w:r w:rsidRPr="00141D36">
        <w:t>).</w:t>
      </w:r>
    </w:p>
    <w:p w:rsidR="00133B84" w:rsidRPr="00141D36" w:rsidRDefault="00133B84" w:rsidP="00133B84">
      <w:pPr>
        <w:pStyle w:val="BodyText"/>
      </w:pPr>
      <w:r w:rsidRPr="00141D36">
        <w:t>In 2013, nationally, the load pass rate for Aboriginal and Torres Strait Islander students (74.1 per cent) was lower than the load pass rate fo</w:t>
      </w:r>
      <w:r w:rsidR="008D69C2" w:rsidRPr="00141D36">
        <w:t xml:space="preserve">r non-Indigenous students </w:t>
      </w:r>
      <w:r w:rsidR="008D69C2" w:rsidRPr="00141D36">
        <w:br/>
        <w:t xml:space="preserve">(83.2 per </w:t>
      </w:r>
      <w:r w:rsidRPr="00141D36">
        <w:t>cent) and for all students (82.9 per cent) (figure 5.</w:t>
      </w:r>
      <w:r w:rsidR="00694ECA" w:rsidRPr="00141D36">
        <w:t>1</w:t>
      </w:r>
      <w:r w:rsidR="006546BB" w:rsidRPr="00141D36">
        <w:t>3</w:t>
      </w:r>
      <w:r w:rsidR="00694ECA" w:rsidRPr="00141D36">
        <w:t>).</w:t>
      </w:r>
    </w:p>
    <w:p w:rsidR="00133B84" w:rsidRPr="00141D36" w:rsidRDefault="00133B84" w:rsidP="00133B8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33B84" w:rsidRPr="00141D36" w:rsidTr="00133B84">
        <w:tc>
          <w:tcPr>
            <w:tcW w:w="8771" w:type="dxa"/>
            <w:tcBorders>
              <w:top w:val="single" w:sz="6" w:space="0" w:color="78A22F"/>
              <w:left w:val="nil"/>
              <w:bottom w:val="nil"/>
              <w:right w:val="nil"/>
            </w:tcBorders>
            <w:shd w:val="clear" w:color="auto" w:fill="auto"/>
          </w:tcPr>
          <w:p w:rsidR="00133B84" w:rsidRPr="00141D36" w:rsidRDefault="00133B84" w:rsidP="006546BB">
            <w:pPr>
              <w:pStyle w:val="FigureTitle"/>
            </w:pPr>
            <w:r w:rsidRPr="00141D36">
              <w:rPr>
                <w:b w:val="0"/>
              </w:rPr>
              <w:t>Figure 5.</w:t>
            </w:r>
            <w:r w:rsidR="008D69C2" w:rsidRPr="00141D36">
              <w:rPr>
                <w:b w:val="0"/>
                <w:noProof/>
              </w:rPr>
              <w:t>1</w:t>
            </w:r>
            <w:r w:rsidR="006546BB" w:rsidRPr="00141D36">
              <w:rPr>
                <w:b w:val="0"/>
                <w:noProof/>
              </w:rPr>
              <w:t>3</w:t>
            </w:r>
            <w:r w:rsidRPr="00141D36">
              <w:tab/>
              <w:t>Load pass rate, by Indigenous status 2013</w:t>
            </w:r>
            <w:r w:rsidRPr="00141D36">
              <w:rPr>
                <w:rStyle w:val="NoteLabel"/>
                <w:b/>
              </w:rPr>
              <w:t>a, b</w:t>
            </w:r>
          </w:p>
        </w:tc>
      </w:tr>
      <w:tr w:rsidR="00133B84" w:rsidRPr="00141D36" w:rsidTr="00133B84">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33B84" w:rsidRPr="00141D36" w:rsidTr="00133B84">
              <w:tc>
                <w:tcPr>
                  <w:tcW w:w="5000" w:type="pct"/>
                  <w:tcBorders>
                    <w:top w:val="nil"/>
                    <w:bottom w:val="nil"/>
                  </w:tcBorders>
                </w:tcPr>
                <w:p w:rsidR="00133B84" w:rsidRPr="00141D36" w:rsidRDefault="00133B84" w:rsidP="00133B84">
                  <w:pPr>
                    <w:pStyle w:val="Figure"/>
                    <w:spacing w:before="60" w:after="60"/>
                  </w:pPr>
                  <w:r w:rsidRPr="00141D36">
                    <w:rPr>
                      <w:noProof/>
                    </w:rPr>
                    <w:drawing>
                      <wp:inline distT="0" distB="0" distL="0" distR="0" wp14:anchorId="77433EEF" wp14:editId="69D25B98">
                        <wp:extent cx="5391150" cy="2705100"/>
                        <wp:effectExtent l="0" t="0" r="0" b="0"/>
                        <wp:docPr id="37" name="Picture 37" descr="Figure 5.30 Load pass rate, by Indigenous status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91150" cy="2705100"/>
                                </a:xfrm>
                                <a:prstGeom prst="rect">
                                  <a:avLst/>
                                </a:prstGeom>
                                <a:noFill/>
                                <a:ln>
                                  <a:noFill/>
                                </a:ln>
                              </pic:spPr>
                            </pic:pic>
                          </a:graphicData>
                        </a:graphic>
                      </wp:inline>
                    </w:drawing>
                  </w:r>
                </w:p>
              </w:tc>
            </w:tr>
          </w:tbl>
          <w:p w:rsidR="00133B84" w:rsidRPr="00141D36" w:rsidRDefault="00133B84" w:rsidP="00133B84">
            <w:pPr>
              <w:pStyle w:val="Figure"/>
            </w:pPr>
          </w:p>
        </w:tc>
      </w:tr>
      <w:tr w:rsidR="00133B84" w:rsidRPr="00141D36" w:rsidTr="00133B84">
        <w:tc>
          <w:tcPr>
            <w:tcW w:w="8771" w:type="dxa"/>
            <w:tcBorders>
              <w:top w:val="nil"/>
              <w:left w:val="nil"/>
              <w:bottom w:val="nil"/>
              <w:right w:val="nil"/>
            </w:tcBorders>
            <w:shd w:val="clear" w:color="auto" w:fill="auto"/>
          </w:tcPr>
          <w:p w:rsidR="00133B84" w:rsidRPr="00141D36" w:rsidRDefault="00133B84" w:rsidP="00133B84">
            <w:pPr>
              <w:pStyle w:val="Note"/>
            </w:pPr>
            <w:r w:rsidRPr="00141D36">
              <w:rPr>
                <w:rStyle w:val="NoteLabel"/>
              </w:rPr>
              <w:t>a</w:t>
            </w:r>
            <w:r w:rsidRPr="00141D36">
              <w:t xml:space="preserve"> Data are for government funded hours. </w:t>
            </w:r>
            <w:r w:rsidRPr="00141D36">
              <w:rPr>
                <w:rStyle w:val="NoteLabel"/>
              </w:rPr>
              <w:t>b</w:t>
            </w:r>
            <w:r w:rsidRPr="00141D36">
              <w:t xml:space="preserve"> Aboriginal and Torres Strait Islander students are defined as those who self-identify on enrolment forms that they are of Aboriginal and/or Torres Strait Islander background. Care should be taken in comparing rates for Aboriginal and Torres Strait Islander and non</w:t>
            </w:r>
            <w:r w:rsidRPr="00141D36">
              <w:noBreakHyphen/>
              <w:t>Indigenous students as non-identification rates can be high.</w:t>
            </w:r>
          </w:p>
        </w:tc>
      </w:tr>
      <w:tr w:rsidR="00133B84" w:rsidRPr="00141D36" w:rsidTr="00133B84">
        <w:tc>
          <w:tcPr>
            <w:tcW w:w="8771" w:type="dxa"/>
            <w:tcBorders>
              <w:top w:val="nil"/>
              <w:left w:val="nil"/>
              <w:bottom w:val="nil"/>
              <w:right w:val="nil"/>
            </w:tcBorders>
            <w:shd w:val="clear" w:color="auto" w:fill="auto"/>
          </w:tcPr>
          <w:p w:rsidR="00133B84" w:rsidRPr="00141D36" w:rsidRDefault="00133B84" w:rsidP="00133B84">
            <w:pPr>
              <w:pStyle w:val="Source"/>
            </w:pPr>
            <w:r w:rsidRPr="00141D36">
              <w:rPr>
                <w:i/>
              </w:rPr>
              <w:t>Source</w:t>
            </w:r>
            <w:r w:rsidRPr="00141D36">
              <w:t xml:space="preserve">: </w:t>
            </w:r>
            <w:proofErr w:type="spellStart"/>
            <w:r w:rsidRPr="00141D36">
              <w:t>NCVER</w:t>
            </w:r>
            <w:proofErr w:type="spellEnd"/>
            <w:r w:rsidRPr="00141D36">
              <w:t xml:space="preserve"> (unpublished) National VET p</w:t>
            </w:r>
            <w:r w:rsidR="008D69C2" w:rsidRPr="00141D36">
              <w:t xml:space="preserve">rovider collection; table </w:t>
            </w:r>
            <w:proofErr w:type="spellStart"/>
            <w:r w:rsidR="008D69C2" w:rsidRPr="00141D36">
              <w:t>5A.50</w:t>
            </w:r>
            <w:proofErr w:type="spellEnd"/>
            <w:r w:rsidR="008D69C2" w:rsidRPr="00141D36">
              <w:t xml:space="preserve">; 2015 Report, figure 5.30, </w:t>
            </w:r>
            <w:r w:rsidR="008D69C2" w:rsidRPr="00141D36">
              <w:br/>
              <w:t>p. 5.55.</w:t>
            </w:r>
          </w:p>
        </w:tc>
      </w:tr>
      <w:tr w:rsidR="00133B84" w:rsidRPr="00141D36" w:rsidTr="00133B84">
        <w:tc>
          <w:tcPr>
            <w:tcW w:w="8771" w:type="dxa"/>
            <w:tcBorders>
              <w:top w:val="nil"/>
              <w:left w:val="nil"/>
              <w:bottom w:val="single" w:sz="6" w:space="0" w:color="78A22F"/>
              <w:right w:val="nil"/>
            </w:tcBorders>
            <w:shd w:val="clear" w:color="auto" w:fill="auto"/>
          </w:tcPr>
          <w:p w:rsidR="00133B84" w:rsidRPr="00141D36" w:rsidRDefault="00133B84" w:rsidP="00133B84">
            <w:pPr>
              <w:pStyle w:val="Figurespace"/>
            </w:pPr>
          </w:p>
        </w:tc>
      </w:tr>
      <w:tr w:rsidR="007664DC" w:rsidRPr="00141D36" w:rsidTr="00133B84">
        <w:tc>
          <w:tcPr>
            <w:tcW w:w="8771" w:type="dxa"/>
            <w:tcBorders>
              <w:top w:val="single" w:sz="6" w:space="0" w:color="78A22F"/>
              <w:left w:val="nil"/>
              <w:bottom w:val="nil"/>
              <w:right w:val="nil"/>
            </w:tcBorders>
          </w:tcPr>
          <w:p w:rsidR="007664DC" w:rsidRPr="00141D36" w:rsidRDefault="007664DC" w:rsidP="00D57D33">
            <w:pPr>
              <w:pStyle w:val="BoxSpaceBelow"/>
            </w:pPr>
          </w:p>
        </w:tc>
      </w:tr>
    </w:tbl>
    <w:p w:rsidR="00133B84" w:rsidRPr="00141D36" w:rsidRDefault="00133B84" w:rsidP="00133B84">
      <w:pPr>
        <w:pStyle w:val="BodyText"/>
      </w:pPr>
      <w:r w:rsidRPr="00141D36">
        <w:t>Load pass rates for Aboriginal and Torres Strait Isla</w:t>
      </w:r>
      <w:r w:rsidR="008D69C2" w:rsidRPr="00141D36">
        <w:t xml:space="preserve">nder students increased by </w:t>
      </w:r>
      <w:r w:rsidR="008D69C2" w:rsidRPr="00141D36">
        <w:br/>
        <w:t xml:space="preserve">10.2 </w:t>
      </w:r>
      <w:r w:rsidRPr="00141D36">
        <w:t>percentage points nationally between 2004 and 2013, to 74.1 per cent. This compares with an increase of 5.3 percentage points over the same period for non</w:t>
      </w:r>
      <w:r w:rsidRPr="00141D36">
        <w:noBreakHyphen/>
        <w:t xml:space="preserve">Indigenous students (to 83.2 per cent in 2013) and an increase of 5.6 percentage points over the same period for all students (to 82.9 per cent) (table </w:t>
      </w:r>
      <w:proofErr w:type="spellStart"/>
      <w:r w:rsidRPr="00141D36">
        <w:t>5A.50</w:t>
      </w:r>
      <w:proofErr w:type="spellEnd"/>
      <w:r w:rsidRPr="00141D36">
        <w:t>).</w:t>
      </w:r>
    </w:p>
    <w:p w:rsidR="00133B84" w:rsidRPr="00141D36" w:rsidRDefault="00133B84" w:rsidP="00133B84">
      <w:pPr>
        <w:pStyle w:val="Heading6"/>
      </w:pPr>
      <w:r w:rsidRPr="00141D36">
        <w:t>Student achievement in VET — proportion of graduates with improved education/training status after training</w:t>
      </w:r>
    </w:p>
    <w:p w:rsidR="00133B84" w:rsidRPr="00141D36" w:rsidRDefault="00133B84" w:rsidP="00133B84">
      <w:pPr>
        <w:pStyle w:val="BodyText"/>
      </w:pPr>
      <w:r w:rsidRPr="00141D36">
        <w:t>Qualification completions in 2012 by Aboriginal and Torres Strait Islander students with improved education/training status after training, as a percentage of course enrolments by Aboriginal and Torres Strait Islander students in 2012, was 13.4 per cent (figure 5.</w:t>
      </w:r>
      <w:r w:rsidR="006546BB" w:rsidRPr="00141D36">
        <w:t>14</w:t>
      </w:r>
      <w:r w:rsidRPr="00141D36">
        <w:t xml:space="preserve">) </w:t>
      </w:r>
      <w:r w:rsidRPr="00141D36">
        <w:sym w:font="Symbol" w:char="F0BE"/>
      </w:r>
      <w:r w:rsidRPr="00141D36">
        <w:t xml:space="preserve"> an increase of 3.2 percentage points from 10.2 per cent in 2008 (table </w:t>
      </w:r>
      <w:proofErr w:type="spellStart"/>
      <w:r w:rsidRPr="00141D36">
        <w:t>5A.54</w:t>
      </w:r>
      <w:proofErr w:type="spellEnd"/>
      <w:r w:rsidRPr="00141D36">
        <w:t xml:space="preserve">). This compares to an increase of 4.1 percentage points for non-Indigenous students between 2008 (14.3 per cent) and 2012 (18.4 per cent) (table </w:t>
      </w:r>
      <w:proofErr w:type="spellStart"/>
      <w:r w:rsidRPr="00141D36">
        <w:t>5A.54</w:t>
      </w:r>
      <w:proofErr w:type="spellEnd"/>
      <w:r w:rsidRPr="00141D36">
        <w:t>).</w:t>
      </w:r>
    </w:p>
    <w:p w:rsidR="00133B84" w:rsidRPr="00141D36" w:rsidRDefault="00133B84" w:rsidP="00133B8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33B84" w:rsidRPr="00141D36" w:rsidTr="00133B84">
        <w:tc>
          <w:tcPr>
            <w:tcW w:w="8771" w:type="dxa"/>
            <w:tcBorders>
              <w:top w:val="single" w:sz="6" w:space="0" w:color="78A22F"/>
              <w:left w:val="nil"/>
              <w:bottom w:val="nil"/>
              <w:right w:val="nil"/>
            </w:tcBorders>
            <w:shd w:val="clear" w:color="auto" w:fill="auto"/>
          </w:tcPr>
          <w:p w:rsidR="00133B84" w:rsidRPr="00141D36" w:rsidRDefault="00133B84" w:rsidP="006546BB">
            <w:pPr>
              <w:pStyle w:val="FigureTitle"/>
            </w:pPr>
            <w:r w:rsidRPr="00141D36">
              <w:rPr>
                <w:b w:val="0"/>
              </w:rPr>
              <w:t>Figure 5.</w:t>
            </w:r>
            <w:r w:rsidR="006546BB" w:rsidRPr="00141D36">
              <w:rPr>
                <w:b w:val="0"/>
                <w:noProof/>
              </w:rPr>
              <w:t>14</w:t>
            </w:r>
            <w:r w:rsidRPr="00141D36">
              <w:tab/>
              <w:t>Qualifications completed by students with improved education/training status after training, as a percentage of course enrolments, by Indigenous status 2012</w:t>
            </w:r>
            <w:r w:rsidRPr="00141D36">
              <w:rPr>
                <w:rStyle w:val="NoteLabel"/>
                <w:b/>
              </w:rPr>
              <w:t>a, b</w:t>
            </w:r>
          </w:p>
        </w:tc>
      </w:tr>
      <w:tr w:rsidR="00133B84" w:rsidRPr="00141D36" w:rsidTr="00133B84">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33B84" w:rsidRPr="00141D36" w:rsidTr="00133B84">
              <w:tc>
                <w:tcPr>
                  <w:tcW w:w="5000" w:type="pct"/>
                  <w:tcBorders>
                    <w:top w:val="nil"/>
                    <w:bottom w:val="nil"/>
                  </w:tcBorders>
                </w:tcPr>
                <w:p w:rsidR="00133B84" w:rsidRPr="00141D36" w:rsidRDefault="00133B84" w:rsidP="00133B84">
                  <w:pPr>
                    <w:pStyle w:val="Figure"/>
                    <w:spacing w:before="60" w:after="60"/>
                  </w:pPr>
                  <w:r w:rsidRPr="00141D36">
                    <w:rPr>
                      <w:noProof/>
                    </w:rPr>
                    <w:drawing>
                      <wp:inline distT="0" distB="0" distL="0" distR="0" wp14:anchorId="4610D153" wp14:editId="0E3B47B4">
                        <wp:extent cx="5391150" cy="2714625"/>
                        <wp:effectExtent l="0" t="0" r="0" b="9525"/>
                        <wp:docPr id="39" name="Picture 39" descr="Figure 5.32 Qualifications completed by students with improved education/training status after training, as a percentage of course enrolments, by Indigenous status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91150" cy="2714625"/>
                                </a:xfrm>
                                <a:prstGeom prst="rect">
                                  <a:avLst/>
                                </a:prstGeom>
                                <a:noFill/>
                                <a:ln>
                                  <a:noFill/>
                                </a:ln>
                              </pic:spPr>
                            </pic:pic>
                          </a:graphicData>
                        </a:graphic>
                      </wp:inline>
                    </w:drawing>
                  </w:r>
                </w:p>
              </w:tc>
            </w:tr>
          </w:tbl>
          <w:p w:rsidR="00133B84" w:rsidRPr="00141D36" w:rsidRDefault="00133B84" w:rsidP="00133B84">
            <w:pPr>
              <w:pStyle w:val="Figure"/>
            </w:pPr>
          </w:p>
        </w:tc>
      </w:tr>
      <w:tr w:rsidR="00133B84" w:rsidRPr="00141D36" w:rsidTr="00133B84">
        <w:tc>
          <w:tcPr>
            <w:tcW w:w="8771" w:type="dxa"/>
            <w:tcBorders>
              <w:top w:val="nil"/>
              <w:left w:val="nil"/>
              <w:bottom w:val="nil"/>
              <w:right w:val="nil"/>
            </w:tcBorders>
            <w:shd w:val="clear" w:color="auto" w:fill="auto"/>
          </w:tcPr>
          <w:p w:rsidR="00133B84" w:rsidRPr="00141D36" w:rsidRDefault="00133B84" w:rsidP="00133B84">
            <w:pPr>
              <w:pStyle w:val="Note"/>
            </w:pPr>
            <w:r w:rsidRPr="00141D36">
              <w:rPr>
                <w:rStyle w:val="NoteLabel"/>
              </w:rPr>
              <w:t>a</w:t>
            </w:r>
            <w:r w:rsidRPr="00141D36">
              <w:t xml:space="preserve"> Qualifications completed includes courses accredited or approved by a local State/Territory authority, and represents students eligible to be awarded a qualification. </w:t>
            </w:r>
            <w:r w:rsidRPr="00141D36">
              <w:rPr>
                <w:rStyle w:val="NoteLabel"/>
              </w:rPr>
              <w:t>b</w:t>
            </w:r>
            <w:r w:rsidRPr="00141D36">
              <w:t xml:space="preserve"> The number of qualifications completed includes both government funded and non-government funded VET students.</w:t>
            </w:r>
          </w:p>
        </w:tc>
      </w:tr>
      <w:tr w:rsidR="00133B84" w:rsidRPr="00141D36" w:rsidTr="00133B84">
        <w:tc>
          <w:tcPr>
            <w:tcW w:w="8771" w:type="dxa"/>
            <w:tcBorders>
              <w:top w:val="nil"/>
              <w:left w:val="nil"/>
              <w:bottom w:val="nil"/>
              <w:right w:val="nil"/>
            </w:tcBorders>
            <w:shd w:val="clear" w:color="auto" w:fill="auto"/>
          </w:tcPr>
          <w:p w:rsidR="00133B84" w:rsidRPr="00141D36" w:rsidRDefault="00133B84" w:rsidP="00EA5198">
            <w:pPr>
              <w:pStyle w:val="Source"/>
            </w:pPr>
            <w:r w:rsidRPr="00141D36">
              <w:rPr>
                <w:i/>
              </w:rPr>
              <w:t>Source</w:t>
            </w:r>
            <w:r w:rsidRPr="00141D36">
              <w:t xml:space="preserve">: </w:t>
            </w:r>
            <w:proofErr w:type="spellStart"/>
            <w:r w:rsidRPr="00141D36">
              <w:t>NCVER</w:t>
            </w:r>
            <w:proofErr w:type="spellEnd"/>
            <w:r w:rsidRPr="00141D36">
              <w:t xml:space="preserve"> (unpublished) National VET p</w:t>
            </w:r>
            <w:r w:rsidR="00EA5198" w:rsidRPr="00141D36">
              <w:t xml:space="preserve">rovider collection; table </w:t>
            </w:r>
            <w:proofErr w:type="spellStart"/>
            <w:r w:rsidR="00EA5198" w:rsidRPr="00141D36">
              <w:t>5A.54</w:t>
            </w:r>
            <w:proofErr w:type="spellEnd"/>
            <w:r w:rsidR="00EA5198" w:rsidRPr="00141D36">
              <w:t xml:space="preserve">; 2015 Report, figure 5.32, </w:t>
            </w:r>
            <w:r w:rsidR="00EA5198" w:rsidRPr="00141D36">
              <w:br/>
              <w:t>p. 5.57.</w:t>
            </w:r>
          </w:p>
        </w:tc>
      </w:tr>
      <w:tr w:rsidR="00133B84" w:rsidRPr="00141D36" w:rsidTr="00133B84">
        <w:tc>
          <w:tcPr>
            <w:tcW w:w="8771" w:type="dxa"/>
            <w:tcBorders>
              <w:top w:val="nil"/>
              <w:left w:val="nil"/>
              <w:bottom w:val="single" w:sz="6" w:space="0" w:color="78A22F"/>
              <w:right w:val="nil"/>
            </w:tcBorders>
            <w:shd w:val="clear" w:color="auto" w:fill="auto"/>
          </w:tcPr>
          <w:p w:rsidR="00133B84" w:rsidRPr="00141D36" w:rsidRDefault="00133B84" w:rsidP="00133B84">
            <w:pPr>
              <w:pStyle w:val="Figurespace"/>
            </w:pPr>
          </w:p>
        </w:tc>
      </w:tr>
      <w:tr w:rsidR="007664DC" w:rsidRPr="00141D36" w:rsidTr="00133B84">
        <w:tc>
          <w:tcPr>
            <w:tcW w:w="8771" w:type="dxa"/>
            <w:tcBorders>
              <w:top w:val="single" w:sz="6" w:space="0" w:color="78A22F"/>
              <w:left w:val="nil"/>
              <w:bottom w:val="nil"/>
              <w:right w:val="nil"/>
            </w:tcBorders>
          </w:tcPr>
          <w:p w:rsidR="007664DC" w:rsidRPr="00141D36" w:rsidRDefault="007664DC" w:rsidP="00D57D33">
            <w:pPr>
              <w:pStyle w:val="BoxSpaceBelow"/>
            </w:pPr>
          </w:p>
        </w:tc>
      </w:tr>
    </w:tbl>
    <w:p w:rsidR="00133B84" w:rsidRPr="00141D36" w:rsidRDefault="00133B84" w:rsidP="00133B84">
      <w:pPr>
        <w:pStyle w:val="Heading5"/>
        <w:shd w:val="clear" w:color="auto" w:fill="FFFFFF" w:themeFill="background1"/>
      </w:pPr>
      <w:r w:rsidRPr="00141D36">
        <w:t>Student satisfaction with VET</w:t>
      </w:r>
    </w:p>
    <w:p w:rsidR="00133B84" w:rsidRPr="00141D36" w:rsidRDefault="00133B84" w:rsidP="00133B84">
      <w:pPr>
        <w:pStyle w:val="BodyText"/>
        <w:shd w:val="clear" w:color="auto" w:fill="FFFFFF" w:themeFill="background1"/>
      </w:pPr>
      <w:r w:rsidRPr="00141D36">
        <w:t>‘Student satisfaction with VET’ is an indicator of governments’ objective of enabling students’ satisfaction with</w:t>
      </w:r>
      <w:r w:rsidR="00EA5198" w:rsidRPr="00141D36">
        <w:t xml:space="preserve"> their training program (box 5.5).</w:t>
      </w:r>
    </w:p>
    <w:p w:rsidR="00133B84" w:rsidRPr="00141D36" w:rsidRDefault="00133B84" w:rsidP="00133B8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33B84" w:rsidRPr="00141D36" w:rsidTr="00133B84">
        <w:tc>
          <w:tcPr>
            <w:tcW w:w="8771" w:type="dxa"/>
            <w:tcBorders>
              <w:top w:val="single" w:sz="6" w:space="0" w:color="78A22F"/>
              <w:left w:val="nil"/>
              <w:bottom w:val="nil"/>
              <w:right w:val="nil"/>
            </w:tcBorders>
            <w:shd w:val="clear" w:color="auto" w:fill="F2F2F2" w:themeFill="background1" w:themeFillShade="F2"/>
          </w:tcPr>
          <w:p w:rsidR="00133B84" w:rsidRPr="00141D36" w:rsidRDefault="00133B84" w:rsidP="00133B84">
            <w:pPr>
              <w:pStyle w:val="BoxTitle"/>
            </w:pPr>
            <w:r w:rsidRPr="00141D36">
              <w:rPr>
                <w:b w:val="0"/>
              </w:rPr>
              <w:t>Box 5.</w:t>
            </w:r>
            <w:r w:rsidRPr="00141D36">
              <w:rPr>
                <w:b w:val="0"/>
                <w:noProof/>
              </w:rPr>
              <w:t>5</w:t>
            </w:r>
            <w:r w:rsidRPr="00141D36">
              <w:tab/>
              <w:t>Student satisfaction with VET</w:t>
            </w:r>
          </w:p>
        </w:tc>
      </w:tr>
      <w:tr w:rsidR="00133B84" w:rsidRPr="00141D36" w:rsidTr="00133B84">
        <w:trPr>
          <w:cantSplit/>
        </w:trPr>
        <w:tc>
          <w:tcPr>
            <w:tcW w:w="8771" w:type="dxa"/>
            <w:tcBorders>
              <w:top w:val="nil"/>
              <w:left w:val="nil"/>
              <w:bottom w:val="nil"/>
              <w:right w:val="nil"/>
            </w:tcBorders>
            <w:shd w:val="clear" w:color="auto" w:fill="F2F2F2" w:themeFill="background1" w:themeFillShade="F2"/>
          </w:tcPr>
          <w:p w:rsidR="00133B84" w:rsidRPr="00141D36" w:rsidRDefault="00133B84" w:rsidP="00133B84">
            <w:pPr>
              <w:pStyle w:val="Box"/>
            </w:pPr>
            <w:r w:rsidRPr="00141D36">
              <w:t>‘Student satisfaction with VET’ has two measures:</w:t>
            </w:r>
          </w:p>
          <w:p w:rsidR="00133B84" w:rsidRPr="00141D36" w:rsidRDefault="00133B84" w:rsidP="00133B84">
            <w:pPr>
              <w:pStyle w:val="BoxListBullet"/>
            </w:pPr>
            <w:r w:rsidRPr="00141D36">
              <w:t>‘proportion of students who achieve their main reason for doing a VET course’, defined as the proportion of graduates who indicate through the Student Outcomes Survey that they achieved or partly achieved their main reason for doing the course</w:t>
            </w:r>
          </w:p>
          <w:p w:rsidR="00133B84" w:rsidRPr="00141D36" w:rsidRDefault="00133B84" w:rsidP="00133B84">
            <w:pPr>
              <w:pStyle w:val="BoxListBullet"/>
            </w:pPr>
            <w:r w:rsidRPr="00141D36">
              <w:t>‘proportion of students who were satisfied with the quality of their completed VET course’, defined as the proportion of graduates who indicate through the Student Outcomes Survey that they were satisfied or very satisfied with their VET training program. This measure is also reported according to the students’ identified purpose of study (employment related, further study and/or developmental).</w:t>
            </w:r>
          </w:p>
          <w:p w:rsidR="00133B84" w:rsidRPr="00141D36" w:rsidRDefault="00133B84" w:rsidP="00133B84">
            <w:pPr>
              <w:pStyle w:val="Box"/>
            </w:pPr>
            <w:r w:rsidRPr="00141D36">
              <w:t>Satisfaction with VET by target groups (students with disability, students speaking a language other than English at home, students from remote and very remote areas and Aboriginal and Torres Strait Islander students) can also indicate the equity of outcomes for these groups.</w:t>
            </w:r>
          </w:p>
          <w:p w:rsidR="00133B84" w:rsidRPr="00141D36" w:rsidRDefault="00133B84" w:rsidP="00133B84">
            <w:pPr>
              <w:pStyle w:val="Box"/>
            </w:pPr>
            <w:r w:rsidRPr="00141D36">
              <w:t>A high or increasing percentage of perce</w:t>
            </w:r>
            <w:r w:rsidR="00EA5198" w:rsidRPr="00141D36">
              <w:t>ived satisfaction is desirable.</w:t>
            </w:r>
          </w:p>
          <w:p w:rsidR="00133B84" w:rsidRPr="00141D36" w:rsidRDefault="00133B84" w:rsidP="00133B84">
            <w:pPr>
              <w:pStyle w:val="Box"/>
            </w:pPr>
            <w:r w:rsidRPr="00141D36">
              <w:t>Data reported for these measures are:</w:t>
            </w:r>
          </w:p>
          <w:p w:rsidR="00133B84" w:rsidRPr="00141D36" w:rsidRDefault="00133B84" w:rsidP="00133B84">
            <w:pPr>
              <w:pStyle w:val="BoxListBullet"/>
            </w:pPr>
            <w:r w:rsidRPr="00141D36">
              <w:t>comparable (subject to caveats) across jurisdictions and over time</w:t>
            </w:r>
          </w:p>
          <w:p w:rsidR="00133B84" w:rsidRPr="00141D36" w:rsidRDefault="00133B84" w:rsidP="00133B84">
            <w:pPr>
              <w:pStyle w:val="BoxListBullet"/>
            </w:pPr>
            <w:r w:rsidRPr="00141D36">
              <w:t>complete for the current reporting period (subject to caveats). All required 2013 data are available for all jurisdictions providing the service.</w:t>
            </w:r>
          </w:p>
          <w:p w:rsidR="00133B84" w:rsidRPr="00141D36" w:rsidRDefault="00133B84" w:rsidP="00133B84">
            <w:pPr>
              <w:pStyle w:val="Box"/>
            </w:pPr>
            <w:r w:rsidRPr="00141D36">
              <w:t xml:space="preserve">Data quality information for this indicator is at </w:t>
            </w:r>
            <w:proofErr w:type="spellStart"/>
            <w:r w:rsidR="00F3148B" w:rsidRPr="00141D36">
              <w:t>www.pc.gov.au</w:t>
            </w:r>
            <w:proofErr w:type="spellEnd"/>
            <w:r w:rsidR="00F3148B" w:rsidRPr="00141D36">
              <w:t>/research/recurring/report-on-government-services</w:t>
            </w:r>
            <w:r w:rsidRPr="00141D36">
              <w:t>.</w:t>
            </w:r>
          </w:p>
        </w:tc>
      </w:tr>
      <w:tr w:rsidR="00133B84" w:rsidRPr="00141D36" w:rsidTr="00133B84">
        <w:trPr>
          <w:cantSplit/>
        </w:trPr>
        <w:tc>
          <w:tcPr>
            <w:tcW w:w="8771" w:type="dxa"/>
            <w:tcBorders>
              <w:top w:val="nil"/>
              <w:left w:val="nil"/>
              <w:bottom w:val="single" w:sz="6" w:space="0" w:color="78A22F"/>
              <w:right w:val="nil"/>
            </w:tcBorders>
            <w:shd w:val="clear" w:color="auto" w:fill="F2F2F2" w:themeFill="background1" w:themeFillShade="F2"/>
          </w:tcPr>
          <w:p w:rsidR="00133B84" w:rsidRPr="00141D36" w:rsidRDefault="00133B84" w:rsidP="00133B84">
            <w:pPr>
              <w:pStyle w:val="Box"/>
              <w:spacing w:before="0" w:line="120" w:lineRule="exact"/>
            </w:pPr>
          </w:p>
        </w:tc>
      </w:tr>
      <w:tr w:rsidR="007664DC" w:rsidRPr="00141D36" w:rsidTr="00133B84">
        <w:tc>
          <w:tcPr>
            <w:tcW w:w="8771" w:type="dxa"/>
            <w:tcBorders>
              <w:top w:val="single" w:sz="6" w:space="0" w:color="78A22F"/>
              <w:left w:val="nil"/>
              <w:bottom w:val="nil"/>
              <w:right w:val="nil"/>
            </w:tcBorders>
          </w:tcPr>
          <w:p w:rsidR="007664DC" w:rsidRPr="00141D36" w:rsidRDefault="007664DC" w:rsidP="00D57D33">
            <w:pPr>
              <w:pStyle w:val="BoxSpaceBelow"/>
            </w:pPr>
          </w:p>
        </w:tc>
      </w:tr>
    </w:tbl>
    <w:p w:rsidR="00133B84" w:rsidRPr="00141D36" w:rsidRDefault="00133B84" w:rsidP="00133B84">
      <w:pPr>
        <w:pStyle w:val="Heading6"/>
      </w:pPr>
      <w:r w:rsidRPr="00141D36">
        <w:t>Student satisfaction with VET — students who achieve their main reason for doing a course</w:t>
      </w:r>
    </w:p>
    <w:p w:rsidR="00133B84" w:rsidRPr="00141D36" w:rsidRDefault="00133B84" w:rsidP="00133B84">
      <w:pPr>
        <w:pStyle w:val="BodyText"/>
      </w:pPr>
      <w:r w:rsidRPr="00141D36">
        <w:t>Nationally in 2013, of the target groups, graduates from remote and very remote areas were the most likely to indicate that the course helped them achieve their main reason for doing the course (81.1 per cent), while graduates reporting disability were the least likely to do so (54.9 per cent). Amongst Aboriginal and Torres Strait Islander graduates, 74.2 per cent indicated that the course helped them achieve their main reason for doing the course (figure 5.</w:t>
      </w:r>
      <w:r w:rsidR="00EA5198" w:rsidRPr="00141D36">
        <w:t>15).</w:t>
      </w:r>
    </w:p>
    <w:p w:rsidR="00133B84" w:rsidRPr="00141D36" w:rsidRDefault="00133B84" w:rsidP="00133B8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33B84" w:rsidRPr="00141D36" w:rsidTr="00133B84">
        <w:tc>
          <w:tcPr>
            <w:tcW w:w="8771" w:type="dxa"/>
            <w:tcBorders>
              <w:top w:val="single" w:sz="6" w:space="0" w:color="78A22F"/>
              <w:left w:val="nil"/>
              <w:bottom w:val="nil"/>
              <w:right w:val="nil"/>
            </w:tcBorders>
            <w:shd w:val="clear" w:color="auto" w:fill="auto"/>
          </w:tcPr>
          <w:p w:rsidR="00133B84" w:rsidRPr="00141D36" w:rsidRDefault="00133B84" w:rsidP="00EA5198">
            <w:pPr>
              <w:pStyle w:val="FigureTitle"/>
            </w:pPr>
            <w:r w:rsidRPr="00141D36">
              <w:rPr>
                <w:b w:val="0"/>
              </w:rPr>
              <w:t>Figure 5.</w:t>
            </w:r>
            <w:r w:rsidR="00EA5198" w:rsidRPr="00141D36">
              <w:rPr>
                <w:b w:val="0"/>
                <w:noProof/>
              </w:rPr>
              <w:t>15</w:t>
            </w:r>
            <w:r w:rsidRPr="00141D36">
              <w:tab/>
              <w:t>Proportion of government funded VET graduates who achieved their main reason for doing the course, by target group, 2013</w:t>
            </w:r>
            <w:r w:rsidRPr="00141D36">
              <w:rPr>
                <w:rStyle w:val="NoteLabel"/>
                <w:b/>
              </w:rPr>
              <w:t>a, b, c</w:t>
            </w:r>
          </w:p>
        </w:tc>
      </w:tr>
      <w:tr w:rsidR="00133B84" w:rsidRPr="00141D36" w:rsidTr="00133B84">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33B84" w:rsidRPr="00141D36" w:rsidTr="00133B84">
              <w:tc>
                <w:tcPr>
                  <w:tcW w:w="5000" w:type="pct"/>
                  <w:tcBorders>
                    <w:top w:val="nil"/>
                    <w:bottom w:val="nil"/>
                  </w:tcBorders>
                </w:tcPr>
                <w:p w:rsidR="00133B84" w:rsidRPr="00141D36" w:rsidRDefault="00F25AA7" w:rsidP="00133B84">
                  <w:pPr>
                    <w:pStyle w:val="Figure"/>
                    <w:spacing w:before="60" w:after="60"/>
                  </w:pPr>
                  <w:r>
                    <w:rPr>
                      <w:noProof/>
                    </w:rPr>
                    <w:drawing>
                      <wp:inline distT="0" distB="0" distL="0" distR="0">
                        <wp:extent cx="5391150" cy="2695575"/>
                        <wp:effectExtent l="0" t="0" r="0" b="9525"/>
                        <wp:docPr id="8" name="Picture 8" descr="Figure 5.15 Proportion of government funded VET graduates who achieved their main reason for doing the course, by target group,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133B84" w:rsidRPr="00141D36" w:rsidRDefault="00133B84" w:rsidP="00133B84">
            <w:pPr>
              <w:pStyle w:val="Figure"/>
            </w:pPr>
          </w:p>
        </w:tc>
      </w:tr>
      <w:tr w:rsidR="00133B84" w:rsidRPr="00141D36" w:rsidTr="00133B84">
        <w:tc>
          <w:tcPr>
            <w:tcW w:w="8771" w:type="dxa"/>
            <w:tcBorders>
              <w:top w:val="nil"/>
              <w:left w:val="nil"/>
              <w:bottom w:val="nil"/>
              <w:right w:val="nil"/>
            </w:tcBorders>
            <w:shd w:val="clear" w:color="auto" w:fill="auto"/>
          </w:tcPr>
          <w:p w:rsidR="00133B84" w:rsidRPr="00141D36" w:rsidRDefault="00133B84" w:rsidP="00133B84">
            <w:pPr>
              <w:pStyle w:val="Note"/>
            </w:pPr>
            <w:r w:rsidRPr="00141D36">
              <w:rPr>
                <w:rStyle w:val="NoteLabel"/>
              </w:rPr>
              <w:t>a</w:t>
            </w:r>
            <w:r w:rsidRPr="00141D36">
              <w:t xml:space="preserve"> Students reported as having disability are defined as those who self-identify that they have disability, impairment or a long-term condition. Disabilities include hearing/deaf, physical, intellectual, learning, mental illness, acquired brain impairment, vision, medical condition and other unspecified disabilities.</w:t>
            </w:r>
            <w:r w:rsidRPr="00141D36">
              <w:rPr>
                <w:rStyle w:val="NoteLabel"/>
              </w:rPr>
              <w:t xml:space="preserve"> b</w:t>
            </w:r>
            <w:r w:rsidRPr="00141D36">
              <w:t> There are no very remote areas in Victoria and no remote or very remote areas in the ACT. The remote data for Victoria include students from remote areas throughout Australia studying in Victoria (there are no remote data for the ACT).</w:t>
            </w:r>
            <w:r w:rsidRPr="00141D36">
              <w:rPr>
                <w:rStyle w:val="NoteLabel"/>
              </w:rPr>
              <w:t>c</w:t>
            </w:r>
            <w:r w:rsidRPr="00141D36">
              <w:t xml:space="preserve"> Error bars represent the 95 per cent confidence interval associated with each point estimate.</w:t>
            </w:r>
          </w:p>
        </w:tc>
      </w:tr>
      <w:tr w:rsidR="00133B84" w:rsidRPr="00141D36" w:rsidTr="00133B84">
        <w:tc>
          <w:tcPr>
            <w:tcW w:w="8771" w:type="dxa"/>
            <w:tcBorders>
              <w:top w:val="nil"/>
              <w:left w:val="nil"/>
              <w:bottom w:val="nil"/>
              <w:right w:val="nil"/>
            </w:tcBorders>
            <w:shd w:val="clear" w:color="auto" w:fill="auto"/>
          </w:tcPr>
          <w:p w:rsidR="00133B84" w:rsidRPr="00141D36" w:rsidRDefault="00133B84" w:rsidP="00EA5198">
            <w:pPr>
              <w:pStyle w:val="Source"/>
            </w:pPr>
            <w:r w:rsidRPr="00141D36">
              <w:rPr>
                <w:i/>
              </w:rPr>
              <w:t>Source</w:t>
            </w:r>
            <w:r w:rsidRPr="00141D36">
              <w:t xml:space="preserve">: </w:t>
            </w:r>
            <w:proofErr w:type="spellStart"/>
            <w:r w:rsidRPr="00141D36">
              <w:t>NCVER</w:t>
            </w:r>
            <w:proofErr w:type="spellEnd"/>
            <w:r w:rsidRPr="00141D36">
              <w:t xml:space="preserve"> (unpublished) </w:t>
            </w:r>
            <w:r w:rsidRPr="00141D36">
              <w:rPr>
                <w:i/>
              </w:rPr>
              <w:t>Student Outcomes Survey</w:t>
            </w:r>
            <w:r w:rsidRPr="00141D36">
              <w:t>;</w:t>
            </w:r>
            <w:r w:rsidR="00EA5198" w:rsidRPr="00141D36">
              <w:t xml:space="preserve"> table </w:t>
            </w:r>
            <w:proofErr w:type="spellStart"/>
            <w:r w:rsidR="00EA5198" w:rsidRPr="00141D36">
              <w:t>5A.62</w:t>
            </w:r>
            <w:proofErr w:type="spellEnd"/>
            <w:r w:rsidR="00EA5198" w:rsidRPr="00141D36">
              <w:t xml:space="preserve">, 2015 Report, tables </w:t>
            </w:r>
            <w:proofErr w:type="spellStart"/>
            <w:r w:rsidR="00EA5198" w:rsidRPr="00141D36">
              <w:t>5A.61</w:t>
            </w:r>
            <w:proofErr w:type="spellEnd"/>
            <w:r w:rsidR="00EA5198" w:rsidRPr="00141D36">
              <w:t xml:space="preserve"> and </w:t>
            </w:r>
            <w:proofErr w:type="spellStart"/>
            <w:r w:rsidR="00EA5198" w:rsidRPr="00141D36">
              <w:t>5A.67</w:t>
            </w:r>
            <w:proofErr w:type="spellEnd"/>
            <w:r w:rsidR="00EA5198" w:rsidRPr="00141D36">
              <w:t>–69; 2015 Report, figure 5.36, p. 5.62.</w:t>
            </w:r>
          </w:p>
        </w:tc>
      </w:tr>
      <w:tr w:rsidR="00133B84" w:rsidRPr="00141D36" w:rsidTr="00133B84">
        <w:tc>
          <w:tcPr>
            <w:tcW w:w="8771" w:type="dxa"/>
            <w:tcBorders>
              <w:top w:val="nil"/>
              <w:left w:val="nil"/>
              <w:bottom w:val="single" w:sz="6" w:space="0" w:color="78A22F"/>
              <w:right w:val="nil"/>
            </w:tcBorders>
            <w:shd w:val="clear" w:color="auto" w:fill="auto"/>
          </w:tcPr>
          <w:p w:rsidR="00133B84" w:rsidRPr="00141D36" w:rsidRDefault="00133B84" w:rsidP="00133B84">
            <w:pPr>
              <w:pStyle w:val="Figurespace"/>
            </w:pPr>
          </w:p>
        </w:tc>
      </w:tr>
      <w:tr w:rsidR="007664DC" w:rsidRPr="00141D36" w:rsidTr="00133B84">
        <w:tc>
          <w:tcPr>
            <w:tcW w:w="8771" w:type="dxa"/>
            <w:tcBorders>
              <w:top w:val="single" w:sz="6" w:space="0" w:color="78A22F"/>
              <w:left w:val="nil"/>
              <w:bottom w:val="nil"/>
              <w:right w:val="nil"/>
            </w:tcBorders>
          </w:tcPr>
          <w:p w:rsidR="007664DC" w:rsidRPr="00141D36" w:rsidRDefault="007664DC" w:rsidP="00D57D33">
            <w:pPr>
              <w:pStyle w:val="BoxSpaceBelow"/>
            </w:pPr>
          </w:p>
        </w:tc>
      </w:tr>
    </w:tbl>
    <w:p w:rsidR="00133B84" w:rsidRPr="00141D36" w:rsidRDefault="00133B84" w:rsidP="00133B84">
      <w:pPr>
        <w:pStyle w:val="Heading6"/>
      </w:pPr>
      <w:r w:rsidRPr="00141D36">
        <w:t xml:space="preserve">Student satisfaction with VET — students who were satisfied with the quality of their completed training </w:t>
      </w:r>
    </w:p>
    <w:p w:rsidR="00133B84" w:rsidRPr="00141D36" w:rsidRDefault="00133B84" w:rsidP="00EA5198">
      <w:pPr>
        <w:pStyle w:val="BodyText"/>
      </w:pPr>
      <w:r w:rsidRPr="00141D36">
        <w:t>In 2013, 87.5 per cent of all government funded VET graduates nationally indicated that they were satisfied with the quality of their completed training, representing an increase of 0.8 percentage points from 2005 (</w:t>
      </w:r>
      <w:r w:rsidR="00EA5198" w:rsidRPr="00141D36">
        <w:t xml:space="preserve">2015 Report, table </w:t>
      </w:r>
      <w:proofErr w:type="spellStart"/>
      <w:r w:rsidR="00EA5198" w:rsidRPr="00141D36">
        <w:t>5A.70</w:t>
      </w:r>
      <w:proofErr w:type="spellEnd"/>
      <w:r w:rsidR="00EA5198" w:rsidRPr="00141D36">
        <w:t xml:space="preserve">). </w:t>
      </w:r>
      <w:r w:rsidRPr="00141D36">
        <w:t xml:space="preserve">The satisfaction </w:t>
      </w:r>
      <w:r w:rsidR="0012015B" w:rsidRPr="00141D36">
        <w:t>level for</w:t>
      </w:r>
      <w:r w:rsidRPr="00141D36">
        <w:t xml:space="preserve"> Aboriginal and Torres Strait Islander graduates </w:t>
      </w:r>
      <w:r w:rsidR="00EA5198" w:rsidRPr="00141D36">
        <w:t>in 2013 was 91.3 per cent</w:t>
      </w:r>
      <w:r w:rsidRPr="00141D36">
        <w:t xml:space="preserve"> (figure 5.</w:t>
      </w:r>
      <w:r w:rsidR="00EA5198" w:rsidRPr="00141D36">
        <w:t>16</w:t>
      </w:r>
      <w:r w:rsidRPr="00141D36">
        <w:t>).</w:t>
      </w:r>
    </w:p>
    <w:p w:rsidR="00133B84" w:rsidRPr="00141D36" w:rsidRDefault="00133B84" w:rsidP="00133B8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33B84" w:rsidRPr="00141D36" w:rsidTr="00133B84">
        <w:tc>
          <w:tcPr>
            <w:tcW w:w="8771" w:type="dxa"/>
            <w:tcBorders>
              <w:top w:val="single" w:sz="6" w:space="0" w:color="78A22F"/>
              <w:left w:val="nil"/>
              <w:bottom w:val="nil"/>
              <w:right w:val="nil"/>
            </w:tcBorders>
            <w:shd w:val="clear" w:color="auto" w:fill="auto"/>
          </w:tcPr>
          <w:p w:rsidR="00133B84" w:rsidRPr="00141D36" w:rsidRDefault="00133B84" w:rsidP="00EA5198">
            <w:pPr>
              <w:pStyle w:val="FigureTitle"/>
            </w:pPr>
            <w:r w:rsidRPr="00141D36">
              <w:rPr>
                <w:b w:val="0"/>
              </w:rPr>
              <w:t>Figure 5.</w:t>
            </w:r>
            <w:r w:rsidR="00EA5198" w:rsidRPr="00141D36">
              <w:rPr>
                <w:b w:val="0"/>
                <w:noProof/>
              </w:rPr>
              <w:t>16</w:t>
            </w:r>
            <w:r w:rsidRPr="00141D36">
              <w:tab/>
              <w:t>Proportion of government funded VET graduates who were satisfied with the quality of their completed course, by target group, 2013</w:t>
            </w:r>
            <w:r w:rsidRPr="00141D36">
              <w:rPr>
                <w:rStyle w:val="NoteLabel"/>
                <w:b/>
              </w:rPr>
              <w:t>a, b, c, d</w:t>
            </w:r>
          </w:p>
        </w:tc>
      </w:tr>
      <w:tr w:rsidR="00133B84" w:rsidRPr="00141D36" w:rsidTr="00133B84">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33B84" w:rsidRPr="00141D36" w:rsidTr="00133B84">
              <w:tc>
                <w:tcPr>
                  <w:tcW w:w="5000" w:type="pct"/>
                  <w:tcBorders>
                    <w:top w:val="nil"/>
                    <w:bottom w:val="nil"/>
                  </w:tcBorders>
                </w:tcPr>
                <w:p w:rsidR="00133B84" w:rsidRPr="00141D36" w:rsidRDefault="00F25AA7" w:rsidP="00133B84">
                  <w:pPr>
                    <w:pStyle w:val="Figure"/>
                    <w:spacing w:before="60" w:after="60"/>
                  </w:pPr>
                  <w:r>
                    <w:rPr>
                      <w:noProof/>
                    </w:rPr>
                    <w:drawing>
                      <wp:inline distT="0" distB="0" distL="0" distR="0">
                        <wp:extent cx="5391150" cy="2695575"/>
                        <wp:effectExtent l="0" t="0" r="0" b="9525"/>
                        <wp:docPr id="9" name="Picture 9" descr="Figure 5.16 Proportion of government funded VET graduates who were satisfied with the quality of their completed course, by target group,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133B84" w:rsidRPr="00141D36" w:rsidRDefault="00133B84" w:rsidP="00133B84">
            <w:pPr>
              <w:pStyle w:val="Figure"/>
            </w:pPr>
          </w:p>
        </w:tc>
      </w:tr>
      <w:tr w:rsidR="00133B84" w:rsidRPr="00141D36" w:rsidTr="00133B84">
        <w:tc>
          <w:tcPr>
            <w:tcW w:w="8771" w:type="dxa"/>
            <w:tcBorders>
              <w:top w:val="nil"/>
              <w:left w:val="nil"/>
              <w:bottom w:val="nil"/>
              <w:right w:val="nil"/>
            </w:tcBorders>
            <w:shd w:val="clear" w:color="auto" w:fill="auto"/>
          </w:tcPr>
          <w:p w:rsidR="00133B84" w:rsidRPr="00141D36" w:rsidRDefault="00133B84" w:rsidP="00133B84">
            <w:pPr>
              <w:pStyle w:val="Note"/>
            </w:pPr>
            <w:r w:rsidRPr="00141D36">
              <w:rPr>
                <w:rStyle w:val="NoteLabel"/>
              </w:rPr>
              <w:t>a</w:t>
            </w:r>
            <w:r w:rsidRPr="00141D36">
              <w:t xml:space="preserve"> Satisfaction with overall quality of training was rated as satisfied or very satisfied (4 or 5 on a 5 point scale). </w:t>
            </w:r>
            <w:r w:rsidRPr="00141D36">
              <w:rPr>
                <w:rStyle w:val="NoteLabel"/>
              </w:rPr>
              <w:t>b</w:t>
            </w:r>
            <w:r w:rsidRPr="00141D36">
              <w:t xml:space="preserve"> There are no very remote areas in Victoria and no remote or very remote areas in the ACT. The remote data for Victoria include students from remote areas throughout Australia studying in Victoria (there are no remote data for the ACT). </w:t>
            </w:r>
            <w:r w:rsidRPr="00141D36">
              <w:rPr>
                <w:rStyle w:val="NoteLabel"/>
              </w:rPr>
              <w:t>c</w:t>
            </w:r>
            <w:r w:rsidRPr="00141D36">
              <w:t xml:space="preserve"> Error bars represent the 95 per cent confidence interval associated with each point estimate. </w:t>
            </w:r>
            <w:r w:rsidRPr="00141D36">
              <w:rPr>
                <w:rStyle w:val="NoteLabel"/>
              </w:rPr>
              <w:t>d</w:t>
            </w:r>
            <w:r w:rsidRPr="00141D36">
              <w:t> Students reported as having disability are defined as those who self-identify that they have disability, and impairment or a long-term condition. Disabilities include hearing/deaf, physical, intellectual, learning, mental illness, acquired brain impairment, vision, medical condition and other unspecified disabilities.</w:t>
            </w:r>
          </w:p>
        </w:tc>
      </w:tr>
      <w:tr w:rsidR="00133B84" w:rsidRPr="00141D36" w:rsidTr="00133B84">
        <w:tc>
          <w:tcPr>
            <w:tcW w:w="8771" w:type="dxa"/>
            <w:tcBorders>
              <w:top w:val="nil"/>
              <w:left w:val="nil"/>
              <w:bottom w:val="nil"/>
              <w:right w:val="nil"/>
            </w:tcBorders>
            <w:shd w:val="clear" w:color="auto" w:fill="auto"/>
          </w:tcPr>
          <w:p w:rsidR="00133B84" w:rsidRPr="00141D36" w:rsidRDefault="00133B84" w:rsidP="00EA5198">
            <w:pPr>
              <w:pStyle w:val="Source"/>
            </w:pPr>
            <w:r w:rsidRPr="00141D36">
              <w:rPr>
                <w:i/>
              </w:rPr>
              <w:t>Source</w:t>
            </w:r>
            <w:r w:rsidRPr="00141D36">
              <w:t xml:space="preserve">: </w:t>
            </w:r>
            <w:proofErr w:type="spellStart"/>
            <w:r w:rsidRPr="00141D36">
              <w:t>NCVER</w:t>
            </w:r>
            <w:proofErr w:type="spellEnd"/>
            <w:r w:rsidRPr="00141D36">
              <w:t xml:space="preserve"> (unpublished) </w:t>
            </w:r>
            <w:r w:rsidRPr="00141D36">
              <w:rPr>
                <w:i/>
              </w:rPr>
              <w:t>Student Outcomes Survey</w:t>
            </w:r>
            <w:r w:rsidRPr="00141D36">
              <w:t xml:space="preserve">; tables </w:t>
            </w:r>
            <w:proofErr w:type="spellStart"/>
            <w:r w:rsidRPr="00141D36">
              <w:t>5A.70</w:t>
            </w:r>
            <w:proofErr w:type="spellEnd"/>
            <w:r w:rsidRPr="00141D36">
              <w:t xml:space="preserve">–71 and </w:t>
            </w:r>
            <w:proofErr w:type="spellStart"/>
            <w:r w:rsidRPr="00141D36">
              <w:t>5A.76</w:t>
            </w:r>
            <w:proofErr w:type="spellEnd"/>
            <w:r w:rsidRPr="00141D36">
              <w:t>–78.</w:t>
            </w:r>
            <w:r w:rsidR="00EA5198" w:rsidRPr="00141D36">
              <w:t xml:space="preserve"> ; table </w:t>
            </w:r>
            <w:proofErr w:type="spellStart"/>
            <w:r w:rsidR="00EA5198" w:rsidRPr="00141D36">
              <w:t>5A.71</w:t>
            </w:r>
            <w:proofErr w:type="spellEnd"/>
            <w:r w:rsidR="00EA5198" w:rsidRPr="00141D36">
              <w:t xml:space="preserve">, 2015 Report, tables </w:t>
            </w:r>
            <w:proofErr w:type="spellStart"/>
            <w:r w:rsidR="00EA5198" w:rsidRPr="00141D36">
              <w:t>5A.70</w:t>
            </w:r>
            <w:proofErr w:type="spellEnd"/>
            <w:r w:rsidR="00EA5198" w:rsidRPr="00141D36">
              <w:t xml:space="preserve"> and </w:t>
            </w:r>
            <w:proofErr w:type="spellStart"/>
            <w:r w:rsidR="00EA5198" w:rsidRPr="00141D36">
              <w:t>5A.76</w:t>
            </w:r>
            <w:proofErr w:type="spellEnd"/>
            <w:r w:rsidR="00EA5198" w:rsidRPr="00141D36">
              <w:t>–78; 2015 Report, figure 5.37, p. 5.64.</w:t>
            </w:r>
          </w:p>
        </w:tc>
      </w:tr>
      <w:tr w:rsidR="00133B84" w:rsidRPr="00141D36" w:rsidTr="00133B84">
        <w:tc>
          <w:tcPr>
            <w:tcW w:w="8771" w:type="dxa"/>
            <w:tcBorders>
              <w:top w:val="nil"/>
              <w:left w:val="nil"/>
              <w:bottom w:val="single" w:sz="6" w:space="0" w:color="78A22F"/>
              <w:right w:val="nil"/>
            </w:tcBorders>
            <w:shd w:val="clear" w:color="auto" w:fill="auto"/>
          </w:tcPr>
          <w:p w:rsidR="00133B84" w:rsidRPr="00141D36" w:rsidRDefault="00133B84" w:rsidP="00133B84">
            <w:pPr>
              <w:pStyle w:val="Figurespace"/>
            </w:pPr>
          </w:p>
        </w:tc>
      </w:tr>
      <w:tr w:rsidR="007664DC" w:rsidRPr="00141D36" w:rsidTr="00133B84">
        <w:tc>
          <w:tcPr>
            <w:tcW w:w="8771" w:type="dxa"/>
            <w:tcBorders>
              <w:top w:val="single" w:sz="6" w:space="0" w:color="78A22F"/>
              <w:left w:val="nil"/>
              <w:bottom w:val="nil"/>
              <w:right w:val="nil"/>
            </w:tcBorders>
          </w:tcPr>
          <w:p w:rsidR="007664DC" w:rsidRPr="00141D36" w:rsidRDefault="007664DC" w:rsidP="00D57D33">
            <w:pPr>
              <w:pStyle w:val="BoxSpaceBelow"/>
            </w:pPr>
          </w:p>
        </w:tc>
      </w:tr>
    </w:tbl>
    <w:p w:rsidR="00133B84" w:rsidRPr="00141D36" w:rsidRDefault="00133B84" w:rsidP="00133B84">
      <w:pPr>
        <w:pStyle w:val="BodyText"/>
      </w:pPr>
      <w:r w:rsidRPr="00141D36">
        <w:t>Nationally in 2013, 91.3 per cent of Aboriginal and Torres Strait Islander graduates indicated that they were satisfied — an increase of 2.7 percentage points from 2009 and 8.5 per</w:t>
      </w:r>
      <w:r w:rsidR="00EA5198" w:rsidRPr="00141D36">
        <w:t xml:space="preserve">centage points from 2005 (table </w:t>
      </w:r>
      <w:proofErr w:type="spellStart"/>
      <w:r w:rsidRPr="00141D36">
        <w:t>5A.71</w:t>
      </w:r>
      <w:proofErr w:type="spellEnd"/>
      <w:r w:rsidRPr="00141D36">
        <w:t>) — compared with 87.4 per cent of non</w:t>
      </w:r>
      <w:r w:rsidRPr="00141D36">
        <w:noBreakHyphen/>
        <w:t>Indigenous graduates and 87.5 per cent of all graduates in 2013 (figure 5.</w:t>
      </w:r>
      <w:r w:rsidR="00EA5198" w:rsidRPr="00141D36">
        <w:t>17</w:t>
      </w:r>
      <w:r w:rsidRPr="00141D36">
        <w:t>).</w:t>
      </w:r>
    </w:p>
    <w:p w:rsidR="00133B84" w:rsidRPr="00141D36" w:rsidRDefault="00133B84" w:rsidP="00133B8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33B84" w:rsidRPr="00141D36" w:rsidTr="00133B84">
        <w:tc>
          <w:tcPr>
            <w:tcW w:w="8771" w:type="dxa"/>
            <w:tcBorders>
              <w:top w:val="single" w:sz="6" w:space="0" w:color="78A22F"/>
              <w:left w:val="nil"/>
              <w:bottom w:val="nil"/>
              <w:right w:val="nil"/>
            </w:tcBorders>
            <w:shd w:val="clear" w:color="auto" w:fill="auto"/>
          </w:tcPr>
          <w:p w:rsidR="00133B84" w:rsidRPr="00141D36" w:rsidRDefault="00133B84" w:rsidP="00EA5198">
            <w:pPr>
              <w:pStyle w:val="FigureTitle"/>
            </w:pPr>
            <w:r w:rsidRPr="00141D36">
              <w:rPr>
                <w:b w:val="0"/>
              </w:rPr>
              <w:t>Figure 5.</w:t>
            </w:r>
            <w:r w:rsidR="00EA5198" w:rsidRPr="00141D36">
              <w:rPr>
                <w:b w:val="0"/>
                <w:noProof/>
              </w:rPr>
              <w:t>17</w:t>
            </w:r>
            <w:r w:rsidRPr="00141D36">
              <w:tab/>
              <w:t>Proportion of government funded VET graduates who were satisfied with the quality of their completed course, by Indigenous status, 2013</w:t>
            </w:r>
            <w:r w:rsidRPr="00141D36">
              <w:rPr>
                <w:rStyle w:val="NoteLabel"/>
                <w:b/>
              </w:rPr>
              <w:t>a, b</w:t>
            </w:r>
          </w:p>
        </w:tc>
      </w:tr>
      <w:tr w:rsidR="00133B84" w:rsidRPr="00141D36" w:rsidTr="00133B84">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33B84" w:rsidRPr="00141D36" w:rsidTr="00133B84">
              <w:tc>
                <w:tcPr>
                  <w:tcW w:w="5000" w:type="pct"/>
                  <w:tcBorders>
                    <w:top w:val="nil"/>
                    <w:bottom w:val="nil"/>
                  </w:tcBorders>
                </w:tcPr>
                <w:p w:rsidR="00133B84" w:rsidRPr="00141D36" w:rsidRDefault="00133B84" w:rsidP="00133B84">
                  <w:pPr>
                    <w:pStyle w:val="Figure"/>
                    <w:spacing w:before="60" w:after="60"/>
                  </w:pPr>
                  <w:r w:rsidRPr="00141D36">
                    <w:rPr>
                      <w:noProof/>
                    </w:rPr>
                    <w:drawing>
                      <wp:inline distT="0" distB="0" distL="0" distR="0" wp14:anchorId="133A831C" wp14:editId="46C47DEC">
                        <wp:extent cx="5391150" cy="2714625"/>
                        <wp:effectExtent l="0" t="0" r="0" b="9525"/>
                        <wp:docPr id="45" name="Picture 45" descr="Figure 5.38 Proportion of government funded VET graduates who were satisfied with the quality of their completed course, by Aboriginal and Torres Strait Islander status, 20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91150" cy="2714625"/>
                                </a:xfrm>
                                <a:prstGeom prst="rect">
                                  <a:avLst/>
                                </a:prstGeom>
                                <a:noFill/>
                                <a:ln>
                                  <a:noFill/>
                                </a:ln>
                              </pic:spPr>
                            </pic:pic>
                          </a:graphicData>
                        </a:graphic>
                      </wp:inline>
                    </w:drawing>
                  </w:r>
                </w:p>
              </w:tc>
            </w:tr>
          </w:tbl>
          <w:p w:rsidR="00133B84" w:rsidRPr="00141D36" w:rsidRDefault="00133B84" w:rsidP="00133B84">
            <w:pPr>
              <w:pStyle w:val="Figure"/>
            </w:pPr>
          </w:p>
        </w:tc>
      </w:tr>
      <w:tr w:rsidR="00133B84" w:rsidRPr="00141D36" w:rsidTr="00133B84">
        <w:tc>
          <w:tcPr>
            <w:tcW w:w="8771" w:type="dxa"/>
            <w:tcBorders>
              <w:top w:val="nil"/>
              <w:left w:val="nil"/>
              <w:bottom w:val="nil"/>
              <w:right w:val="nil"/>
            </w:tcBorders>
            <w:shd w:val="clear" w:color="auto" w:fill="auto"/>
          </w:tcPr>
          <w:p w:rsidR="00133B84" w:rsidRPr="00141D36" w:rsidRDefault="00133B84" w:rsidP="00133B84">
            <w:pPr>
              <w:pStyle w:val="Note"/>
            </w:pPr>
            <w:r w:rsidRPr="00141D36">
              <w:rPr>
                <w:rStyle w:val="NoteLabel"/>
              </w:rPr>
              <w:t>a</w:t>
            </w:r>
            <w:r w:rsidRPr="00141D36">
              <w:t xml:space="preserve"> Satisfaction with overall quality of training was rated as satisfied or very satisfied (4 or 5 on a 5 point scale). </w:t>
            </w:r>
            <w:r w:rsidRPr="00141D36">
              <w:rPr>
                <w:rStyle w:val="NoteLabel"/>
              </w:rPr>
              <w:t xml:space="preserve">b </w:t>
            </w:r>
            <w:r w:rsidRPr="00141D36">
              <w:t>Error bars represent the 95 per cent confidence interval associated with each point estimate.</w:t>
            </w:r>
          </w:p>
        </w:tc>
      </w:tr>
      <w:tr w:rsidR="00133B84" w:rsidRPr="00141D36" w:rsidTr="00133B84">
        <w:tc>
          <w:tcPr>
            <w:tcW w:w="8771" w:type="dxa"/>
            <w:tcBorders>
              <w:top w:val="nil"/>
              <w:left w:val="nil"/>
              <w:bottom w:val="nil"/>
              <w:right w:val="nil"/>
            </w:tcBorders>
            <w:shd w:val="clear" w:color="auto" w:fill="auto"/>
          </w:tcPr>
          <w:p w:rsidR="00133B84" w:rsidRPr="00141D36" w:rsidRDefault="00133B84" w:rsidP="008C1704">
            <w:pPr>
              <w:pStyle w:val="Source"/>
            </w:pPr>
            <w:r w:rsidRPr="00141D36">
              <w:rPr>
                <w:i/>
              </w:rPr>
              <w:t>Source</w:t>
            </w:r>
            <w:r w:rsidRPr="00141D36">
              <w:t xml:space="preserve">: </w:t>
            </w:r>
            <w:proofErr w:type="spellStart"/>
            <w:r w:rsidRPr="00141D36">
              <w:t>NCVER</w:t>
            </w:r>
            <w:proofErr w:type="spellEnd"/>
            <w:r w:rsidRPr="00141D36">
              <w:t xml:space="preserve"> (unpublished) </w:t>
            </w:r>
            <w:r w:rsidRPr="00141D36">
              <w:rPr>
                <w:i/>
              </w:rPr>
              <w:t>Student Outcomes Survey</w:t>
            </w:r>
            <w:r w:rsidR="008C1704" w:rsidRPr="00141D36">
              <w:t xml:space="preserve">; tables </w:t>
            </w:r>
            <w:proofErr w:type="spellStart"/>
            <w:r w:rsidR="008C1704" w:rsidRPr="00141D36">
              <w:t>5A.71</w:t>
            </w:r>
            <w:proofErr w:type="spellEnd"/>
            <w:r w:rsidR="008C1704" w:rsidRPr="00141D36">
              <w:t xml:space="preserve">, 2015 Report, tables </w:t>
            </w:r>
            <w:proofErr w:type="spellStart"/>
            <w:r w:rsidR="008C1704" w:rsidRPr="00141D36">
              <w:t>5A.70</w:t>
            </w:r>
            <w:proofErr w:type="spellEnd"/>
            <w:r w:rsidR="008C1704" w:rsidRPr="00141D36">
              <w:t xml:space="preserve"> and </w:t>
            </w:r>
            <w:proofErr w:type="spellStart"/>
            <w:r w:rsidR="008C1704" w:rsidRPr="00141D36">
              <w:t>5A.72</w:t>
            </w:r>
            <w:proofErr w:type="spellEnd"/>
            <w:r w:rsidR="008C1704" w:rsidRPr="00141D36">
              <w:t>; 2015 Report, figure 5.38, p. 5.65.</w:t>
            </w:r>
          </w:p>
        </w:tc>
      </w:tr>
      <w:tr w:rsidR="00133B84" w:rsidRPr="00141D36" w:rsidTr="00133B84">
        <w:tc>
          <w:tcPr>
            <w:tcW w:w="8771" w:type="dxa"/>
            <w:tcBorders>
              <w:top w:val="nil"/>
              <w:left w:val="nil"/>
              <w:bottom w:val="single" w:sz="6" w:space="0" w:color="78A22F"/>
              <w:right w:val="nil"/>
            </w:tcBorders>
            <w:shd w:val="clear" w:color="auto" w:fill="auto"/>
          </w:tcPr>
          <w:p w:rsidR="00133B84" w:rsidRPr="00141D36" w:rsidRDefault="00133B84" w:rsidP="00133B84">
            <w:pPr>
              <w:pStyle w:val="Figurespace"/>
            </w:pPr>
          </w:p>
        </w:tc>
      </w:tr>
      <w:tr w:rsidR="007664DC" w:rsidRPr="00141D36" w:rsidTr="00133B84">
        <w:tc>
          <w:tcPr>
            <w:tcW w:w="8771" w:type="dxa"/>
            <w:tcBorders>
              <w:top w:val="single" w:sz="6" w:space="0" w:color="78A22F"/>
              <w:left w:val="nil"/>
              <w:bottom w:val="nil"/>
              <w:right w:val="nil"/>
            </w:tcBorders>
          </w:tcPr>
          <w:p w:rsidR="007664DC" w:rsidRPr="00141D36" w:rsidRDefault="007664DC" w:rsidP="00D57D33">
            <w:pPr>
              <w:pStyle w:val="BoxSpaceBelow"/>
            </w:pPr>
          </w:p>
        </w:tc>
      </w:tr>
    </w:tbl>
    <w:p w:rsidR="00133B84" w:rsidRPr="00141D36" w:rsidRDefault="00133B84" w:rsidP="00133B84">
      <w:pPr>
        <w:pStyle w:val="BodyText"/>
        <w:rPr>
          <w:shd w:val="clear" w:color="auto" w:fill="FFFF00"/>
        </w:rPr>
      </w:pPr>
      <w:r w:rsidRPr="00141D36">
        <w:t>Nationally in 2013, 90.8 per cent of Aboriginal and Torres Strait Islander graduates who had been seeking employment</w:t>
      </w:r>
      <w:r w:rsidR="000A67E7" w:rsidRPr="00141D36">
        <w:t>-</w:t>
      </w:r>
      <w:r w:rsidRPr="00141D36">
        <w:t xml:space="preserve">related outcomes indicated that they were satisfied, compared with 92.7 per cent of Aboriginal and Torres Strait Islander graduates seeking further study outcomes and 93.4 per cent </w:t>
      </w:r>
      <w:r w:rsidRPr="00141D36">
        <w:rPr>
          <w:shd w:val="clear" w:color="auto" w:fill="FFFFFF" w:themeFill="background1"/>
        </w:rPr>
        <w:t xml:space="preserve">of Aboriginal and Torres Strait Islander graduates seeking personal development outcomes (table </w:t>
      </w:r>
      <w:proofErr w:type="spellStart"/>
      <w:r w:rsidRPr="00141D36">
        <w:rPr>
          <w:shd w:val="clear" w:color="auto" w:fill="FFFFFF" w:themeFill="background1"/>
        </w:rPr>
        <w:t>5A.71</w:t>
      </w:r>
      <w:proofErr w:type="spellEnd"/>
      <w:r w:rsidRPr="00141D36">
        <w:rPr>
          <w:shd w:val="clear" w:color="auto" w:fill="FFFFFF" w:themeFill="background1"/>
        </w:rPr>
        <w:t>).</w:t>
      </w:r>
    </w:p>
    <w:p w:rsidR="00133B84" w:rsidRPr="00141D36" w:rsidRDefault="00133B84" w:rsidP="00133B84">
      <w:pPr>
        <w:pStyle w:val="Heading5"/>
      </w:pPr>
      <w:r w:rsidRPr="00141D36">
        <w:t>Skill profile</w:t>
      </w:r>
    </w:p>
    <w:p w:rsidR="00133B84" w:rsidRPr="00141D36" w:rsidRDefault="00133B84" w:rsidP="00133B84">
      <w:pPr>
        <w:pStyle w:val="BodyText"/>
      </w:pPr>
      <w:r w:rsidRPr="00141D36">
        <w:t xml:space="preserve">‘Skill profile’ is an indicator of governments’ objective to create and maintain a national pool of skilled Australian workers that is sufficient to support internationally competitive commerce and industry. It measures the stock of VET skills </w:t>
      </w:r>
      <w:r w:rsidR="00110172" w:rsidRPr="00141D36">
        <w:t>held by Australians (box 5.</w:t>
      </w:r>
      <w:r w:rsidRPr="00141D36">
        <w:t>6).</w:t>
      </w:r>
    </w:p>
    <w:p w:rsidR="00133B84" w:rsidRPr="00141D36" w:rsidRDefault="00133B84" w:rsidP="00133B8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33B84" w:rsidRPr="00141D36" w:rsidTr="00133B84">
        <w:tc>
          <w:tcPr>
            <w:tcW w:w="8771" w:type="dxa"/>
            <w:tcBorders>
              <w:top w:val="single" w:sz="6" w:space="0" w:color="78A22F"/>
              <w:left w:val="nil"/>
              <w:bottom w:val="nil"/>
              <w:right w:val="nil"/>
            </w:tcBorders>
            <w:shd w:val="clear" w:color="auto" w:fill="F2F2F2" w:themeFill="background1" w:themeFillShade="F2"/>
          </w:tcPr>
          <w:p w:rsidR="00133B84" w:rsidRPr="00141D36" w:rsidRDefault="00133B84" w:rsidP="00133B84">
            <w:pPr>
              <w:pStyle w:val="BoxTitle"/>
            </w:pPr>
            <w:r w:rsidRPr="00141D36">
              <w:rPr>
                <w:b w:val="0"/>
              </w:rPr>
              <w:t xml:space="preserve">Box </w:t>
            </w:r>
            <w:bookmarkStart w:id="22" w:name="OLE_LINK3"/>
            <w:r w:rsidRPr="00141D36">
              <w:rPr>
                <w:b w:val="0"/>
              </w:rPr>
              <w:t>5.</w:t>
            </w:r>
            <w:r w:rsidRPr="00141D36">
              <w:rPr>
                <w:b w:val="0"/>
                <w:noProof/>
              </w:rPr>
              <w:t>6</w:t>
            </w:r>
            <w:bookmarkEnd w:id="22"/>
            <w:r w:rsidRPr="00141D36">
              <w:tab/>
              <w:t>Skill profile</w:t>
            </w:r>
          </w:p>
        </w:tc>
      </w:tr>
      <w:tr w:rsidR="00133B84" w:rsidRPr="00141D36" w:rsidTr="00133B84">
        <w:trPr>
          <w:cantSplit/>
        </w:trPr>
        <w:tc>
          <w:tcPr>
            <w:tcW w:w="8771" w:type="dxa"/>
            <w:tcBorders>
              <w:top w:val="nil"/>
              <w:left w:val="nil"/>
              <w:bottom w:val="nil"/>
              <w:right w:val="nil"/>
            </w:tcBorders>
            <w:shd w:val="clear" w:color="auto" w:fill="F2F2F2" w:themeFill="background1" w:themeFillShade="F2"/>
          </w:tcPr>
          <w:p w:rsidR="00133B84" w:rsidRPr="00141D36" w:rsidRDefault="00133B84" w:rsidP="00133B84">
            <w:pPr>
              <w:pStyle w:val="Box"/>
            </w:pPr>
            <w:r w:rsidRPr="00141D36">
              <w:t>‘Skill profile’ is currently unable to be measured, and in the interim ‘skill outputs from VET’ is reported as a proxy. ‘Skill outputs from VET’ is defined by three measures of students’ skill outputs from the VET system in a given year.</w:t>
            </w:r>
          </w:p>
          <w:p w:rsidR="00133B84" w:rsidRPr="00141D36" w:rsidRDefault="00133B84" w:rsidP="00133B84">
            <w:pPr>
              <w:pStyle w:val="Box"/>
            </w:pPr>
            <w:r w:rsidRPr="00141D36">
              <w:t xml:space="preserve">‘Qualifications completed’ is defined as the number of qualifications achieved/passed each year by both government funded and non-government funded VET students (currently collected by </w:t>
            </w:r>
            <w:proofErr w:type="spellStart"/>
            <w:r w:rsidRPr="00141D36">
              <w:t>NCVER</w:t>
            </w:r>
            <w:proofErr w:type="spellEnd"/>
            <w:r w:rsidRPr="00141D36">
              <w:t>, where a qualification is a certification to a person on successful completion of a course in recognition of having achieved particular knowledge, skills or competencies). The annual change in qualifications completed is defined as the percentage change of qualifications from year to year.</w:t>
            </w:r>
          </w:p>
          <w:p w:rsidR="00133B84" w:rsidRPr="00141D36" w:rsidRDefault="00133B84" w:rsidP="00133B84">
            <w:pPr>
              <w:pStyle w:val="Box"/>
            </w:pPr>
            <w:r w:rsidRPr="00141D36">
              <w:t>Data reported for this measure are:</w:t>
            </w:r>
          </w:p>
          <w:p w:rsidR="00133B84" w:rsidRPr="00141D36" w:rsidRDefault="00133B84" w:rsidP="00133B84">
            <w:pPr>
              <w:pStyle w:val="BoxListBullet"/>
            </w:pPr>
            <w:r w:rsidRPr="00141D36">
              <w:t>comparable (subject to caveats) across jurisdictions and over time</w:t>
            </w:r>
          </w:p>
          <w:p w:rsidR="00133B84" w:rsidRPr="00141D36" w:rsidRDefault="00133B84" w:rsidP="00133B84">
            <w:pPr>
              <w:pStyle w:val="BoxListBullet"/>
            </w:pPr>
            <w:r w:rsidRPr="00141D36">
              <w:t>complete for the current reporting period (subject to caveats). All required 2012 data are available for all jurisdictions providing the service.</w:t>
            </w:r>
          </w:p>
          <w:p w:rsidR="00133B84" w:rsidRPr="00141D36" w:rsidRDefault="00133B84" w:rsidP="00133B84">
            <w:pPr>
              <w:pStyle w:val="Box"/>
            </w:pPr>
            <w:r w:rsidRPr="00141D36">
              <w:t>‘Units of competency and modules completed’ is defined as the sum of the number of units of competency achieved/passed each year by government funded VET students and the number of modules (outside training packages) achieved/passed each year by government funded VET students. A unit of competency is a component of a competency standard and/or a statement of a key function or role in a particular job or occupation. A module (also called a subject) is a unit of education or training which can be completed on its own or as part of a course. Modules may also result in the attainment of one or more units of competency. The annual change in ‘Units of competency and modules completed’ is defined as the percentage change of units of competency and modules completed from year to year.</w:t>
            </w:r>
          </w:p>
          <w:p w:rsidR="00133B84" w:rsidRPr="00141D36" w:rsidRDefault="00133B84" w:rsidP="00133B84">
            <w:pPr>
              <w:pStyle w:val="Box"/>
            </w:pPr>
            <w:r w:rsidRPr="00141D36">
              <w:t xml:space="preserve">Data reported for this measure are: </w:t>
            </w:r>
          </w:p>
          <w:p w:rsidR="00133B84" w:rsidRPr="00141D36" w:rsidRDefault="00133B84" w:rsidP="00133B84">
            <w:pPr>
              <w:pStyle w:val="BoxListBullet"/>
            </w:pPr>
            <w:r w:rsidRPr="00141D36">
              <w:t>comparable (subject to caveats) within jurisdictions over time but are not comparable across jurisdictions</w:t>
            </w:r>
          </w:p>
          <w:p w:rsidR="00133B84" w:rsidRPr="00141D36" w:rsidRDefault="00133B84" w:rsidP="00133B84">
            <w:pPr>
              <w:pStyle w:val="BoxListBullet"/>
            </w:pPr>
            <w:r w:rsidRPr="00141D36">
              <w:t>complete for the current reporting period (subject to caveats). All required 2013 data are available for all juris</w:t>
            </w:r>
            <w:r w:rsidR="00110172" w:rsidRPr="00141D36">
              <w:t>dictions providing the service.</w:t>
            </w:r>
          </w:p>
          <w:p w:rsidR="00133B84" w:rsidRPr="00141D36" w:rsidRDefault="00133B84" w:rsidP="00133B84">
            <w:pPr>
              <w:pStyle w:val="Box"/>
            </w:pPr>
            <w:r w:rsidRPr="00141D36">
              <w:t>‘Qualification Equivalents’ is defined as the number of annual hours of training activity associated with successful completions of modules and units of competency by government funded VET students, divided by an agreed value of annual hours of training activity representing a qualification. The annual change in Qualification Equivalents’ is defined as the percentage change of Qualification Equivalents from year to year.</w:t>
            </w:r>
          </w:p>
          <w:p w:rsidR="00133B84" w:rsidRPr="00141D36" w:rsidRDefault="00133B84" w:rsidP="00133B84">
            <w:pPr>
              <w:pStyle w:val="Box"/>
            </w:pPr>
            <w:r w:rsidRPr="00141D36">
              <w:t>Holding other factors constant, high or increasing numbers of qualifications completed and units of competency or modules achieved/passed results in an increase in the stock of VET skills.</w:t>
            </w:r>
          </w:p>
          <w:p w:rsidR="00133B84" w:rsidRPr="00141D36" w:rsidRDefault="00133B84" w:rsidP="00133B84">
            <w:pPr>
              <w:pStyle w:val="Box"/>
            </w:pPr>
            <w:r w:rsidRPr="00141D36">
              <w:t>Dat</w:t>
            </w:r>
            <w:r w:rsidR="00110172" w:rsidRPr="00141D36">
              <w:t>a reported for this measure are:</w:t>
            </w:r>
          </w:p>
          <w:p w:rsidR="00133B84" w:rsidRPr="00141D36" w:rsidRDefault="00133B84" w:rsidP="00133B84">
            <w:pPr>
              <w:pStyle w:val="BoxListBullet"/>
            </w:pPr>
            <w:r w:rsidRPr="00141D36">
              <w:t>comparable (subject to caveats) across jurisdictions and over time</w:t>
            </w:r>
          </w:p>
          <w:p w:rsidR="00133B84" w:rsidRPr="00141D36" w:rsidRDefault="00133B84" w:rsidP="00133B84">
            <w:pPr>
              <w:pStyle w:val="BoxListBullet"/>
            </w:pPr>
            <w:r w:rsidRPr="00141D36">
              <w:t>complete for the current reporting period (subject to caveats). All required 2012 and 2013 data are available for all jurisdictions providing the service.</w:t>
            </w:r>
          </w:p>
        </w:tc>
      </w:tr>
      <w:tr w:rsidR="00133B84" w:rsidRPr="00141D36" w:rsidTr="00133B84">
        <w:trPr>
          <w:cantSplit/>
        </w:trPr>
        <w:tc>
          <w:tcPr>
            <w:tcW w:w="8771" w:type="dxa"/>
            <w:tcBorders>
              <w:top w:val="nil"/>
              <w:left w:val="nil"/>
              <w:bottom w:val="nil"/>
              <w:right w:val="nil"/>
            </w:tcBorders>
            <w:shd w:val="clear" w:color="auto" w:fill="F2F2F2" w:themeFill="background1" w:themeFillShade="F2"/>
          </w:tcPr>
          <w:p w:rsidR="00133B84" w:rsidRPr="00141D36" w:rsidRDefault="00133B84" w:rsidP="00133B84">
            <w:pPr>
              <w:pStyle w:val="Continued"/>
            </w:pPr>
            <w:r w:rsidRPr="00141D36">
              <w:t>(continued next page)</w:t>
            </w:r>
          </w:p>
        </w:tc>
      </w:tr>
      <w:tr w:rsidR="00133B84" w:rsidRPr="00141D36" w:rsidTr="00133B84">
        <w:trPr>
          <w:cantSplit/>
        </w:trPr>
        <w:tc>
          <w:tcPr>
            <w:tcW w:w="8771" w:type="dxa"/>
            <w:tcBorders>
              <w:top w:val="nil"/>
              <w:left w:val="nil"/>
              <w:bottom w:val="single" w:sz="6" w:space="0" w:color="78A22F"/>
              <w:right w:val="nil"/>
            </w:tcBorders>
            <w:shd w:val="clear" w:color="auto" w:fill="F2F2F2" w:themeFill="background1" w:themeFillShade="F2"/>
          </w:tcPr>
          <w:p w:rsidR="00133B84" w:rsidRPr="00141D36" w:rsidRDefault="00133B84" w:rsidP="00133B84">
            <w:pPr>
              <w:pStyle w:val="Box"/>
              <w:spacing w:before="0" w:line="120" w:lineRule="exact"/>
            </w:pPr>
          </w:p>
        </w:tc>
      </w:tr>
      <w:tr w:rsidR="007664DC" w:rsidRPr="00141D36" w:rsidTr="00133B84">
        <w:tc>
          <w:tcPr>
            <w:tcW w:w="8771" w:type="dxa"/>
            <w:tcBorders>
              <w:top w:val="single" w:sz="6" w:space="0" w:color="78A22F"/>
              <w:left w:val="nil"/>
              <w:bottom w:val="nil"/>
              <w:right w:val="nil"/>
            </w:tcBorders>
          </w:tcPr>
          <w:p w:rsidR="007664DC" w:rsidRPr="00141D36" w:rsidRDefault="007664DC" w:rsidP="00D57D33">
            <w:pPr>
              <w:pStyle w:val="BoxSpaceBelow"/>
            </w:pPr>
          </w:p>
        </w:tc>
      </w:tr>
    </w:tbl>
    <w:p w:rsidR="00133B84" w:rsidRPr="00141D36" w:rsidRDefault="00133B84" w:rsidP="00133B8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33B84" w:rsidRPr="00141D36" w:rsidTr="00133B84">
        <w:tc>
          <w:tcPr>
            <w:tcW w:w="8771" w:type="dxa"/>
            <w:tcBorders>
              <w:top w:val="single" w:sz="6" w:space="0" w:color="78A22F"/>
              <w:left w:val="nil"/>
              <w:bottom w:val="nil"/>
              <w:right w:val="nil"/>
            </w:tcBorders>
            <w:shd w:val="clear" w:color="auto" w:fill="F2F2F2" w:themeFill="background1" w:themeFillShade="F2"/>
          </w:tcPr>
          <w:p w:rsidR="00133B84" w:rsidRPr="00141D36" w:rsidRDefault="00110172" w:rsidP="00133B84">
            <w:pPr>
              <w:pStyle w:val="BoxTitle"/>
            </w:pPr>
            <w:r w:rsidRPr="00141D36">
              <w:rPr>
                <w:b w:val="0"/>
              </w:rPr>
              <w:t>Box 5.</w:t>
            </w:r>
            <w:r w:rsidR="00133B84" w:rsidRPr="00141D36">
              <w:rPr>
                <w:b w:val="0"/>
              </w:rPr>
              <w:t>6</w:t>
            </w:r>
            <w:r w:rsidR="00133B84" w:rsidRPr="00141D36">
              <w:rPr>
                <w:b w:val="0"/>
              </w:rPr>
              <w:tab/>
            </w:r>
            <w:r w:rsidR="008D0222">
              <w:rPr>
                <w:sz w:val="18"/>
                <w:szCs w:val="18"/>
              </w:rPr>
              <w:t>(c</w:t>
            </w:r>
            <w:r w:rsidR="00133B84" w:rsidRPr="00141D36">
              <w:rPr>
                <w:sz w:val="18"/>
                <w:szCs w:val="18"/>
              </w:rPr>
              <w:t>ontinued)</w:t>
            </w:r>
          </w:p>
        </w:tc>
      </w:tr>
      <w:tr w:rsidR="00133B84" w:rsidRPr="00141D36" w:rsidTr="00133B84">
        <w:trPr>
          <w:cantSplit/>
        </w:trPr>
        <w:tc>
          <w:tcPr>
            <w:tcW w:w="8771" w:type="dxa"/>
            <w:tcBorders>
              <w:top w:val="nil"/>
              <w:left w:val="nil"/>
              <w:bottom w:val="nil"/>
              <w:right w:val="nil"/>
            </w:tcBorders>
            <w:shd w:val="clear" w:color="auto" w:fill="F2F2F2" w:themeFill="background1" w:themeFillShade="F2"/>
          </w:tcPr>
          <w:p w:rsidR="00133B84" w:rsidRPr="00141D36" w:rsidRDefault="00133B84" w:rsidP="00133B84">
            <w:pPr>
              <w:pStyle w:val="Box"/>
            </w:pPr>
            <w:r w:rsidRPr="00141D36">
              <w:t>Data are provided for VET target groups (residents of remote and very remote areas, people with disability, people speaking a language other than English at home and Aboriginal and Torres Strait Islander people). Further details are provided for</w:t>
            </w:r>
            <w:r w:rsidR="00110172" w:rsidRPr="00141D36">
              <w:t xml:space="preserve"> individual measures in </w:t>
            </w:r>
            <w:r w:rsidR="00110172" w:rsidRPr="00141D36">
              <w:br/>
            </w:r>
            <w:r w:rsidR="000A67E7" w:rsidRPr="00141D36">
              <w:t xml:space="preserve">the </w:t>
            </w:r>
            <w:r w:rsidR="00110172" w:rsidRPr="00141D36">
              <w:t xml:space="preserve">2015 Report, section </w:t>
            </w:r>
            <w:r w:rsidRPr="00141D36">
              <w:t>5.6.</w:t>
            </w:r>
          </w:p>
          <w:p w:rsidR="00133B84" w:rsidRPr="00141D36" w:rsidRDefault="00133B84" w:rsidP="00133B84">
            <w:pPr>
              <w:pStyle w:val="Box"/>
            </w:pPr>
            <w:r w:rsidRPr="00141D36">
              <w:t xml:space="preserve">Data quality information for this indicator is at </w:t>
            </w:r>
            <w:proofErr w:type="spellStart"/>
            <w:r w:rsidR="000A67E7" w:rsidRPr="00141D36">
              <w:t>www.pc.gov.au</w:t>
            </w:r>
            <w:proofErr w:type="spellEnd"/>
            <w:r w:rsidR="000A67E7" w:rsidRPr="00141D36">
              <w:t>/research/recurring/report-on-government-services</w:t>
            </w:r>
            <w:r w:rsidRPr="00141D36">
              <w:t>.</w:t>
            </w:r>
          </w:p>
        </w:tc>
      </w:tr>
      <w:tr w:rsidR="00133B84" w:rsidRPr="00141D36" w:rsidTr="00133B84">
        <w:trPr>
          <w:cantSplit/>
        </w:trPr>
        <w:tc>
          <w:tcPr>
            <w:tcW w:w="8771" w:type="dxa"/>
            <w:tcBorders>
              <w:top w:val="nil"/>
              <w:left w:val="nil"/>
              <w:bottom w:val="single" w:sz="6" w:space="0" w:color="78A22F"/>
              <w:right w:val="nil"/>
            </w:tcBorders>
            <w:shd w:val="clear" w:color="auto" w:fill="F2F2F2" w:themeFill="background1" w:themeFillShade="F2"/>
          </w:tcPr>
          <w:p w:rsidR="00133B84" w:rsidRPr="00141D36" w:rsidRDefault="00133B84" w:rsidP="00133B84">
            <w:pPr>
              <w:pStyle w:val="Box"/>
              <w:spacing w:before="0" w:line="120" w:lineRule="exact"/>
            </w:pPr>
          </w:p>
        </w:tc>
      </w:tr>
      <w:tr w:rsidR="007664DC" w:rsidRPr="00141D36" w:rsidTr="00133B84">
        <w:tc>
          <w:tcPr>
            <w:tcW w:w="8771" w:type="dxa"/>
            <w:tcBorders>
              <w:top w:val="single" w:sz="6" w:space="0" w:color="78A22F"/>
              <w:left w:val="nil"/>
              <w:bottom w:val="nil"/>
              <w:right w:val="nil"/>
            </w:tcBorders>
          </w:tcPr>
          <w:p w:rsidR="007664DC" w:rsidRPr="00141D36" w:rsidRDefault="007664DC" w:rsidP="00D57D33">
            <w:pPr>
              <w:pStyle w:val="BoxSpaceBelow"/>
            </w:pPr>
          </w:p>
        </w:tc>
      </w:tr>
    </w:tbl>
    <w:p w:rsidR="00133B84" w:rsidRPr="00141D36" w:rsidRDefault="00133B84" w:rsidP="00133B84">
      <w:pPr>
        <w:pStyle w:val="Heading6"/>
      </w:pPr>
      <w:r w:rsidRPr="00141D36">
        <w:t>Skill outputs from VET — qualifications completed</w:t>
      </w:r>
    </w:p>
    <w:p w:rsidR="00133B84" w:rsidRPr="00141D36" w:rsidRDefault="0012015B" w:rsidP="00110172">
      <w:pPr>
        <w:pStyle w:val="BodyText"/>
      </w:pPr>
      <w:r w:rsidRPr="00141D36">
        <w:t>B</w:t>
      </w:r>
      <w:r w:rsidR="00133B84" w:rsidRPr="00141D36">
        <w:t>etween 2008 and 2012 the number of qualifications completed nationally increased by</w:t>
      </w:r>
      <w:r w:rsidR="00110172" w:rsidRPr="00141D36">
        <w:t xml:space="preserve"> </w:t>
      </w:r>
      <w:r w:rsidR="00133B84" w:rsidRPr="00141D36">
        <w:t xml:space="preserve">90.0 per cent for Aboriginal and Torres Strait Islander students (table </w:t>
      </w:r>
      <w:proofErr w:type="spellStart"/>
      <w:r w:rsidR="00133B84" w:rsidRPr="00141D36">
        <w:t>5A.79</w:t>
      </w:r>
      <w:proofErr w:type="spellEnd"/>
      <w:r w:rsidR="00133B84" w:rsidRPr="00141D36">
        <w:t>).</w:t>
      </w:r>
    </w:p>
    <w:p w:rsidR="00133B84" w:rsidRPr="00141D36" w:rsidRDefault="00133B84" w:rsidP="00133B84">
      <w:pPr>
        <w:pStyle w:val="BodyText"/>
      </w:pPr>
      <w:r w:rsidRPr="00141D36">
        <w:t>Nationally, Aboriginal and Torres Strait</w:t>
      </w:r>
      <w:r w:rsidR="00110172" w:rsidRPr="00141D36">
        <w:t xml:space="preserve"> Islander students completed 20</w:t>
      </w:r>
      <w:r w:rsidR="000A67E7" w:rsidRPr="00141D36">
        <w:t> </w:t>
      </w:r>
      <w:r w:rsidRPr="00141D36">
        <w:t>522</w:t>
      </w:r>
      <w:r w:rsidRPr="00141D36">
        <w:rPr>
          <w:color w:val="FF0000"/>
        </w:rPr>
        <w:t xml:space="preserve"> </w:t>
      </w:r>
      <w:r w:rsidRPr="00141D36">
        <w:t>VET qualifications in 2012, an i</w:t>
      </w:r>
      <w:r w:rsidR="00110172" w:rsidRPr="00141D36">
        <w:t>ncrease of 8.3 per cent from 18</w:t>
      </w:r>
      <w:r w:rsidR="000A67E7" w:rsidRPr="00141D36">
        <w:t> </w:t>
      </w:r>
      <w:r w:rsidRPr="00141D36">
        <w:t>950 in 2011</w:t>
      </w:r>
      <w:r w:rsidRPr="00141D36">
        <w:rPr>
          <w:shd w:val="clear" w:color="auto" w:fill="FFFFFF" w:themeFill="background1"/>
        </w:rPr>
        <w:t xml:space="preserve"> and an in</w:t>
      </w:r>
      <w:r w:rsidR="00110172" w:rsidRPr="00141D36">
        <w:rPr>
          <w:shd w:val="clear" w:color="auto" w:fill="FFFFFF" w:themeFill="background1"/>
        </w:rPr>
        <w:t>crease of 90.0 per cent from 10</w:t>
      </w:r>
      <w:r w:rsidR="000A67E7" w:rsidRPr="00141D36">
        <w:rPr>
          <w:shd w:val="clear" w:color="auto" w:fill="FFFFFF" w:themeFill="background1"/>
        </w:rPr>
        <w:t> </w:t>
      </w:r>
      <w:r w:rsidRPr="00141D36">
        <w:rPr>
          <w:shd w:val="clear" w:color="auto" w:fill="FFFFFF" w:themeFill="background1"/>
        </w:rPr>
        <w:t xml:space="preserve">803 in 2008. This represents an average annual increase of 17.4 per cent, compared to 13.7 per cent for all students. Aboriginal and Torres Strait Islander students accounted for 3.5 per cent of all the qualifications completed in 2012, compared to 1.8 per cent in 2008 (table </w:t>
      </w:r>
      <w:proofErr w:type="spellStart"/>
      <w:r w:rsidRPr="00141D36">
        <w:rPr>
          <w:shd w:val="clear" w:color="auto" w:fill="FFFFFF" w:themeFill="background1"/>
        </w:rPr>
        <w:t>5A.79</w:t>
      </w:r>
      <w:proofErr w:type="spellEnd"/>
      <w:r w:rsidRPr="00141D36">
        <w:rPr>
          <w:shd w:val="clear" w:color="auto" w:fill="FFFFFF" w:themeFill="background1"/>
        </w:rPr>
        <w:t>). The number of qualifications c</w:t>
      </w:r>
      <w:r w:rsidRPr="00141D36">
        <w:t>ompleted by Aboriginal and Torres Strait Islander students varied across jurisdictions (figure 5.</w:t>
      </w:r>
      <w:r w:rsidR="00110172" w:rsidRPr="00141D36">
        <w:t>18</w:t>
      </w:r>
      <w:r w:rsidRPr="00141D36">
        <w:t>).</w:t>
      </w:r>
    </w:p>
    <w:p w:rsidR="00110172" w:rsidRPr="00141D36" w:rsidRDefault="00110172">
      <w:pPr>
        <w:rPr>
          <w:szCs w:val="20"/>
        </w:rPr>
      </w:pPr>
      <w:r w:rsidRPr="00141D36">
        <w:br w:type="page"/>
      </w:r>
    </w:p>
    <w:p w:rsidR="00133B84" w:rsidRPr="00141D36" w:rsidRDefault="00133B84" w:rsidP="00133B8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33B84" w:rsidRPr="00141D36" w:rsidTr="00133B84">
        <w:tc>
          <w:tcPr>
            <w:tcW w:w="8771" w:type="dxa"/>
            <w:tcBorders>
              <w:top w:val="single" w:sz="6" w:space="0" w:color="78A22F"/>
              <w:left w:val="nil"/>
              <w:bottom w:val="nil"/>
              <w:right w:val="nil"/>
            </w:tcBorders>
            <w:shd w:val="clear" w:color="auto" w:fill="auto"/>
          </w:tcPr>
          <w:p w:rsidR="00133B84" w:rsidRPr="00141D36" w:rsidRDefault="00133B84" w:rsidP="00110172">
            <w:pPr>
              <w:pStyle w:val="FigureTitle"/>
            </w:pPr>
            <w:r w:rsidRPr="00141D36">
              <w:rPr>
                <w:b w:val="0"/>
              </w:rPr>
              <w:t>Figure 5.</w:t>
            </w:r>
            <w:r w:rsidR="00110172" w:rsidRPr="00141D36">
              <w:rPr>
                <w:b w:val="0"/>
                <w:noProof/>
              </w:rPr>
              <w:t>18</w:t>
            </w:r>
            <w:r w:rsidRPr="00141D36">
              <w:tab/>
              <w:t>Qualifications completed, Aboriginal and Torres Strait Islander students</w:t>
            </w:r>
            <w:r w:rsidRPr="00141D36">
              <w:rPr>
                <w:rStyle w:val="NoteLabel"/>
                <w:b/>
              </w:rPr>
              <w:t>a, b</w:t>
            </w:r>
          </w:p>
        </w:tc>
      </w:tr>
      <w:tr w:rsidR="00133B84" w:rsidRPr="00141D36" w:rsidTr="00133B84">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33B84" w:rsidRPr="00141D36" w:rsidTr="00133B84">
              <w:tc>
                <w:tcPr>
                  <w:tcW w:w="5000" w:type="pct"/>
                  <w:tcBorders>
                    <w:top w:val="nil"/>
                    <w:bottom w:val="nil"/>
                  </w:tcBorders>
                </w:tcPr>
                <w:p w:rsidR="00133B84" w:rsidRPr="00141D36" w:rsidRDefault="00133B84" w:rsidP="00133B84">
                  <w:pPr>
                    <w:pStyle w:val="Figure"/>
                    <w:spacing w:before="60" w:after="60"/>
                  </w:pPr>
                  <w:r w:rsidRPr="00141D36">
                    <w:rPr>
                      <w:noProof/>
                    </w:rPr>
                    <w:drawing>
                      <wp:inline distT="0" distB="0" distL="0" distR="0" wp14:anchorId="7B1F9BC6" wp14:editId="06A8015B">
                        <wp:extent cx="5391150" cy="2714625"/>
                        <wp:effectExtent l="0" t="0" r="0" b="9525"/>
                        <wp:docPr id="49" name="Picture 49" descr="Figure 5.42 Qualifications completed, Aboriginal and Torres Strait Islander student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91150" cy="2714625"/>
                                </a:xfrm>
                                <a:prstGeom prst="rect">
                                  <a:avLst/>
                                </a:prstGeom>
                                <a:noFill/>
                                <a:ln>
                                  <a:noFill/>
                                </a:ln>
                              </pic:spPr>
                            </pic:pic>
                          </a:graphicData>
                        </a:graphic>
                      </wp:inline>
                    </w:drawing>
                  </w:r>
                </w:p>
              </w:tc>
            </w:tr>
          </w:tbl>
          <w:p w:rsidR="00133B84" w:rsidRPr="00141D36" w:rsidRDefault="00133B84" w:rsidP="00133B84">
            <w:pPr>
              <w:pStyle w:val="Figure"/>
            </w:pPr>
          </w:p>
        </w:tc>
      </w:tr>
      <w:tr w:rsidR="00133B84" w:rsidRPr="00141D36" w:rsidTr="00133B84">
        <w:tc>
          <w:tcPr>
            <w:tcW w:w="8771" w:type="dxa"/>
            <w:tcBorders>
              <w:top w:val="nil"/>
              <w:left w:val="nil"/>
              <w:bottom w:val="nil"/>
              <w:right w:val="nil"/>
            </w:tcBorders>
            <w:shd w:val="clear" w:color="auto" w:fill="auto"/>
          </w:tcPr>
          <w:p w:rsidR="00133B84" w:rsidRPr="00141D36" w:rsidRDefault="00133B84" w:rsidP="00133B84">
            <w:pPr>
              <w:pStyle w:val="Note"/>
            </w:pPr>
            <w:r w:rsidRPr="00141D36">
              <w:rPr>
                <w:rStyle w:val="NoteLabel"/>
              </w:rPr>
              <w:t>a</w:t>
            </w:r>
            <w:r w:rsidRPr="00141D36">
              <w:t xml:space="preserve"> Qualifications completed includes courses accredited or approved by a local State or Territory authority, and represents students eligible to be awarded a qualification. </w:t>
            </w:r>
            <w:r w:rsidRPr="00141D36">
              <w:rPr>
                <w:rStyle w:val="NoteLabel"/>
              </w:rPr>
              <w:t>b</w:t>
            </w:r>
            <w:r w:rsidRPr="00141D36">
              <w:t xml:space="preserve"> The number of qualifications completed includes both government funded and non-government funded VET students.</w:t>
            </w:r>
          </w:p>
        </w:tc>
      </w:tr>
      <w:tr w:rsidR="00133B84" w:rsidRPr="00141D36" w:rsidTr="00133B84">
        <w:tc>
          <w:tcPr>
            <w:tcW w:w="8771" w:type="dxa"/>
            <w:tcBorders>
              <w:top w:val="nil"/>
              <w:left w:val="nil"/>
              <w:bottom w:val="nil"/>
              <w:right w:val="nil"/>
            </w:tcBorders>
            <w:shd w:val="clear" w:color="auto" w:fill="auto"/>
          </w:tcPr>
          <w:p w:rsidR="00133B84" w:rsidRPr="00141D36" w:rsidRDefault="00133B84" w:rsidP="0068105B">
            <w:pPr>
              <w:pStyle w:val="Source"/>
            </w:pPr>
            <w:r w:rsidRPr="00141D36">
              <w:rPr>
                <w:i/>
              </w:rPr>
              <w:t>Source</w:t>
            </w:r>
            <w:r w:rsidRPr="00141D36">
              <w:t xml:space="preserve">: </w:t>
            </w:r>
            <w:proofErr w:type="spellStart"/>
            <w:r w:rsidRPr="00141D36">
              <w:t>NCVER</w:t>
            </w:r>
            <w:proofErr w:type="spellEnd"/>
            <w:r w:rsidRPr="00141D36">
              <w:t xml:space="preserve"> (unpublished) National VET p</w:t>
            </w:r>
            <w:r w:rsidR="00110172" w:rsidRPr="00141D36">
              <w:t xml:space="preserve">rovider collection; table </w:t>
            </w:r>
            <w:proofErr w:type="spellStart"/>
            <w:r w:rsidR="00110172" w:rsidRPr="00141D36">
              <w:t>5A.79</w:t>
            </w:r>
            <w:proofErr w:type="spellEnd"/>
            <w:r w:rsidR="00110172" w:rsidRPr="00141D36">
              <w:t>; 2015 Report, figure 5.42, p.</w:t>
            </w:r>
            <w:r w:rsidR="0068105B">
              <w:t> </w:t>
            </w:r>
            <w:r w:rsidR="00110172" w:rsidRPr="00141D36">
              <w:t>5.</w:t>
            </w:r>
            <w:r w:rsidR="0012015B" w:rsidRPr="00141D36">
              <w:t>70</w:t>
            </w:r>
            <w:r w:rsidR="00110172" w:rsidRPr="00141D36">
              <w:t>.</w:t>
            </w:r>
          </w:p>
        </w:tc>
      </w:tr>
      <w:tr w:rsidR="00133B84" w:rsidRPr="00141D36" w:rsidTr="00133B84">
        <w:tc>
          <w:tcPr>
            <w:tcW w:w="8771" w:type="dxa"/>
            <w:tcBorders>
              <w:top w:val="nil"/>
              <w:left w:val="nil"/>
              <w:bottom w:val="single" w:sz="6" w:space="0" w:color="78A22F"/>
              <w:right w:val="nil"/>
            </w:tcBorders>
            <w:shd w:val="clear" w:color="auto" w:fill="auto"/>
          </w:tcPr>
          <w:p w:rsidR="00133B84" w:rsidRPr="00141D36" w:rsidRDefault="00133B84" w:rsidP="00133B84">
            <w:pPr>
              <w:pStyle w:val="Figurespace"/>
            </w:pPr>
          </w:p>
        </w:tc>
      </w:tr>
      <w:tr w:rsidR="007664DC" w:rsidRPr="00141D36" w:rsidTr="00133B84">
        <w:tc>
          <w:tcPr>
            <w:tcW w:w="8771" w:type="dxa"/>
            <w:tcBorders>
              <w:top w:val="single" w:sz="6" w:space="0" w:color="78A22F"/>
              <w:left w:val="nil"/>
              <w:bottom w:val="nil"/>
              <w:right w:val="nil"/>
            </w:tcBorders>
          </w:tcPr>
          <w:p w:rsidR="007664DC" w:rsidRPr="00141D36" w:rsidRDefault="007664DC" w:rsidP="00D57D33">
            <w:pPr>
              <w:pStyle w:val="BoxSpaceBelow"/>
            </w:pPr>
          </w:p>
        </w:tc>
      </w:tr>
    </w:tbl>
    <w:p w:rsidR="00133B84" w:rsidRPr="00141D36" w:rsidRDefault="00133B84" w:rsidP="00133B84">
      <w:pPr>
        <w:pStyle w:val="BodyText"/>
      </w:pPr>
      <w:r w:rsidRPr="00141D36">
        <w:t>Nationally in 2012:</w:t>
      </w:r>
    </w:p>
    <w:p w:rsidR="00133B84" w:rsidRPr="00141D36" w:rsidRDefault="00133B84" w:rsidP="00133B84">
      <w:pPr>
        <w:pStyle w:val="ListBullet"/>
      </w:pPr>
      <w:r w:rsidRPr="00141D36">
        <w:t xml:space="preserve">15.4 per cent of qualifications completed by all students </w:t>
      </w:r>
      <w:r w:rsidRPr="00141D36">
        <w:rPr>
          <w:shd w:val="clear" w:color="auto" w:fill="FFFFFF" w:themeFill="background1"/>
        </w:rPr>
        <w:t>were at the diploma level or above, 62.0 per cent at certificate level III or IV, and</w:t>
      </w:r>
      <w:r w:rsidRPr="00141D36">
        <w:t xml:space="preserve"> 22.6 per cent at certificate level I or II or lower (</w:t>
      </w:r>
      <w:r w:rsidR="00110172" w:rsidRPr="00141D36">
        <w:t xml:space="preserve">2015 Report, </w:t>
      </w:r>
      <w:r w:rsidRPr="00141D36">
        <w:t xml:space="preserve">table </w:t>
      </w:r>
      <w:proofErr w:type="spellStart"/>
      <w:r w:rsidRPr="00141D36">
        <w:t>5A.83</w:t>
      </w:r>
      <w:proofErr w:type="spellEnd"/>
      <w:r w:rsidRPr="00141D36">
        <w:t>)</w:t>
      </w:r>
    </w:p>
    <w:p w:rsidR="00133B84" w:rsidRPr="00141D36" w:rsidRDefault="00133B84" w:rsidP="00133B84">
      <w:pPr>
        <w:pStyle w:val="ListBullet"/>
      </w:pPr>
      <w:r w:rsidRPr="00141D36">
        <w:t>77.6 per cent of qualifications completed by all students aged 15–64 years were at the certificate III level or above, compared with 54.5 per cent of qualifications completed by Aboriginal and Torres Strait Islander students aged 15–64 years and 78.8 per cent for non-Indigenous students aged 15–64 years</w:t>
      </w:r>
    </w:p>
    <w:p w:rsidR="00133B84" w:rsidRPr="00141D36" w:rsidRDefault="00133B84" w:rsidP="00133B84">
      <w:pPr>
        <w:pStyle w:val="ListBullet"/>
      </w:pPr>
      <w:r w:rsidRPr="00141D36">
        <w:t xml:space="preserve">78.6 per cent of qualifications completed by all students aged </w:t>
      </w:r>
      <w:r w:rsidRPr="00141D36">
        <w:rPr>
          <w:szCs w:val="26"/>
        </w:rPr>
        <w:t>18–24</w:t>
      </w:r>
      <w:r w:rsidRPr="00141D36">
        <w:t xml:space="preserve"> years were at the certificate III level or above, compared with 54.8 per cent of qualifications completed by Aboriginal and Torres Strait Islander students aged </w:t>
      </w:r>
      <w:r w:rsidRPr="00141D36">
        <w:rPr>
          <w:szCs w:val="26"/>
        </w:rPr>
        <w:t>18–24</w:t>
      </w:r>
      <w:r w:rsidRPr="00141D36">
        <w:t xml:space="preserve"> years and 79.7 per cent for non-Indigenous students aged </w:t>
      </w:r>
      <w:r w:rsidRPr="00141D36">
        <w:rPr>
          <w:szCs w:val="26"/>
        </w:rPr>
        <w:t>18–24</w:t>
      </w:r>
      <w:r w:rsidRPr="00141D36">
        <w:t xml:space="preserve"> years</w:t>
      </w:r>
    </w:p>
    <w:p w:rsidR="009C4470" w:rsidRPr="00141D36" w:rsidRDefault="00133B84" w:rsidP="009C4470">
      <w:pPr>
        <w:pStyle w:val="ListBullet"/>
      </w:pPr>
      <w:r w:rsidRPr="00141D36">
        <w:t xml:space="preserve">84.0 per cent of qualifications completed by all students aged </w:t>
      </w:r>
      <w:r w:rsidRPr="00141D36">
        <w:rPr>
          <w:szCs w:val="26"/>
        </w:rPr>
        <w:t>20</w:t>
      </w:r>
      <w:r w:rsidRPr="00141D36">
        <w:t xml:space="preserve">–64 years were at the certificate III level or above, compared with 63.3 per cent of qualifications completed by Aboriginal and Torres Strait Islander students aged </w:t>
      </w:r>
      <w:r w:rsidRPr="00141D36">
        <w:rPr>
          <w:szCs w:val="26"/>
        </w:rPr>
        <w:t>20</w:t>
      </w:r>
      <w:r w:rsidRPr="00141D36">
        <w:t xml:space="preserve">–64 years and 84.8 per cent for non-Indigenous students aged </w:t>
      </w:r>
      <w:r w:rsidRPr="00141D36">
        <w:rPr>
          <w:szCs w:val="26"/>
        </w:rPr>
        <w:t>20</w:t>
      </w:r>
      <w:r w:rsidR="00110172" w:rsidRPr="00141D36">
        <w:t xml:space="preserve">–64 years (figure </w:t>
      </w:r>
      <w:r w:rsidRPr="00141D36">
        <w:t>5.</w:t>
      </w:r>
      <w:r w:rsidR="00110172" w:rsidRPr="00141D36">
        <w:t>19</w:t>
      </w:r>
      <w:r w:rsidRPr="00141D36">
        <w:t>).</w:t>
      </w:r>
    </w:p>
    <w:p w:rsidR="009C4470" w:rsidRPr="00141D36" w:rsidRDefault="009C4470" w:rsidP="009C447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33B84" w:rsidRPr="00141D36" w:rsidTr="00133B84">
        <w:tc>
          <w:tcPr>
            <w:tcW w:w="8771" w:type="dxa"/>
            <w:tcBorders>
              <w:top w:val="single" w:sz="6" w:space="0" w:color="78A22F"/>
              <w:left w:val="nil"/>
              <w:bottom w:val="nil"/>
              <w:right w:val="nil"/>
            </w:tcBorders>
            <w:shd w:val="clear" w:color="auto" w:fill="auto"/>
          </w:tcPr>
          <w:p w:rsidR="00133B84" w:rsidRPr="00141D36" w:rsidRDefault="00133B84" w:rsidP="00110172">
            <w:pPr>
              <w:pStyle w:val="FigureTitle"/>
            </w:pPr>
            <w:r w:rsidRPr="00141D36">
              <w:rPr>
                <w:b w:val="0"/>
              </w:rPr>
              <w:t>Figure 5.</w:t>
            </w:r>
            <w:r w:rsidR="00110172" w:rsidRPr="00141D36">
              <w:rPr>
                <w:b w:val="0"/>
                <w:noProof/>
              </w:rPr>
              <w:t>19</w:t>
            </w:r>
            <w:r w:rsidRPr="00141D36">
              <w:tab/>
              <w:t>Qualifications completed in certificate III and above, by target age group and Indigenous status, 2012</w:t>
            </w:r>
            <w:r w:rsidRPr="00141D36">
              <w:rPr>
                <w:rStyle w:val="NoteLabel"/>
                <w:b/>
              </w:rPr>
              <w:t>a, b, c</w:t>
            </w:r>
          </w:p>
        </w:tc>
      </w:tr>
      <w:tr w:rsidR="00133B84" w:rsidRPr="00141D36" w:rsidTr="00133B84">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33B84" w:rsidRPr="00141D36" w:rsidTr="00133B84">
              <w:tc>
                <w:tcPr>
                  <w:tcW w:w="5000" w:type="pct"/>
                  <w:tcBorders>
                    <w:top w:val="nil"/>
                    <w:bottom w:val="nil"/>
                  </w:tcBorders>
                </w:tcPr>
                <w:p w:rsidR="00133B84" w:rsidRPr="00141D36" w:rsidRDefault="00133B84" w:rsidP="00133B84">
                  <w:pPr>
                    <w:pStyle w:val="Figure"/>
                    <w:spacing w:before="0" w:after="0"/>
                  </w:pPr>
                  <w:r w:rsidRPr="00141D36">
                    <w:rPr>
                      <w:b/>
                      <w:bCs/>
                      <w:noProof/>
                    </w:rPr>
                    <w:drawing>
                      <wp:inline distT="0" distB="0" distL="0" distR="0" wp14:anchorId="7648AE49" wp14:editId="5D53297E">
                        <wp:extent cx="5391150" cy="1866900"/>
                        <wp:effectExtent l="0" t="0" r="0" b="0"/>
                        <wp:docPr id="50" name="Picture 50" descr="Figure 5.43 Qualifications completed in certificate III and above, by target age group and Aboriginal and Torres Strait Islander status, 2012&#10;&#10;15-64 year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391150" cy="1866900"/>
                                </a:xfrm>
                                <a:prstGeom prst="rect">
                                  <a:avLst/>
                                </a:prstGeom>
                                <a:noFill/>
                                <a:ln>
                                  <a:noFill/>
                                </a:ln>
                              </pic:spPr>
                            </pic:pic>
                          </a:graphicData>
                        </a:graphic>
                      </wp:inline>
                    </w:drawing>
                  </w:r>
                  <w:r w:rsidRPr="00141D36">
                    <w:rPr>
                      <w:b/>
                      <w:bCs/>
                      <w:noProof/>
                      <w:lang w:val="en-US"/>
                    </w:rPr>
                    <w:br/>
                  </w:r>
                  <w:r w:rsidRPr="00141D36">
                    <w:rPr>
                      <w:noProof/>
                    </w:rPr>
                    <w:drawing>
                      <wp:inline distT="0" distB="0" distL="0" distR="0" wp14:anchorId="5A6BB418" wp14:editId="70E8D714">
                        <wp:extent cx="5391150" cy="1866900"/>
                        <wp:effectExtent l="0" t="0" r="0" b="0"/>
                        <wp:docPr id="51" name="Picture 51" descr="Figure 5.43 Qualifications completed in certificate III and above, by target age group and Aboriginal and Torres Strait Islander status, 2012&#10;&#10;18-24 year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91150" cy="1866900"/>
                                </a:xfrm>
                                <a:prstGeom prst="rect">
                                  <a:avLst/>
                                </a:prstGeom>
                                <a:noFill/>
                                <a:ln>
                                  <a:noFill/>
                                </a:ln>
                              </pic:spPr>
                            </pic:pic>
                          </a:graphicData>
                        </a:graphic>
                      </wp:inline>
                    </w:drawing>
                  </w:r>
                </w:p>
                <w:p w:rsidR="00133B84" w:rsidRPr="00141D36" w:rsidRDefault="00133B84" w:rsidP="00133B84">
                  <w:pPr>
                    <w:pStyle w:val="Figure"/>
                    <w:spacing w:before="0" w:after="0"/>
                  </w:pPr>
                  <w:r w:rsidRPr="00141D36">
                    <w:rPr>
                      <w:noProof/>
                    </w:rPr>
                    <w:drawing>
                      <wp:inline distT="0" distB="0" distL="0" distR="0" wp14:anchorId="2F901CB8" wp14:editId="46AA7B76">
                        <wp:extent cx="5391150" cy="2162175"/>
                        <wp:effectExtent l="0" t="0" r="0" b="9525"/>
                        <wp:docPr id="52" name="Picture 52" descr="Figure 5.43 Qualifications completed in certificate III and above, by target age group and Aboriginal and Torres Strait Islander status, 2012&#10;&#10;20-64 year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391150" cy="2162175"/>
                                </a:xfrm>
                                <a:prstGeom prst="rect">
                                  <a:avLst/>
                                </a:prstGeom>
                                <a:noFill/>
                                <a:ln>
                                  <a:noFill/>
                                </a:ln>
                              </pic:spPr>
                            </pic:pic>
                          </a:graphicData>
                        </a:graphic>
                      </wp:inline>
                    </w:drawing>
                  </w:r>
                </w:p>
              </w:tc>
            </w:tr>
          </w:tbl>
          <w:p w:rsidR="00133B84" w:rsidRPr="00141D36" w:rsidRDefault="00133B84" w:rsidP="00133B84">
            <w:pPr>
              <w:pStyle w:val="Figure"/>
            </w:pPr>
          </w:p>
        </w:tc>
      </w:tr>
      <w:tr w:rsidR="00133B84" w:rsidRPr="00141D36" w:rsidTr="00133B84">
        <w:tc>
          <w:tcPr>
            <w:tcW w:w="8771" w:type="dxa"/>
            <w:tcBorders>
              <w:top w:val="nil"/>
              <w:left w:val="nil"/>
              <w:bottom w:val="nil"/>
              <w:right w:val="nil"/>
            </w:tcBorders>
            <w:shd w:val="clear" w:color="auto" w:fill="auto"/>
          </w:tcPr>
          <w:p w:rsidR="00133B84" w:rsidRPr="00141D36" w:rsidRDefault="00133B84" w:rsidP="00133B84">
            <w:pPr>
              <w:pStyle w:val="Note"/>
            </w:pPr>
            <w:r w:rsidRPr="00141D36">
              <w:rPr>
                <w:rStyle w:val="NoteLabel"/>
              </w:rPr>
              <w:t>a</w:t>
            </w:r>
            <w:r w:rsidRPr="00141D36">
              <w:t xml:space="preserve"> Qualifications completed includes courses accredited or approved by a local State or Territory authority and represents students eligible to be awarded a qualification. </w:t>
            </w:r>
            <w:r w:rsidRPr="00141D36">
              <w:rPr>
                <w:rStyle w:val="NoteLabel"/>
              </w:rPr>
              <w:t>b</w:t>
            </w:r>
            <w:r w:rsidRPr="00141D36">
              <w:t xml:space="preserve"> The number of qualifications completed includes both government funded and non-government funded VET students. </w:t>
            </w:r>
            <w:r w:rsidRPr="00141D36">
              <w:rPr>
                <w:rStyle w:val="NoteLabel"/>
              </w:rPr>
              <w:t>c</w:t>
            </w:r>
            <w:r w:rsidRPr="00141D36">
              <w:t xml:space="preserve"> Aboriginal and Torres Strait Islander students are defined as those who self-identify on enrolment forms that they are of Aboriginal and/or Torres Strait Islander background. Care should be taken in comparing qualifications completed due to the high non-response rates in some jurisdictions (see table </w:t>
            </w:r>
            <w:proofErr w:type="spellStart"/>
            <w:r w:rsidRPr="00141D36">
              <w:t>5A.79</w:t>
            </w:r>
            <w:proofErr w:type="spellEnd"/>
            <w:r w:rsidRPr="00141D36">
              <w:t>).</w:t>
            </w:r>
          </w:p>
        </w:tc>
      </w:tr>
      <w:tr w:rsidR="00133B84" w:rsidRPr="00141D36" w:rsidTr="00133B84">
        <w:tc>
          <w:tcPr>
            <w:tcW w:w="8771" w:type="dxa"/>
            <w:tcBorders>
              <w:top w:val="nil"/>
              <w:left w:val="nil"/>
              <w:bottom w:val="nil"/>
              <w:right w:val="nil"/>
            </w:tcBorders>
            <w:shd w:val="clear" w:color="auto" w:fill="auto"/>
          </w:tcPr>
          <w:p w:rsidR="00133B84" w:rsidRPr="00141D36" w:rsidRDefault="00133B84" w:rsidP="00110172">
            <w:pPr>
              <w:pStyle w:val="Source"/>
            </w:pPr>
            <w:r w:rsidRPr="00141D36">
              <w:rPr>
                <w:i/>
              </w:rPr>
              <w:t>Source</w:t>
            </w:r>
            <w:r w:rsidRPr="00141D36">
              <w:t xml:space="preserve">: </w:t>
            </w:r>
            <w:proofErr w:type="spellStart"/>
            <w:r w:rsidRPr="00141D36">
              <w:t>NCVER</w:t>
            </w:r>
            <w:proofErr w:type="spellEnd"/>
            <w:r w:rsidRPr="00141D36">
              <w:t xml:space="preserve"> (unpublished) National VET p</w:t>
            </w:r>
            <w:r w:rsidR="00110172" w:rsidRPr="00141D36">
              <w:t xml:space="preserve">rovider collection; table </w:t>
            </w:r>
            <w:proofErr w:type="spellStart"/>
            <w:r w:rsidR="00110172" w:rsidRPr="00141D36">
              <w:t>5A.84</w:t>
            </w:r>
            <w:proofErr w:type="spellEnd"/>
            <w:r w:rsidR="00110172" w:rsidRPr="00141D36">
              <w:t xml:space="preserve">; 2015 Report, figure 5.43, </w:t>
            </w:r>
            <w:r w:rsidR="00110172" w:rsidRPr="00141D36">
              <w:br/>
              <w:t>p. 5.71.</w:t>
            </w:r>
          </w:p>
        </w:tc>
      </w:tr>
      <w:tr w:rsidR="00133B84" w:rsidRPr="00141D36" w:rsidTr="00133B84">
        <w:tc>
          <w:tcPr>
            <w:tcW w:w="8771" w:type="dxa"/>
            <w:tcBorders>
              <w:top w:val="nil"/>
              <w:left w:val="nil"/>
              <w:bottom w:val="single" w:sz="6" w:space="0" w:color="78A22F"/>
              <w:right w:val="nil"/>
            </w:tcBorders>
            <w:shd w:val="clear" w:color="auto" w:fill="auto"/>
          </w:tcPr>
          <w:p w:rsidR="00133B84" w:rsidRPr="00141D36" w:rsidRDefault="00133B84" w:rsidP="00133B84">
            <w:pPr>
              <w:pStyle w:val="Figurespace"/>
            </w:pPr>
          </w:p>
        </w:tc>
      </w:tr>
      <w:tr w:rsidR="007664DC" w:rsidRPr="00141D36" w:rsidTr="00133B84">
        <w:tc>
          <w:tcPr>
            <w:tcW w:w="8771" w:type="dxa"/>
            <w:tcBorders>
              <w:top w:val="single" w:sz="6" w:space="0" w:color="78A22F"/>
              <w:left w:val="nil"/>
              <w:bottom w:val="nil"/>
              <w:right w:val="nil"/>
            </w:tcBorders>
          </w:tcPr>
          <w:p w:rsidR="007664DC" w:rsidRPr="00141D36" w:rsidRDefault="007664DC" w:rsidP="00D57D33">
            <w:pPr>
              <w:pStyle w:val="BoxSpaceBelow"/>
            </w:pPr>
          </w:p>
        </w:tc>
      </w:tr>
    </w:tbl>
    <w:p w:rsidR="00133B84" w:rsidRPr="00141D36" w:rsidRDefault="00133B84" w:rsidP="00133B84">
      <w:pPr>
        <w:pStyle w:val="BodyText"/>
        <w:spacing w:before="0"/>
      </w:pPr>
      <w:r w:rsidRPr="00141D36">
        <w:br w:type="page"/>
      </w:r>
      <w:r w:rsidRPr="00141D36">
        <w:lastRenderedPageBreak/>
        <w:t>Nationally in 2012:</w:t>
      </w:r>
    </w:p>
    <w:p w:rsidR="00133B84" w:rsidRPr="00141D36" w:rsidRDefault="00133B84" w:rsidP="00133B84">
      <w:pPr>
        <w:pStyle w:val="ListBullet"/>
      </w:pPr>
      <w:r w:rsidRPr="00141D36">
        <w:t>15.5 per cent of qualifications completed by all students aged 15–64 years were at diploma level or above, compared with 6.7 per cent of qualifications completed by Aboriginal and Torres Strait Islander students aged 15–64 years and 15.7 per cent for non</w:t>
      </w:r>
      <w:r w:rsidRPr="00141D36">
        <w:noBreakHyphen/>
        <w:t>Indigenous students aged 15–64 years</w:t>
      </w:r>
    </w:p>
    <w:p w:rsidR="00133B84" w:rsidRPr="00141D36" w:rsidRDefault="00133B84" w:rsidP="00133B84">
      <w:pPr>
        <w:pStyle w:val="ListBullet"/>
      </w:pPr>
      <w:r w:rsidRPr="00141D36">
        <w:t>14.7 per cent of qualifications completed by all students aged 18</w:t>
      </w:r>
      <w:r w:rsidRPr="00141D36">
        <w:noBreakHyphen/>
        <w:t>24 years were at diploma level or above, compared with 4.1 per cent of qualifications completed by Aboriginal and Torres Strait Islander students aged 18–24 years and 14.9 per cent for non</w:t>
      </w:r>
      <w:r w:rsidRPr="00141D36">
        <w:noBreakHyphen/>
        <w:t>Indigenous students aged 18–24 years</w:t>
      </w:r>
    </w:p>
    <w:p w:rsidR="00133B84" w:rsidRPr="00141D36" w:rsidRDefault="00133B84" w:rsidP="00133B84">
      <w:pPr>
        <w:pStyle w:val="ListBullet"/>
      </w:pPr>
      <w:r w:rsidRPr="00141D36">
        <w:t>18.4 per cent of qualifications completed by all students aged 20–64 years were at diploma level or above, compared with 9.0 per cent of qualifications completed by Aboriginal and Torres Strait Islander students aged 20–64 years and 18.6 per cent for non</w:t>
      </w:r>
      <w:r w:rsidRPr="00141D36">
        <w:noBreakHyphen/>
        <w:t>Indigenous st</w:t>
      </w:r>
      <w:r w:rsidR="00110172" w:rsidRPr="00141D36">
        <w:t xml:space="preserve">udents aged 20–64 years (figure </w:t>
      </w:r>
      <w:r w:rsidRPr="00141D36">
        <w:t>5.</w:t>
      </w:r>
      <w:r w:rsidR="00110172" w:rsidRPr="00141D36">
        <w:t>20</w:t>
      </w:r>
      <w:r w:rsidRPr="00141D36">
        <w:t>).</w:t>
      </w:r>
    </w:p>
    <w:p w:rsidR="00133B84" w:rsidRPr="00141D36" w:rsidRDefault="00133B84" w:rsidP="00133B84">
      <w:pPr>
        <w:pStyle w:val="BodyText"/>
      </w:pPr>
      <w:r w:rsidRPr="00141D36">
        <w:rPr>
          <w:b/>
        </w:rPr>
        <w:br w:type="page"/>
      </w:r>
    </w:p>
    <w:p w:rsidR="00133B84" w:rsidRPr="00141D36" w:rsidRDefault="00133B84" w:rsidP="00133B8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33B84" w:rsidRPr="00141D36" w:rsidTr="00133B84">
        <w:tc>
          <w:tcPr>
            <w:tcW w:w="8771" w:type="dxa"/>
            <w:tcBorders>
              <w:top w:val="single" w:sz="6" w:space="0" w:color="78A22F"/>
              <w:left w:val="nil"/>
              <w:bottom w:val="nil"/>
              <w:right w:val="nil"/>
            </w:tcBorders>
            <w:shd w:val="clear" w:color="auto" w:fill="auto"/>
          </w:tcPr>
          <w:p w:rsidR="00133B84" w:rsidRPr="00141D36" w:rsidRDefault="00133B84" w:rsidP="00110172">
            <w:pPr>
              <w:pStyle w:val="FigureTitle"/>
            </w:pPr>
            <w:r w:rsidRPr="00141D36">
              <w:rPr>
                <w:b w:val="0"/>
              </w:rPr>
              <w:t>Figure 5.</w:t>
            </w:r>
            <w:r w:rsidR="00110172" w:rsidRPr="00141D36">
              <w:rPr>
                <w:b w:val="0"/>
                <w:noProof/>
              </w:rPr>
              <w:t>20</w:t>
            </w:r>
            <w:r w:rsidRPr="00141D36">
              <w:tab/>
              <w:t>Qualifications completed in diploma and above, by target age group and Indigenous status, 2012</w:t>
            </w:r>
            <w:r w:rsidRPr="00141D36">
              <w:rPr>
                <w:rStyle w:val="NoteLabel"/>
                <w:b/>
              </w:rPr>
              <w:t>a, b, c, d, e</w:t>
            </w:r>
          </w:p>
        </w:tc>
      </w:tr>
      <w:tr w:rsidR="00133B84" w:rsidRPr="00141D36" w:rsidTr="00133B84">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33B84" w:rsidRPr="00141D36" w:rsidTr="00133B84">
              <w:tc>
                <w:tcPr>
                  <w:tcW w:w="5000" w:type="pct"/>
                  <w:tcBorders>
                    <w:top w:val="nil"/>
                    <w:bottom w:val="nil"/>
                  </w:tcBorders>
                </w:tcPr>
                <w:p w:rsidR="00133B84" w:rsidRPr="00141D36" w:rsidRDefault="00133B84" w:rsidP="00133B84">
                  <w:pPr>
                    <w:pStyle w:val="Figure"/>
                    <w:spacing w:before="60" w:after="60"/>
                  </w:pPr>
                  <w:r w:rsidRPr="00141D36">
                    <w:rPr>
                      <w:noProof/>
                    </w:rPr>
                    <w:drawing>
                      <wp:inline distT="0" distB="0" distL="0" distR="0" wp14:anchorId="154F35B0" wp14:editId="1ACB4FEC">
                        <wp:extent cx="5391150" cy="1866900"/>
                        <wp:effectExtent l="0" t="0" r="0" b="0"/>
                        <wp:docPr id="53" name="Picture 53" descr="Figure 5.43 Qualifications completed in diploma and above, by target age group and Aboriginal and Torres Strait Islander status, 2012&#10;&#10;15-64 year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91150" cy="1866900"/>
                                </a:xfrm>
                                <a:prstGeom prst="rect">
                                  <a:avLst/>
                                </a:prstGeom>
                                <a:noFill/>
                                <a:ln>
                                  <a:noFill/>
                                </a:ln>
                              </pic:spPr>
                            </pic:pic>
                          </a:graphicData>
                        </a:graphic>
                      </wp:inline>
                    </w:drawing>
                  </w:r>
                  <w:r w:rsidRPr="00141D36">
                    <w:br/>
                  </w:r>
                  <w:r w:rsidRPr="00141D36">
                    <w:rPr>
                      <w:noProof/>
                    </w:rPr>
                    <w:drawing>
                      <wp:inline distT="0" distB="0" distL="0" distR="0" wp14:anchorId="04C5BFF1" wp14:editId="316144A9">
                        <wp:extent cx="5391150" cy="1866900"/>
                        <wp:effectExtent l="0" t="0" r="0" b="0"/>
                        <wp:docPr id="54" name="Picture 54" descr="Figure 5.43 Qualifications completed in diploma and above, by target age group and Aboriginal and Torres Strait Islander status, 2012&#10;&#10;18-24 year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91150" cy="1866900"/>
                                </a:xfrm>
                                <a:prstGeom prst="rect">
                                  <a:avLst/>
                                </a:prstGeom>
                                <a:noFill/>
                                <a:ln>
                                  <a:noFill/>
                                </a:ln>
                              </pic:spPr>
                            </pic:pic>
                          </a:graphicData>
                        </a:graphic>
                      </wp:inline>
                    </w:drawing>
                  </w:r>
                  <w:r w:rsidRPr="00141D36">
                    <w:br/>
                  </w:r>
                  <w:r w:rsidRPr="00141D36">
                    <w:rPr>
                      <w:noProof/>
                    </w:rPr>
                    <w:drawing>
                      <wp:inline distT="0" distB="0" distL="0" distR="0" wp14:anchorId="7B93E580" wp14:editId="73D86518">
                        <wp:extent cx="5391150" cy="2162175"/>
                        <wp:effectExtent l="0" t="0" r="0" b="9525"/>
                        <wp:docPr id="55" name="Picture 55" descr="Figure 5.43 Qualifications completed in diploma and above, by target age group and Aboriginal and Torres Strait Islander status, 2012&#10;&#10;20-64 year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391150" cy="2162175"/>
                                </a:xfrm>
                                <a:prstGeom prst="rect">
                                  <a:avLst/>
                                </a:prstGeom>
                                <a:noFill/>
                                <a:ln>
                                  <a:noFill/>
                                </a:ln>
                              </pic:spPr>
                            </pic:pic>
                          </a:graphicData>
                        </a:graphic>
                      </wp:inline>
                    </w:drawing>
                  </w:r>
                </w:p>
              </w:tc>
            </w:tr>
          </w:tbl>
          <w:p w:rsidR="00133B84" w:rsidRPr="00141D36" w:rsidRDefault="00133B84" w:rsidP="00133B84">
            <w:pPr>
              <w:pStyle w:val="Figure"/>
            </w:pPr>
          </w:p>
        </w:tc>
      </w:tr>
      <w:tr w:rsidR="00133B84" w:rsidRPr="00141D36" w:rsidTr="00133B84">
        <w:tc>
          <w:tcPr>
            <w:tcW w:w="8771" w:type="dxa"/>
            <w:tcBorders>
              <w:top w:val="nil"/>
              <w:left w:val="nil"/>
              <w:bottom w:val="nil"/>
              <w:right w:val="nil"/>
            </w:tcBorders>
            <w:shd w:val="clear" w:color="auto" w:fill="auto"/>
          </w:tcPr>
          <w:p w:rsidR="00133B84" w:rsidRPr="00141D36" w:rsidRDefault="00133B84" w:rsidP="000A67E7">
            <w:pPr>
              <w:pStyle w:val="Note"/>
            </w:pPr>
            <w:r w:rsidRPr="00141D36">
              <w:rPr>
                <w:rStyle w:val="NoteLabel"/>
              </w:rPr>
              <w:t>a</w:t>
            </w:r>
            <w:r w:rsidRPr="00141D36">
              <w:t xml:space="preserve"> Qualifications completed includes courses accredited or approved by a local State or Territory authority and represents students eligible to be awarded a qualification. </w:t>
            </w:r>
            <w:r w:rsidRPr="00141D36">
              <w:rPr>
                <w:rStyle w:val="NoteLabel"/>
              </w:rPr>
              <w:t>b</w:t>
            </w:r>
            <w:r w:rsidRPr="00141D36">
              <w:t xml:space="preserve"> The number of qualifications completed includes both government funded and non-government funded VET students.</w:t>
            </w:r>
            <w:r w:rsidRPr="00141D36">
              <w:rPr>
                <w:rStyle w:val="NoteLabel"/>
              </w:rPr>
              <w:t xml:space="preserve"> c</w:t>
            </w:r>
            <w:r w:rsidRPr="00141D36">
              <w:t xml:space="preserve"> Course levels classified as diploma and above are included in the group of courses classified as certificate III and above. </w:t>
            </w:r>
            <w:r w:rsidRPr="00141D36">
              <w:rPr>
                <w:rStyle w:val="NoteLabel"/>
              </w:rPr>
              <w:t>d</w:t>
            </w:r>
            <w:r w:rsidRPr="00141D36">
              <w:t xml:space="preserve"> Aboriginal and Torres Strait Islander students are defined as those who self-identify on enrolment forms that they are of Aboriginal and/or Torres Strait Islander background. Care should be taken in comparing qualifications completed due to the high non-response rates in some jurisdictions (table </w:t>
            </w:r>
            <w:proofErr w:type="spellStart"/>
            <w:r w:rsidRPr="00141D36">
              <w:t>4A.79</w:t>
            </w:r>
            <w:proofErr w:type="spellEnd"/>
            <w:r w:rsidRPr="00141D36">
              <w:t>)</w:t>
            </w:r>
            <w:r w:rsidR="000A67E7" w:rsidRPr="00141D36">
              <w:t xml:space="preserve">. </w:t>
            </w:r>
            <w:r w:rsidRPr="00141D36">
              <w:rPr>
                <w:rStyle w:val="NoteLabel"/>
              </w:rPr>
              <w:t>e</w:t>
            </w:r>
            <w:r w:rsidRPr="00141D36">
              <w:t xml:space="preserve"> No qualifications were recorded as having been completed in diploma and above by Aboriginal and Torres Strait Islander graduates aged 18</w:t>
            </w:r>
            <w:r w:rsidR="000A67E7" w:rsidRPr="00141D36">
              <w:t>–</w:t>
            </w:r>
            <w:r w:rsidRPr="00141D36">
              <w:t>24 years in the NT in 2011.</w:t>
            </w:r>
          </w:p>
        </w:tc>
      </w:tr>
      <w:tr w:rsidR="00133B84" w:rsidRPr="00141D36" w:rsidTr="00133B84">
        <w:tc>
          <w:tcPr>
            <w:tcW w:w="8771" w:type="dxa"/>
            <w:tcBorders>
              <w:top w:val="nil"/>
              <w:left w:val="nil"/>
              <w:bottom w:val="nil"/>
              <w:right w:val="nil"/>
            </w:tcBorders>
            <w:shd w:val="clear" w:color="auto" w:fill="auto"/>
          </w:tcPr>
          <w:p w:rsidR="00133B84" w:rsidRPr="00141D36" w:rsidRDefault="00133B84" w:rsidP="0012015B">
            <w:pPr>
              <w:pStyle w:val="Source"/>
            </w:pPr>
            <w:r w:rsidRPr="00141D36">
              <w:rPr>
                <w:i/>
              </w:rPr>
              <w:t>Source</w:t>
            </w:r>
            <w:r w:rsidRPr="00141D36">
              <w:t xml:space="preserve">: </w:t>
            </w:r>
            <w:proofErr w:type="spellStart"/>
            <w:r w:rsidRPr="00141D36">
              <w:t>NCVER</w:t>
            </w:r>
            <w:proofErr w:type="spellEnd"/>
            <w:r w:rsidRPr="00141D36">
              <w:t xml:space="preserve"> (unpublished) National VET pr</w:t>
            </w:r>
            <w:r w:rsidR="00110172" w:rsidRPr="00141D36">
              <w:t xml:space="preserve">ovider collection; table </w:t>
            </w:r>
            <w:proofErr w:type="spellStart"/>
            <w:r w:rsidR="00110172" w:rsidRPr="00141D36">
              <w:t>5A.84</w:t>
            </w:r>
            <w:proofErr w:type="spellEnd"/>
            <w:r w:rsidR="00110172" w:rsidRPr="00141D36">
              <w:t xml:space="preserve">; 2015 Report, figure 5.44, </w:t>
            </w:r>
            <w:r w:rsidR="00110172" w:rsidRPr="00141D36">
              <w:br/>
              <w:t>p. 5.</w:t>
            </w:r>
            <w:r w:rsidR="0012015B" w:rsidRPr="00141D36">
              <w:t>73</w:t>
            </w:r>
            <w:r w:rsidR="00110172" w:rsidRPr="00141D36">
              <w:t>.</w:t>
            </w:r>
          </w:p>
        </w:tc>
      </w:tr>
      <w:tr w:rsidR="00133B84" w:rsidRPr="00141D36" w:rsidTr="00133B84">
        <w:tc>
          <w:tcPr>
            <w:tcW w:w="8771" w:type="dxa"/>
            <w:tcBorders>
              <w:top w:val="nil"/>
              <w:left w:val="nil"/>
              <w:bottom w:val="single" w:sz="6" w:space="0" w:color="78A22F"/>
              <w:right w:val="nil"/>
            </w:tcBorders>
            <w:shd w:val="clear" w:color="auto" w:fill="auto"/>
          </w:tcPr>
          <w:p w:rsidR="00133B84" w:rsidRPr="00141D36" w:rsidRDefault="00133B84" w:rsidP="00133B84">
            <w:pPr>
              <w:pStyle w:val="Figurespace"/>
            </w:pPr>
          </w:p>
        </w:tc>
      </w:tr>
      <w:tr w:rsidR="007664DC" w:rsidRPr="00141D36" w:rsidTr="00133B84">
        <w:tc>
          <w:tcPr>
            <w:tcW w:w="8771" w:type="dxa"/>
            <w:tcBorders>
              <w:top w:val="single" w:sz="6" w:space="0" w:color="78A22F"/>
              <w:left w:val="nil"/>
              <w:bottom w:val="nil"/>
              <w:right w:val="nil"/>
            </w:tcBorders>
          </w:tcPr>
          <w:p w:rsidR="007664DC" w:rsidRPr="00141D36" w:rsidRDefault="007664DC" w:rsidP="00D57D33">
            <w:pPr>
              <w:pStyle w:val="BoxSpaceBelow"/>
            </w:pPr>
          </w:p>
        </w:tc>
      </w:tr>
    </w:tbl>
    <w:p w:rsidR="00133B84" w:rsidRPr="00141D36" w:rsidRDefault="00133B84" w:rsidP="00133B84">
      <w:pPr>
        <w:pStyle w:val="Heading6"/>
      </w:pPr>
      <w:r w:rsidRPr="00141D36">
        <w:lastRenderedPageBreak/>
        <w:t>Skill outputs from VET — units of competency and modules completed</w:t>
      </w:r>
    </w:p>
    <w:p w:rsidR="00133B84" w:rsidRPr="00141D36" w:rsidRDefault="000A67E7" w:rsidP="00133B84">
      <w:pPr>
        <w:pStyle w:val="BodyText"/>
      </w:pPr>
      <w:r w:rsidRPr="00141D36">
        <w:t xml:space="preserve">Nationally, government </w:t>
      </w:r>
      <w:r w:rsidR="00133B84" w:rsidRPr="00141D36">
        <w:t>funded Aboriginal and Torres Strait Islander VET stude</w:t>
      </w:r>
      <w:r w:rsidR="00110172" w:rsidRPr="00141D36">
        <w:t xml:space="preserve">nts completed approximately </w:t>
      </w:r>
      <w:r w:rsidR="0012015B" w:rsidRPr="00141D36">
        <w:t>400 </w:t>
      </w:r>
      <w:r w:rsidR="00133B84" w:rsidRPr="00141D36">
        <w:t>718 modules and unit</w:t>
      </w:r>
      <w:r w:rsidR="00110172" w:rsidRPr="00141D36">
        <w:t xml:space="preserve">s of competency in 2013, a </w:t>
      </w:r>
      <w:r w:rsidR="00110172" w:rsidRPr="00141D36">
        <w:br/>
        <w:t xml:space="preserve">17.8 per </w:t>
      </w:r>
      <w:r w:rsidR="00133B84" w:rsidRPr="00141D36">
        <w:t xml:space="preserve">cent increase from 340 059 units in 2009 (table </w:t>
      </w:r>
      <w:proofErr w:type="spellStart"/>
      <w:r w:rsidR="00133B84" w:rsidRPr="00141D36">
        <w:t>5A.90</w:t>
      </w:r>
      <w:proofErr w:type="spellEnd"/>
      <w:r w:rsidR="00133B84" w:rsidRPr="00141D36">
        <w:t>). Trends in the number of units of competency and number of modules completed by Aboriginal and Torres Strait Islander students varied across jurisdictions (figure 5.</w:t>
      </w:r>
      <w:r w:rsidR="00110172" w:rsidRPr="00141D36">
        <w:t>21</w:t>
      </w:r>
      <w:r w:rsidR="00133B84" w:rsidRPr="00141D36">
        <w:t>).</w:t>
      </w:r>
    </w:p>
    <w:p w:rsidR="00133B84" w:rsidRPr="00141D36" w:rsidRDefault="00133B84" w:rsidP="00133B8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33B84" w:rsidRPr="00141D36" w:rsidTr="00133B84">
        <w:tc>
          <w:tcPr>
            <w:tcW w:w="8771" w:type="dxa"/>
            <w:tcBorders>
              <w:top w:val="single" w:sz="6" w:space="0" w:color="78A22F"/>
              <w:left w:val="nil"/>
              <w:bottom w:val="nil"/>
              <w:right w:val="nil"/>
            </w:tcBorders>
            <w:shd w:val="clear" w:color="auto" w:fill="auto"/>
          </w:tcPr>
          <w:p w:rsidR="00133B84" w:rsidRPr="00141D36" w:rsidRDefault="00133B84" w:rsidP="00110172">
            <w:pPr>
              <w:pStyle w:val="FigureTitle"/>
            </w:pPr>
            <w:r w:rsidRPr="00141D36">
              <w:rPr>
                <w:b w:val="0"/>
              </w:rPr>
              <w:t>Figure 5.</w:t>
            </w:r>
            <w:r w:rsidR="00110172" w:rsidRPr="00141D36">
              <w:rPr>
                <w:b w:val="0"/>
                <w:noProof/>
              </w:rPr>
              <w:t>21</w:t>
            </w:r>
            <w:r w:rsidRPr="00141D36">
              <w:tab/>
              <w:t>Units of competency and modules completed, Aboriginal and Torres Strait Islander students</w:t>
            </w:r>
            <w:r w:rsidRPr="00141D36">
              <w:rPr>
                <w:rStyle w:val="NoteLabel"/>
                <w:b/>
              </w:rPr>
              <w:t>a</w:t>
            </w:r>
          </w:p>
        </w:tc>
      </w:tr>
      <w:tr w:rsidR="00133B84" w:rsidRPr="00141D36" w:rsidTr="00133B84">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33B84" w:rsidRPr="00141D36" w:rsidTr="00133B84">
              <w:tc>
                <w:tcPr>
                  <w:tcW w:w="5000" w:type="pct"/>
                  <w:tcBorders>
                    <w:top w:val="nil"/>
                    <w:bottom w:val="nil"/>
                  </w:tcBorders>
                </w:tcPr>
                <w:p w:rsidR="00133B84" w:rsidRPr="00141D36" w:rsidRDefault="00133B84" w:rsidP="00133B84">
                  <w:pPr>
                    <w:pStyle w:val="Figure"/>
                    <w:spacing w:before="60" w:after="60"/>
                  </w:pPr>
                  <w:r w:rsidRPr="00141D36">
                    <w:rPr>
                      <w:noProof/>
                    </w:rPr>
                    <w:drawing>
                      <wp:inline distT="0" distB="0" distL="0" distR="0" wp14:anchorId="4FAB44D3" wp14:editId="787C3D46">
                        <wp:extent cx="5391150" cy="2705100"/>
                        <wp:effectExtent l="0" t="0" r="0" b="0"/>
                        <wp:docPr id="57" name="Picture 57" descr="Figure 5.46 Units of competency and modules completed, Aboriginal and Torres Strait Islander student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391150" cy="2705100"/>
                                </a:xfrm>
                                <a:prstGeom prst="rect">
                                  <a:avLst/>
                                </a:prstGeom>
                                <a:noFill/>
                                <a:ln>
                                  <a:noFill/>
                                </a:ln>
                              </pic:spPr>
                            </pic:pic>
                          </a:graphicData>
                        </a:graphic>
                      </wp:inline>
                    </w:drawing>
                  </w:r>
                </w:p>
              </w:tc>
            </w:tr>
          </w:tbl>
          <w:p w:rsidR="00133B84" w:rsidRPr="00141D36" w:rsidRDefault="00133B84" w:rsidP="00133B84">
            <w:pPr>
              <w:pStyle w:val="Figure"/>
            </w:pPr>
          </w:p>
        </w:tc>
      </w:tr>
      <w:tr w:rsidR="00133B84" w:rsidRPr="00141D36" w:rsidTr="00133B84">
        <w:tc>
          <w:tcPr>
            <w:tcW w:w="8771" w:type="dxa"/>
            <w:tcBorders>
              <w:top w:val="nil"/>
              <w:left w:val="nil"/>
              <w:bottom w:val="nil"/>
              <w:right w:val="nil"/>
            </w:tcBorders>
            <w:shd w:val="clear" w:color="auto" w:fill="auto"/>
          </w:tcPr>
          <w:p w:rsidR="00133B84" w:rsidRPr="00141D36" w:rsidRDefault="00133B84" w:rsidP="00133B84">
            <w:pPr>
              <w:pStyle w:val="Note"/>
            </w:pPr>
            <w:r w:rsidRPr="00141D36">
              <w:rPr>
                <w:rStyle w:val="NoteLabel"/>
              </w:rPr>
              <w:t xml:space="preserve"> a</w:t>
            </w:r>
            <w:r w:rsidRPr="00141D36">
              <w:t xml:space="preserve"> Data are for government funded VET students.</w:t>
            </w:r>
          </w:p>
        </w:tc>
      </w:tr>
      <w:tr w:rsidR="00133B84" w:rsidRPr="00141D36" w:rsidTr="00133B84">
        <w:tc>
          <w:tcPr>
            <w:tcW w:w="8771" w:type="dxa"/>
            <w:tcBorders>
              <w:top w:val="nil"/>
              <w:left w:val="nil"/>
              <w:bottom w:val="nil"/>
              <w:right w:val="nil"/>
            </w:tcBorders>
            <w:shd w:val="clear" w:color="auto" w:fill="auto"/>
          </w:tcPr>
          <w:p w:rsidR="00133B84" w:rsidRPr="00141D36" w:rsidRDefault="00133B84" w:rsidP="0012015B">
            <w:pPr>
              <w:pStyle w:val="Source"/>
            </w:pPr>
            <w:r w:rsidRPr="00141D36">
              <w:rPr>
                <w:i/>
              </w:rPr>
              <w:t>Source</w:t>
            </w:r>
            <w:r w:rsidRPr="00141D36">
              <w:t xml:space="preserve">: </w:t>
            </w:r>
            <w:proofErr w:type="spellStart"/>
            <w:r w:rsidRPr="00141D36">
              <w:t>NCVER</w:t>
            </w:r>
            <w:proofErr w:type="spellEnd"/>
            <w:r w:rsidRPr="00141D36">
              <w:t xml:space="preserve"> (unpublished) National VET p</w:t>
            </w:r>
            <w:r w:rsidR="00110172" w:rsidRPr="00141D36">
              <w:t xml:space="preserve">rovider collection; table </w:t>
            </w:r>
            <w:proofErr w:type="spellStart"/>
            <w:r w:rsidR="00110172" w:rsidRPr="00141D36">
              <w:t>5A.90</w:t>
            </w:r>
            <w:proofErr w:type="spellEnd"/>
            <w:r w:rsidR="00110172" w:rsidRPr="00141D36">
              <w:t>; 2015 Report, figure 5.</w:t>
            </w:r>
            <w:r w:rsidR="0012015B" w:rsidRPr="00141D36">
              <w:t>46</w:t>
            </w:r>
            <w:r w:rsidR="00110172" w:rsidRPr="00141D36">
              <w:t xml:space="preserve">, </w:t>
            </w:r>
            <w:r w:rsidR="00110172" w:rsidRPr="00141D36">
              <w:br/>
              <w:t>p. 5.</w:t>
            </w:r>
            <w:r w:rsidR="0012015B" w:rsidRPr="00141D36">
              <w:t>75</w:t>
            </w:r>
            <w:r w:rsidR="00110172" w:rsidRPr="00141D36">
              <w:t>.</w:t>
            </w:r>
          </w:p>
        </w:tc>
      </w:tr>
      <w:tr w:rsidR="00133B84" w:rsidRPr="00141D36" w:rsidTr="00133B84">
        <w:tc>
          <w:tcPr>
            <w:tcW w:w="8771" w:type="dxa"/>
            <w:tcBorders>
              <w:top w:val="nil"/>
              <w:left w:val="nil"/>
              <w:bottom w:val="single" w:sz="6" w:space="0" w:color="78A22F"/>
              <w:right w:val="nil"/>
            </w:tcBorders>
            <w:shd w:val="clear" w:color="auto" w:fill="auto"/>
          </w:tcPr>
          <w:p w:rsidR="00133B84" w:rsidRPr="00141D36" w:rsidRDefault="00133B84" w:rsidP="00133B84">
            <w:pPr>
              <w:pStyle w:val="Figurespace"/>
            </w:pPr>
          </w:p>
        </w:tc>
      </w:tr>
      <w:tr w:rsidR="007664DC" w:rsidRPr="00141D36" w:rsidTr="00133B84">
        <w:tc>
          <w:tcPr>
            <w:tcW w:w="8771" w:type="dxa"/>
            <w:tcBorders>
              <w:top w:val="single" w:sz="6" w:space="0" w:color="78A22F"/>
              <w:left w:val="nil"/>
              <w:bottom w:val="nil"/>
              <w:right w:val="nil"/>
            </w:tcBorders>
          </w:tcPr>
          <w:p w:rsidR="007664DC" w:rsidRPr="00141D36" w:rsidRDefault="007664DC" w:rsidP="00D57D33">
            <w:pPr>
              <w:pStyle w:val="BoxSpaceBelow"/>
            </w:pPr>
          </w:p>
        </w:tc>
      </w:tr>
    </w:tbl>
    <w:p w:rsidR="00133B84" w:rsidRPr="00141D36" w:rsidRDefault="00133B84" w:rsidP="00133B84">
      <w:pPr>
        <w:pStyle w:val="Heading6"/>
      </w:pPr>
      <w:r w:rsidRPr="00141D36">
        <w:t>Skill outputs from VET — Qualification Equivalents</w:t>
      </w:r>
    </w:p>
    <w:p w:rsidR="00133B84" w:rsidRPr="00141D36" w:rsidRDefault="00133B84" w:rsidP="00133B84">
      <w:pPr>
        <w:pStyle w:val="BodyText"/>
      </w:pPr>
      <w:r w:rsidRPr="00141D36">
        <w:t>Nationally, government funded Aboriginal and Torres Strait Islander VET students unde</w:t>
      </w:r>
      <w:r w:rsidR="002F35E2" w:rsidRPr="00141D36">
        <w:t>rtook training equivalent to 24</w:t>
      </w:r>
      <w:r w:rsidR="000A67E7" w:rsidRPr="00141D36">
        <w:t> </w:t>
      </w:r>
      <w:r w:rsidRPr="00141D36">
        <w:t>891 VET qualificati</w:t>
      </w:r>
      <w:r w:rsidR="002F35E2" w:rsidRPr="00141D36">
        <w:t xml:space="preserve">ons in 2013, a decrease from </w:t>
      </w:r>
      <w:r w:rsidR="002F35E2" w:rsidRPr="00141D36">
        <w:br/>
        <w:t>26</w:t>
      </w:r>
      <w:r w:rsidR="000A67E7" w:rsidRPr="00141D36">
        <w:t> </w:t>
      </w:r>
      <w:r w:rsidRPr="00141D36">
        <w:t>812 i</w:t>
      </w:r>
      <w:r w:rsidR="002F35E2" w:rsidRPr="00141D36">
        <w:t>n 2012, but an increase from 19</w:t>
      </w:r>
      <w:r w:rsidR="000A67E7" w:rsidRPr="00141D36">
        <w:t> </w:t>
      </w:r>
      <w:r w:rsidRPr="00141D36">
        <w:t xml:space="preserve">675 in 2009. The change from 2009 to 2013 represents a 26.5 per cent increase (compared with a 41.4 per cent increase for all government funded students over the same period) (table </w:t>
      </w:r>
      <w:proofErr w:type="spellStart"/>
      <w:r w:rsidRPr="00141D36">
        <w:t>5A.85</w:t>
      </w:r>
      <w:proofErr w:type="spellEnd"/>
      <w:r w:rsidRPr="00141D36">
        <w:t>). The number of Qualification Equivalents varied across jurisdictions (figure 5.</w:t>
      </w:r>
      <w:r w:rsidR="002F35E2" w:rsidRPr="00141D36">
        <w:t>22</w:t>
      </w:r>
      <w:r w:rsidRPr="00141D36">
        <w:t>).</w:t>
      </w:r>
    </w:p>
    <w:p w:rsidR="00133B84" w:rsidRPr="00141D36" w:rsidRDefault="00133B84" w:rsidP="00133B8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33B84" w:rsidRPr="00141D36" w:rsidTr="00133B84">
        <w:tc>
          <w:tcPr>
            <w:tcW w:w="8771" w:type="dxa"/>
            <w:tcBorders>
              <w:top w:val="single" w:sz="6" w:space="0" w:color="78A22F"/>
              <w:left w:val="nil"/>
              <w:bottom w:val="nil"/>
              <w:right w:val="nil"/>
            </w:tcBorders>
            <w:shd w:val="clear" w:color="auto" w:fill="auto"/>
          </w:tcPr>
          <w:p w:rsidR="00133B84" w:rsidRPr="00141D36" w:rsidRDefault="00133B84" w:rsidP="002F35E2">
            <w:pPr>
              <w:pStyle w:val="FigureTitle"/>
            </w:pPr>
            <w:r w:rsidRPr="00141D36">
              <w:rPr>
                <w:b w:val="0"/>
              </w:rPr>
              <w:t>Figure 5.</w:t>
            </w:r>
            <w:r w:rsidR="002F35E2" w:rsidRPr="00141D36">
              <w:rPr>
                <w:b w:val="0"/>
                <w:noProof/>
              </w:rPr>
              <w:t>22</w:t>
            </w:r>
            <w:r w:rsidRPr="00141D36">
              <w:tab/>
              <w:t>Qualification Equivalents, Aboriginal and Torres Strait Islander students, 2013</w:t>
            </w:r>
            <w:r w:rsidRPr="00141D36">
              <w:rPr>
                <w:rStyle w:val="NoteLabel"/>
                <w:b/>
              </w:rPr>
              <w:t>a</w:t>
            </w:r>
          </w:p>
        </w:tc>
      </w:tr>
      <w:tr w:rsidR="00133B84" w:rsidRPr="00141D36" w:rsidTr="00133B84">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33B84" w:rsidRPr="00141D36" w:rsidTr="00133B84">
              <w:tc>
                <w:tcPr>
                  <w:tcW w:w="5000" w:type="pct"/>
                  <w:tcBorders>
                    <w:top w:val="nil"/>
                    <w:bottom w:val="nil"/>
                  </w:tcBorders>
                </w:tcPr>
                <w:p w:rsidR="00133B84" w:rsidRPr="00141D36" w:rsidRDefault="00133B84" w:rsidP="00133B84">
                  <w:pPr>
                    <w:pStyle w:val="Figure"/>
                    <w:spacing w:before="60" w:after="60"/>
                  </w:pPr>
                  <w:r w:rsidRPr="00141D36">
                    <w:rPr>
                      <w:noProof/>
                    </w:rPr>
                    <w:drawing>
                      <wp:inline distT="0" distB="0" distL="0" distR="0" wp14:anchorId="5147927A" wp14:editId="41CB2950">
                        <wp:extent cx="5391150" cy="2705100"/>
                        <wp:effectExtent l="0" t="0" r="0" b="0"/>
                        <wp:docPr id="61" name="Picture 61" descr="Figure 5.49 Qualification Equivalents, Aboriginal and Torres Strait Islander students, 20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391150" cy="2705100"/>
                                </a:xfrm>
                                <a:prstGeom prst="rect">
                                  <a:avLst/>
                                </a:prstGeom>
                                <a:noFill/>
                                <a:ln>
                                  <a:noFill/>
                                </a:ln>
                              </pic:spPr>
                            </pic:pic>
                          </a:graphicData>
                        </a:graphic>
                      </wp:inline>
                    </w:drawing>
                  </w:r>
                </w:p>
              </w:tc>
            </w:tr>
          </w:tbl>
          <w:p w:rsidR="00133B84" w:rsidRPr="00141D36" w:rsidRDefault="00133B84" w:rsidP="00133B84">
            <w:pPr>
              <w:pStyle w:val="Figure"/>
            </w:pPr>
          </w:p>
        </w:tc>
      </w:tr>
      <w:tr w:rsidR="00133B84" w:rsidRPr="00141D36" w:rsidTr="00133B84">
        <w:tc>
          <w:tcPr>
            <w:tcW w:w="8771" w:type="dxa"/>
            <w:tcBorders>
              <w:top w:val="nil"/>
              <w:left w:val="nil"/>
              <w:bottom w:val="nil"/>
              <w:right w:val="nil"/>
            </w:tcBorders>
            <w:shd w:val="clear" w:color="auto" w:fill="auto"/>
          </w:tcPr>
          <w:p w:rsidR="00133B84" w:rsidRPr="00141D36" w:rsidRDefault="00133B84" w:rsidP="00133B84">
            <w:pPr>
              <w:pStyle w:val="Note"/>
            </w:pPr>
            <w:r w:rsidRPr="00141D36">
              <w:rPr>
                <w:rStyle w:val="NoteLabel"/>
              </w:rPr>
              <w:t>a</w:t>
            </w:r>
            <w:r w:rsidRPr="00141D36">
              <w:t xml:space="preserve"> Data are for government funded VET students.</w:t>
            </w:r>
          </w:p>
        </w:tc>
      </w:tr>
      <w:tr w:rsidR="00133B84" w:rsidRPr="00141D36" w:rsidTr="00133B84">
        <w:tc>
          <w:tcPr>
            <w:tcW w:w="8771" w:type="dxa"/>
            <w:tcBorders>
              <w:top w:val="nil"/>
              <w:left w:val="nil"/>
              <w:bottom w:val="nil"/>
              <w:right w:val="nil"/>
            </w:tcBorders>
            <w:shd w:val="clear" w:color="auto" w:fill="auto"/>
          </w:tcPr>
          <w:p w:rsidR="00133B84" w:rsidRPr="00141D36" w:rsidRDefault="00133B84" w:rsidP="0012015B">
            <w:pPr>
              <w:pStyle w:val="Source"/>
            </w:pPr>
            <w:r w:rsidRPr="00141D36">
              <w:rPr>
                <w:i/>
              </w:rPr>
              <w:t>Source</w:t>
            </w:r>
            <w:r w:rsidRPr="00141D36">
              <w:t xml:space="preserve">: </w:t>
            </w:r>
            <w:proofErr w:type="spellStart"/>
            <w:r w:rsidRPr="00141D36">
              <w:t>NCVER</w:t>
            </w:r>
            <w:proofErr w:type="spellEnd"/>
            <w:r w:rsidRPr="00141D36">
              <w:t xml:space="preserve"> (unpublished) National VET p</w:t>
            </w:r>
            <w:r w:rsidR="002F35E2" w:rsidRPr="00141D36">
              <w:t xml:space="preserve">rovider collection; table </w:t>
            </w:r>
            <w:proofErr w:type="spellStart"/>
            <w:r w:rsidR="002F35E2" w:rsidRPr="00141D36">
              <w:t>5A.85</w:t>
            </w:r>
            <w:proofErr w:type="spellEnd"/>
            <w:r w:rsidR="002F35E2" w:rsidRPr="00141D36">
              <w:t>; 2015 Report, figure 5.</w:t>
            </w:r>
            <w:r w:rsidR="0012015B" w:rsidRPr="00141D36">
              <w:t>49</w:t>
            </w:r>
            <w:r w:rsidR="002F35E2" w:rsidRPr="00141D36">
              <w:t xml:space="preserve">, </w:t>
            </w:r>
            <w:r w:rsidR="002F35E2" w:rsidRPr="00141D36">
              <w:br/>
              <w:t>p. 5.</w:t>
            </w:r>
            <w:r w:rsidR="0012015B" w:rsidRPr="00141D36">
              <w:t>77</w:t>
            </w:r>
            <w:r w:rsidR="002F35E2" w:rsidRPr="00141D36">
              <w:t>.</w:t>
            </w:r>
          </w:p>
        </w:tc>
      </w:tr>
      <w:tr w:rsidR="00133B84" w:rsidRPr="00141D36" w:rsidTr="00133B84">
        <w:tc>
          <w:tcPr>
            <w:tcW w:w="8771" w:type="dxa"/>
            <w:tcBorders>
              <w:top w:val="nil"/>
              <w:left w:val="nil"/>
              <w:bottom w:val="single" w:sz="6" w:space="0" w:color="78A22F"/>
              <w:right w:val="nil"/>
            </w:tcBorders>
            <w:shd w:val="clear" w:color="auto" w:fill="auto"/>
          </w:tcPr>
          <w:p w:rsidR="00133B84" w:rsidRPr="00141D36" w:rsidRDefault="00133B84" w:rsidP="00133B84">
            <w:pPr>
              <w:pStyle w:val="Figurespace"/>
            </w:pPr>
          </w:p>
        </w:tc>
      </w:tr>
      <w:tr w:rsidR="007664DC" w:rsidRPr="00141D36" w:rsidTr="00133B84">
        <w:tc>
          <w:tcPr>
            <w:tcW w:w="8771" w:type="dxa"/>
            <w:tcBorders>
              <w:top w:val="single" w:sz="6" w:space="0" w:color="78A22F"/>
              <w:left w:val="nil"/>
              <w:bottom w:val="nil"/>
              <w:right w:val="nil"/>
            </w:tcBorders>
          </w:tcPr>
          <w:p w:rsidR="007664DC" w:rsidRPr="00141D36" w:rsidRDefault="007664DC" w:rsidP="00D57D33">
            <w:pPr>
              <w:pStyle w:val="BoxSpaceBelow"/>
            </w:pPr>
          </w:p>
        </w:tc>
      </w:tr>
    </w:tbl>
    <w:p w:rsidR="00133B84" w:rsidRPr="00141D36" w:rsidRDefault="00133B84" w:rsidP="0032295A">
      <w:pPr>
        <w:pStyle w:val="Heading3"/>
      </w:pPr>
      <w:bookmarkStart w:id="23" w:name="_Toc341279242"/>
      <w:bookmarkStart w:id="24" w:name="_Toc401829961"/>
      <w:bookmarkStart w:id="25" w:name="_Toc410731942"/>
      <w:r w:rsidRPr="00141D36">
        <w:t>Future directions in performance reporting</w:t>
      </w:r>
      <w:bookmarkEnd w:id="23"/>
      <w:bookmarkEnd w:id="24"/>
      <w:bookmarkEnd w:id="25"/>
    </w:p>
    <w:p w:rsidR="00133B84" w:rsidRPr="00141D36" w:rsidRDefault="00133B84" w:rsidP="0032295A">
      <w:pPr>
        <w:pStyle w:val="BodyText"/>
      </w:pPr>
      <w:r w:rsidRPr="00141D36">
        <w:t>Aspects of some VET indicators are not yet fully developed or comparable, and developments for future reports include</w:t>
      </w:r>
      <w:r w:rsidR="0032295A" w:rsidRPr="00141D36">
        <w:t xml:space="preserve"> </w:t>
      </w:r>
      <w:r w:rsidRPr="00141D36">
        <w:t>improving the quality of outcomes data for Aboriginal and Torres Strait Islander students</w:t>
      </w:r>
      <w:r w:rsidR="0032295A" w:rsidRPr="00141D36">
        <w:t>.</w:t>
      </w:r>
    </w:p>
    <w:p w:rsidR="00133B84" w:rsidRPr="00141D36" w:rsidRDefault="00133B84" w:rsidP="0032295A">
      <w:pPr>
        <w:pStyle w:val="Heading3"/>
        <w:rPr>
          <w:lang w:val="en-GB"/>
        </w:rPr>
      </w:pPr>
      <w:bookmarkStart w:id="26" w:name="_Toc341279244"/>
      <w:bookmarkStart w:id="27" w:name="_Toc401829963"/>
      <w:bookmarkStart w:id="28" w:name="_Toc410731943"/>
      <w:r w:rsidRPr="00141D36">
        <w:rPr>
          <w:lang w:val="en-GB"/>
        </w:rPr>
        <w:lastRenderedPageBreak/>
        <w:t>Definitions of key terms</w:t>
      </w:r>
      <w:bookmarkEnd w:id="26"/>
      <w:bookmarkEnd w:id="27"/>
      <w:bookmarkEnd w:id="28"/>
    </w:p>
    <w:tbl>
      <w:tblPr>
        <w:tblW w:w="0" w:type="auto"/>
        <w:tblInd w:w="108" w:type="dxa"/>
        <w:tblLook w:val="01E0" w:firstRow="1" w:lastRow="1" w:firstColumn="1" w:lastColumn="1" w:noHBand="0" w:noVBand="0"/>
      </w:tblPr>
      <w:tblGrid>
        <w:gridCol w:w="2410"/>
        <w:gridCol w:w="6379"/>
      </w:tblGrid>
      <w:tr w:rsidR="00133B84" w:rsidRPr="00141D36" w:rsidTr="00B44BB4">
        <w:tc>
          <w:tcPr>
            <w:tcW w:w="2410" w:type="dxa"/>
          </w:tcPr>
          <w:p w:rsidR="00133B84" w:rsidRPr="00141D36" w:rsidRDefault="00133B84" w:rsidP="00133B84">
            <w:pPr>
              <w:pStyle w:val="TableBodyText"/>
              <w:spacing w:before="60" w:after="60"/>
              <w:jc w:val="left"/>
              <w:rPr>
                <w:b/>
              </w:rPr>
            </w:pPr>
            <w:r w:rsidRPr="00141D36">
              <w:rPr>
                <w:b/>
              </w:rPr>
              <w:t>Annual hours</w:t>
            </w:r>
          </w:p>
        </w:tc>
        <w:tc>
          <w:tcPr>
            <w:tcW w:w="6379" w:type="dxa"/>
          </w:tcPr>
          <w:p w:rsidR="00133B84" w:rsidRPr="00141D36" w:rsidRDefault="00133B84" w:rsidP="00133B84">
            <w:pPr>
              <w:pStyle w:val="TableBodyText"/>
              <w:spacing w:before="60" w:after="60"/>
              <w:jc w:val="left"/>
            </w:pPr>
            <w:r w:rsidRPr="00141D36">
              <w:t>The total hours of delivery based on the standard nominal hour value for each subject undertaken. These represent the hours of supervised training under a traditional delivery strategy. Annual hours are adjusted to account for invalid module enrolments.</w:t>
            </w:r>
          </w:p>
        </w:tc>
      </w:tr>
      <w:tr w:rsidR="00133B84" w:rsidRPr="00141D36" w:rsidTr="00B44BB4">
        <w:tblPrEx>
          <w:tblLook w:val="0000" w:firstRow="0" w:lastRow="0" w:firstColumn="0" w:lastColumn="0" w:noHBand="0" w:noVBand="0"/>
        </w:tblPrEx>
        <w:trPr>
          <w:cantSplit/>
        </w:trPr>
        <w:tc>
          <w:tcPr>
            <w:tcW w:w="2410" w:type="dxa"/>
            <w:shd w:val="clear" w:color="auto" w:fill="auto"/>
          </w:tcPr>
          <w:p w:rsidR="00133B84" w:rsidRPr="00141D36" w:rsidRDefault="00133B84" w:rsidP="00133B84">
            <w:pPr>
              <w:pStyle w:val="TableBodyText"/>
              <w:jc w:val="left"/>
              <w:rPr>
                <w:b/>
              </w:rPr>
            </w:pPr>
            <w:r w:rsidRPr="00141D36">
              <w:rPr>
                <w:b/>
              </w:rPr>
              <w:t>Comparability</w:t>
            </w:r>
          </w:p>
        </w:tc>
        <w:tc>
          <w:tcPr>
            <w:tcW w:w="6379" w:type="dxa"/>
            <w:shd w:val="clear" w:color="auto" w:fill="auto"/>
          </w:tcPr>
          <w:p w:rsidR="00133B84" w:rsidRPr="00141D36" w:rsidRDefault="00133B84" w:rsidP="00133B84">
            <w:pPr>
              <w:pStyle w:val="TableBodyText"/>
              <w:spacing w:before="60" w:after="60"/>
              <w:jc w:val="left"/>
            </w:pPr>
            <w:r w:rsidRPr="00141D36">
              <w:t>Data are considered comparable if, (subject to caveats) they can be used to inform an assessment of comparative performance. Typically, data are considered comparable when they are collected in the same way and in accordance with the same definitions. For comparable indicators or measures, significant differences in reported results allow an assessment of differences in performance, rather than being the result of anomalies in the data.</w:t>
            </w:r>
          </w:p>
        </w:tc>
      </w:tr>
      <w:tr w:rsidR="00133B84" w:rsidRPr="00141D36" w:rsidTr="00B44BB4">
        <w:tc>
          <w:tcPr>
            <w:tcW w:w="2410" w:type="dxa"/>
          </w:tcPr>
          <w:p w:rsidR="00133B84" w:rsidRPr="00141D36" w:rsidRDefault="00133B84" w:rsidP="00133B84">
            <w:pPr>
              <w:pStyle w:val="TableBodyText"/>
              <w:spacing w:before="60" w:after="60"/>
              <w:jc w:val="left"/>
              <w:rPr>
                <w:b/>
              </w:rPr>
            </w:pPr>
            <w:r w:rsidRPr="00141D36">
              <w:rPr>
                <w:b/>
              </w:rPr>
              <w:t>Completions</w:t>
            </w:r>
          </w:p>
        </w:tc>
        <w:tc>
          <w:tcPr>
            <w:tcW w:w="6379" w:type="dxa"/>
          </w:tcPr>
          <w:p w:rsidR="00133B84" w:rsidRPr="00141D36" w:rsidRDefault="00133B84" w:rsidP="00133B84">
            <w:pPr>
              <w:pStyle w:val="TableBodyText"/>
              <w:spacing w:before="60" w:after="60"/>
              <w:jc w:val="left"/>
            </w:pPr>
            <w:r w:rsidRPr="00141D36">
              <w:t>Fulfilment of all of the requirements of a course enrolment or module enrolment. Completion of a qualification or course is indicated by acknowledging eligibility for a qualification (whether or not the student physically received the acknowledgment).</w:t>
            </w:r>
          </w:p>
          <w:p w:rsidR="00133B84" w:rsidRPr="00141D36" w:rsidRDefault="00133B84" w:rsidP="00133B84">
            <w:pPr>
              <w:pStyle w:val="TableBodyText"/>
              <w:spacing w:before="60" w:after="60"/>
              <w:jc w:val="left"/>
            </w:pPr>
            <w:r w:rsidRPr="00141D36">
              <w:t xml:space="preserve">Data on qualifications completed includes both government and </w:t>
            </w:r>
            <w:r w:rsidRPr="00141D36">
              <w:br/>
              <w:t>non-government funded VET students attending TAFE, and only government funded students from private providers</w:t>
            </w:r>
            <w:r w:rsidRPr="00141D36">
              <w:rPr>
                <w:shd w:val="pct25" w:color="auto" w:fill="auto"/>
              </w:rPr>
              <w:t>.</w:t>
            </w:r>
            <w:r w:rsidRPr="00141D36">
              <w:t xml:space="preserve"> This differs to other data under the outcome indicator ‘skill profile', such as data for units of competency and modules completed, which are reported for government-funded students only (in keeping with the scope of the VET chapter focusing on government-funded activity). This is due to a limitation of the data, that does not enable correct disaggregation of completions by funding source.</w:t>
            </w:r>
          </w:p>
        </w:tc>
      </w:tr>
      <w:tr w:rsidR="00133B84" w:rsidRPr="00141D36" w:rsidTr="00B44BB4">
        <w:tc>
          <w:tcPr>
            <w:tcW w:w="2410" w:type="dxa"/>
          </w:tcPr>
          <w:p w:rsidR="00133B84" w:rsidRPr="00141D36" w:rsidRDefault="00133B84" w:rsidP="00133B84">
            <w:pPr>
              <w:pStyle w:val="TableBodyText"/>
              <w:spacing w:before="60" w:after="60"/>
              <w:jc w:val="left"/>
              <w:rPr>
                <w:b/>
              </w:rPr>
            </w:pPr>
            <w:r w:rsidRPr="00141D36">
              <w:rPr>
                <w:b/>
              </w:rPr>
              <w:t>Course</w:t>
            </w:r>
          </w:p>
        </w:tc>
        <w:tc>
          <w:tcPr>
            <w:tcW w:w="6379" w:type="dxa"/>
          </w:tcPr>
          <w:p w:rsidR="00133B84" w:rsidRPr="00141D36" w:rsidRDefault="00133B84" w:rsidP="00133B84">
            <w:pPr>
              <w:pStyle w:val="TableBodyText"/>
              <w:spacing w:before="60" w:after="60"/>
              <w:jc w:val="left"/>
            </w:pPr>
            <w:r w:rsidRPr="00141D36">
              <w:t>A structured program of study that leads to the acquisition of identified competencies and includes assessment leading to a qualification.</w:t>
            </w:r>
          </w:p>
        </w:tc>
      </w:tr>
      <w:tr w:rsidR="00133B84" w:rsidRPr="00141D36" w:rsidTr="00B44BB4">
        <w:tc>
          <w:tcPr>
            <w:tcW w:w="2410" w:type="dxa"/>
          </w:tcPr>
          <w:p w:rsidR="00133B84" w:rsidRPr="00141D36" w:rsidRDefault="00133B84" w:rsidP="00133B84">
            <w:pPr>
              <w:pStyle w:val="TableBodyText"/>
              <w:spacing w:before="60" w:after="60"/>
              <w:jc w:val="left"/>
              <w:rPr>
                <w:b/>
              </w:rPr>
            </w:pPr>
            <w:r w:rsidRPr="00141D36">
              <w:rPr>
                <w:b/>
              </w:rPr>
              <w:t>Course mix weight</w:t>
            </w:r>
          </w:p>
        </w:tc>
        <w:tc>
          <w:tcPr>
            <w:tcW w:w="6379" w:type="dxa"/>
          </w:tcPr>
          <w:p w:rsidR="00133B84" w:rsidRPr="00141D36" w:rsidRDefault="00133B84" w:rsidP="00133B84">
            <w:pPr>
              <w:pStyle w:val="TableBodyText"/>
              <w:spacing w:before="60" w:after="60"/>
              <w:jc w:val="left"/>
            </w:pPr>
            <w:r w:rsidRPr="00141D36">
              <w:t>Expenditure per annual hour is weighted to recognise the different proportions of relatively more expensive and less expensive training programs which occur across jurisdictions. One method of calculating these course mix weights applies to all years in this Report. Under this method, cost relativities by subject field of education are applied to tabulations of annual hours by subject field of education and state/territory. A course mix weighting greater than 1.000 indicates that the State or Territory is offering relatively more expensive programs compared with the national profile.</w:t>
            </w:r>
          </w:p>
        </w:tc>
      </w:tr>
      <w:tr w:rsidR="00133B84" w:rsidRPr="00141D36" w:rsidTr="00B44BB4">
        <w:tc>
          <w:tcPr>
            <w:tcW w:w="2410" w:type="dxa"/>
          </w:tcPr>
          <w:p w:rsidR="00133B84" w:rsidRPr="00141D36" w:rsidRDefault="00133B84" w:rsidP="00133B84">
            <w:pPr>
              <w:pStyle w:val="TableBodyText"/>
              <w:spacing w:before="60" w:after="60"/>
              <w:jc w:val="left"/>
              <w:rPr>
                <w:b/>
              </w:rPr>
            </w:pPr>
            <w:r w:rsidRPr="00141D36">
              <w:rPr>
                <w:b/>
              </w:rPr>
              <w:t>Enrolment</w:t>
            </w:r>
          </w:p>
        </w:tc>
        <w:tc>
          <w:tcPr>
            <w:tcW w:w="6379" w:type="dxa"/>
          </w:tcPr>
          <w:p w:rsidR="00133B84" w:rsidRPr="00141D36" w:rsidRDefault="00133B84" w:rsidP="00133B84">
            <w:pPr>
              <w:pStyle w:val="TableBodyText"/>
              <w:spacing w:before="60" w:after="60"/>
              <w:jc w:val="left"/>
            </w:pPr>
            <w:r w:rsidRPr="00141D36">
              <w:t xml:space="preserve">The registration of a student at a training organisation’s delivery location for the purpose of undertaking a program of study. The enrolment is considered valid only if the student has undertaken enrolment procedures, met their fee obligations, and has engaged in learning activity regardless of the mode of delivery. </w:t>
            </w:r>
          </w:p>
          <w:p w:rsidR="00133B84" w:rsidRPr="00141D36" w:rsidRDefault="00133B84" w:rsidP="00133B84">
            <w:pPr>
              <w:pStyle w:val="TableBodyText"/>
              <w:spacing w:before="60" w:after="60"/>
              <w:jc w:val="left"/>
            </w:pPr>
            <w:r w:rsidRPr="00141D36">
              <w:t>A VET student may be enrolled in more than one VET training program, and therefore there are more ‘enrolments’ in the VET system than ‘students’. This may be of importance if comparing VET data in this chapter with other VET data.</w:t>
            </w:r>
          </w:p>
        </w:tc>
      </w:tr>
      <w:tr w:rsidR="00133B84" w:rsidRPr="00141D36" w:rsidTr="00B44BB4">
        <w:tc>
          <w:tcPr>
            <w:tcW w:w="2410" w:type="dxa"/>
          </w:tcPr>
          <w:p w:rsidR="00133B84" w:rsidRPr="00141D36" w:rsidRDefault="00133B84" w:rsidP="00133B84">
            <w:pPr>
              <w:pStyle w:val="TableBodyText"/>
              <w:spacing w:before="60" w:after="60"/>
              <w:jc w:val="left"/>
              <w:rPr>
                <w:b/>
              </w:rPr>
            </w:pPr>
            <w:r w:rsidRPr="00141D36">
              <w:rPr>
                <w:b/>
              </w:rPr>
              <w:t>Government funded VET students</w:t>
            </w:r>
          </w:p>
        </w:tc>
        <w:tc>
          <w:tcPr>
            <w:tcW w:w="6379" w:type="dxa"/>
          </w:tcPr>
          <w:p w:rsidR="00133B84" w:rsidRPr="00141D36" w:rsidRDefault="00133B84" w:rsidP="00133B84">
            <w:pPr>
              <w:spacing w:before="60" w:after="60"/>
              <w:rPr>
                <w:rFonts w:ascii="Arial" w:hAnsi="Arial"/>
                <w:sz w:val="18"/>
                <w:szCs w:val="18"/>
              </w:rPr>
            </w:pPr>
            <w:r w:rsidRPr="00141D36">
              <w:rPr>
                <w:rFonts w:ascii="Arial" w:hAnsi="Arial"/>
                <w:sz w:val="18"/>
                <w:szCs w:val="18"/>
              </w:rPr>
              <w:t xml:space="preserve">Government funded VET students who are funded under Commonwealth and State recurrent, Commonwealth specific and State specific funding. This includes activity funded under the </w:t>
            </w:r>
            <w:proofErr w:type="spellStart"/>
            <w:r w:rsidRPr="00141D36">
              <w:rPr>
                <w:rFonts w:ascii="Arial" w:hAnsi="Arial"/>
                <w:sz w:val="18"/>
                <w:szCs w:val="18"/>
              </w:rPr>
              <w:t>NASWD</w:t>
            </w:r>
            <w:proofErr w:type="spellEnd"/>
            <w:r w:rsidRPr="00141D36">
              <w:rPr>
                <w:rFonts w:ascii="Arial" w:hAnsi="Arial"/>
                <w:sz w:val="18"/>
                <w:szCs w:val="18"/>
              </w:rPr>
              <w:t>, and excludes students participating in VET programs delivered in schools (where the delivery was undertaken by schools) or who undertook ‘recreation, leisure or personal enrichment’ education programs. Fee for-service by private providers, delivery undertaken at overseas campuses of Australian VET institutions, and credit transfer are also excluded.</w:t>
            </w:r>
          </w:p>
        </w:tc>
      </w:tr>
      <w:tr w:rsidR="00133B84" w:rsidRPr="00141D36" w:rsidTr="00B44BB4">
        <w:tc>
          <w:tcPr>
            <w:tcW w:w="2410" w:type="dxa"/>
          </w:tcPr>
          <w:p w:rsidR="00133B84" w:rsidRPr="00141D36" w:rsidRDefault="00133B84" w:rsidP="00133B84">
            <w:pPr>
              <w:pStyle w:val="TableBodyText"/>
              <w:spacing w:before="60" w:after="60"/>
              <w:jc w:val="left"/>
              <w:rPr>
                <w:b/>
              </w:rPr>
            </w:pPr>
            <w:r w:rsidRPr="00141D36">
              <w:rPr>
                <w:b/>
              </w:rPr>
              <w:t>Graduate</w:t>
            </w:r>
          </w:p>
        </w:tc>
        <w:tc>
          <w:tcPr>
            <w:tcW w:w="6379" w:type="dxa"/>
          </w:tcPr>
          <w:p w:rsidR="00133B84" w:rsidRPr="00141D36" w:rsidRDefault="00133B84" w:rsidP="00133B84">
            <w:pPr>
              <w:pStyle w:val="TableBodyText"/>
              <w:spacing w:before="60" w:after="60"/>
              <w:jc w:val="left"/>
            </w:pPr>
            <w:r w:rsidRPr="00141D36">
              <w:t>A person who has completed a VET program.</w:t>
            </w:r>
          </w:p>
        </w:tc>
      </w:tr>
      <w:tr w:rsidR="00133B84" w:rsidRPr="00141D36" w:rsidTr="00B44BB4">
        <w:tc>
          <w:tcPr>
            <w:tcW w:w="2410" w:type="dxa"/>
          </w:tcPr>
          <w:p w:rsidR="00133B84" w:rsidRPr="00141D36" w:rsidRDefault="00133B84" w:rsidP="00133B84">
            <w:pPr>
              <w:pStyle w:val="TableBodyText"/>
              <w:spacing w:before="60" w:after="60"/>
              <w:jc w:val="left"/>
              <w:rPr>
                <w:b/>
              </w:rPr>
            </w:pPr>
            <w:r w:rsidRPr="00141D36">
              <w:rPr>
                <w:b/>
              </w:rPr>
              <w:t>Language other than English (</w:t>
            </w:r>
            <w:proofErr w:type="spellStart"/>
            <w:r w:rsidRPr="00141D36">
              <w:rPr>
                <w:b/>
              </w:rPr>
              <w:t>LOTE</w:t>
            </w:r>
            <w:proofErr w:type="spellEnd"/>
            <w:r w:rsidRPr="00141D36">
              <w:rPr>
                <w:b/>
              </w:rPr>
              <w:t>) spoken at home</w:t>
            </w:r>
          </w:p>
        </w:tc>
        <w:tc>
          <w:tcPr>
            <w:tcW w:w="6379" w:type="dxa"/>
          </w:tcPr>
          <w:p w:rsidR="00133B84" w:rsidRPr="00141D36" w:rsidRDefault="00133B84" w:rsidP="00133B84">
            <w:pPr>
              <w:pStyle w:val="TableBodyText"/>
              <w:spacing w:before="60" w:after="60"/>
              <w:jc w:val="left"/>
            </w:pPr>
            <w:r w:rsidRPr="00141D36">
              <w:t>Students speaking a language other than English at home are those who self-identify on their enrolment form that they speak a language other than English at home.</w:t>
            </w:r>
          </w:p>
        </w:tc>
      </w:tr>
    </w:tbl>
    <w:p w:rsidR="007F128B" w:rsidRPr="00141D36" w:rsidRDefault="007F128B">
      <w:r w:rsidRPr="00141D36">
        <w:br w:type="page"/>
      </w:r>
    </w:p>
    <w:tbl>
      <w:tblPr>
        <w:tblW w:w="0" w:type="auto"/>
        <w:tblInd w:w="108" w:type="dxa"/>
        <w:tblLook w:val="01E0" w:firstRow="1" w:lastRow="1" w:firstColumn="1" w:lastColumn="1" w:noHBand="0" w:noVBand="0"/>
      </w:tblPr>
      <w:tblGrid>
        <w:gridCol w:w="2410"/>
        <w:gridCol w:w="6379"/>
      </w:tblGrid>
      <w:tr w:rsidR="00133B84" w:rsidRPr="00141D36" w:rsidTr="00B44BB4">
        <w:tc>
          <w:tcPr>
            <w:tcW w:w="2410" w:type="dxa"/>
          </w:tcPr>
          <w:p w:rsidR="00133B84" w:rsidRPr="00141D36" w:rsidRDefault="00133B84" w:rsidP="00133B84">
            <w:pPr>
              <w:pStyle w:val="TableBodyText"/>
              <w:spacing w:before="60" w:after="60"/>
              <w:jc w:val="left"/>
              <w:rPr>
                <w:b/>
              </w:rPr>
            </w:pPr>
            <w:r w:rsidRPr="00141D36">
              <w:rPr>
                <w:b/>
              </w:rPr>
              <w:lastRenderedPageBreak/>
              <w:t>Load pass rate</w:t>
            </w:r>
          </w:p>
        </w:tc>
        <w:tc>
          <w:tcPr>
            <w:tcW w:w="6379" w:type="dxa"/>
          </w:tcPr>
          <w:p w:rsidR="00133B84" w:rsidRPr="00141D36" w:rsidRDefault="00133B84" w:rsidP="00133B84">
            <w:pPr>
              <w:pStyle w:val="TableBodyText"/>
              <w:spacing w:before="60" w:after="60"/>
              <w:jc w:val="left"/>
            </w:pPr>
            <w:r w:rsidRPr="00141D36">
              <w:t xml:space="preserve">The ratio of hours attributed to students who gained competencies/passed assessment in an assessable module or unit of competency to the hours of all students who were assessed and either passed, failed or withdrew. Load pass rate is calculated as the total competency achieved/passed and </w:t>
            </w:r>
            <w:proofErr w:type="spellStart"/>
            <w:r w:rsidRPr="00141D36">
              <w:t>RPL</w:t>
            </w:r>
            <w:proofErr w:type="spellEnd"/>
            <w:r w:rsidRPr="00141D36">
              <w:t xml:space="preserve"> divided by the total competency achieved/passed, </w:t>
            </w:r>
            <w:proofErr w:type="spellStart"/>
            <w:r w:rsidRPr="00141D36">
              <w:t>RPL</w:t>
            </w:r>
            <w:proofErr w:type="spellEnd"/>
            <w:r w:rsidRPr="00141D36">
              <w:t>, competency not achieved/failed and withdrawn.</w:t>
            </w:r>
          </w:p>
        </w:tc>
      </w:tr>
      <w:tr w:rsidR="00133B84" w:rsidRPr="00141D36" w:rsidTr="00B44BB4">
        <w:tc>
          <w:tcPr>
            <w:tcW w:w="2410" w:type="dxa"/>
          </w:tcPr>
          <w:p w:rsidR="00133B84" w:rsidRPr="00141D36" w:rsidRDefault="00133B84" w:rsidP="00133B84">
            <w:pPr>
              <w:pStyle w:val="TableBodyText"/>
              <w:spacing w:before="60" w:after="60"/>
              <w:jc w:val="left"/>
              <w:rPr>
                <w:b/>
              </w:rPr>
            </w:pPr>
            <w:r w:rsidRPr="00141D36">
              <w:rPr>
                <w:b/>
              </w:rPr>
              <w:t>Module</w:t>
            </w:r>
          </w:p>
        </w:tc>
        <w:tc>
          <w:tcPr>
            <w:tcW w:w="6379" w:type="dxa"/>
          </w:tcPr>
          <w:p w:rsidR="00133B84" w:rsidRPr="00141D36" w:rsidRDefault="00133B84" w:rsidP="00133B84">
            <w:pPr>
              <w:pStyle w:val="TableBodyText"/>
              <w:spacing w:before="60" w:after="60"/>
              <w:jc w:val="left"/>
            </w:pPr>
            <w:r w:rsidRPr="00141D36">
              <w:t>A unit of training in which a student can enrol and be assessed.</w:t>
            </w:r>
          </w:p>
        </w:tc>
      </w:tr>
      <w:tr w:rsidR="00133B84" w:rsidRPr="00141D36" w:rsidTr="00B44BB4">
        <w:tc>
          <w:tcPr>
            <w:tcW w:w="2410" w:type="dxa"/>
          </w:tcPr>
          <w:p w:rsidR="00133B84" w:rsidRPr="00141D36" w:rsidRDefault="00133B84" w:rsidP="00133B84">
            <w:pPr>
              <w:pStyle w:val="TableBodyText"/>
              <w:spacing w:before="60" w:after="60"/>
              <w:jc w:val="left"/>
              <w:rPr>
                <w:b/>
              </w:rPr>
            </w:pPr>
            <w:r w:rsidRPr="00141D36">
              <w:rPr>
                <w:b/>
              </w:rPr>
              <w:t>Private provider</w:t>
            </w:r>
          </w:p>
        </w:tc>
        <w:tc>
          <w:tcPr>
            <w:tcW w:w="6379" w:type="dxa"/>
          </w:tcPr>
          <w:p w:rsidR="00133B84" w:rsidRPr="00141D36" w:rsidRDefault="00133B84" w:rsidP="00133B84">
            <w:pPr>
              <w:pStyle w:val="TableBodyText"/>
              <w:spacing w:before="60" w:after="60"/>
              <w:jc w:val="left"/>
            </w:pPr>
            <w:r w:rsidRPr="00141D36">
              <w:t>A commercial organisation that provides training to individuals and industry.</w:t>
            </w:r>
          </w:p>
        </w:tc>
      </w:tr>
      <w:tr w:rsidR="00133B84" w:rsidRPr="00141D36" w:rsidTr="00B44BB4">
        <w:trPr>
          <w:trHeight w:val="187"/>
        </w:trPr>
        <w:tc>
          <w:tcPr>
            <w:tcW w:w="2410" w:type="dxa"/>
          </w:tcPr>
          <w:p w:rsidR="00133B84" w:rsidRPr="00141D36" w:rsidRDefault="00133B84" w:rsidP="00133B84">
            <w:pPr>
              <w:pStyle w:val="TableBodyText"/>
              <w:spacing w:before="60" w:after="60"/>
              <w:jc w:val="left"/>
              <w:rPr>
                <w:b/>
              </w:rPr>
            </w:pPr>
            <w:r w:rsidRPr="00141D36">
              <w:rPr>
                <w:rFonts w:ascii="Times New Roman" w:hAnsi="Times New Roman"/>
                <w:sz w:val="26"/>
                <w:szCs w:val="24"/>
              </w:rPr>
              <w:br w:type="page"/>
            </w:r>
            <w:r w:rsidRPr="00141D36">
              <w:rPr>
                <w:b/>
              </w:rPr>
              <w:t>Program of study</w:t>
            </w:r>
          </w:p>
        </w:tc>
        <w:tc>
          <w:tcPr>
            <w:tcW w:w="6379" w:type="dxa"/>
          </w:tcPr>
          <w:p w:rsidR="00133B84" w:rsidRPr="00141D36" w:rsidRDefault="00133B84" w:rsidP="00133B84">
            <w:pPr>
              <w:pStyle w:val="TableBodyText"/>
              <w:spacing w:before="60" w:after="60"/>
              <w:jc w:val="left"/>
            </w:pPr>
            <w:r w:rsidRPr="00141D36">
              <w:t>A generic term to describe Training Package qualifications, nationally recognised accredited courses, other courses (not nationally recognised accredited courses), units of competency and modules.</w:t>
            </w:r>
          </w:p>
        </w:tc>
      </w:tr>
      <w:tr w:rsidR="00133B84" w:rsidRPr="00141D36" w:rsidTr="00B44BB4">
        <w:tc>
          <w:tcPr>
            <w:tcW w:w="2410" w:type="dxa"/>
          </w:tcPr>
          <w:p w:rsidR="00133B84" w:rsidRPr="00141D36" w:rsidRDefault="00133B84" w:rsidP="00133B84">
            <w:pPr>
              <w:pStyle w:val="TableBodyText"/>
              <w:spacing w:before="60" w:after="60"/>
              <w:jc w:val="left"/>
              <w:rPr>
                <w:b/>
              </w:rPr>
            </w:pPr>
            <w:r w:rsidRPr="00141D36">
              <w:rPr>
                <w:b/>
              </w:rPr>
              <w:t>Recognition of prior learning (</w:t>
            </w:r>
            <w:proofErr w:type="spellStart"/>
            <w:r w:rsidRPr="00141D36">
              <w:rPr>
                <w:b/>
              </w:rPr>
              <w:t>RPL</w:t>
            </w:r>
            <w:proofErr w:type="spellEnd"/>
            <w:r w:rsidRPr="00141D36">
              <w:rPr>
                <w:b/>
              </w:rPr>
              <w:t>)</w:t>
            </w:r>
          </w:p>
        </w:tc>
        <w:tc>
          <w:tcPr>
            <w:tcW w:w="6379" w:type="dxa"/>
          </w:tcPr>
          <w:p w:rsidR="00133B84" w:rsidRPr="00141D36" w:rsidRDefault="00133B84" w:rsidP="00133B84">
            <w:pPr>
              <w:pStyle w:val="TableBodyText"/>
              <w:spacing w:before="60" w:after="60"/>
              <w:jc w:val="left"/>
            </w:pPr>
            <w:proofErr w:type="spellStart"/>
            <w:r w:rsidRPr="00141D36">
              <w:t>RPL</w:t>
            </w:r>
            <w:proofErr w:type="spellEnd"/>
            <w:r w:rsidRPr="00141D36">
              <w:t xml:space="preserve"> is an assessment process through which students may gain formal recognition for the skills they already have. An enrolment where the student has been assessed competent for the whole unit of competency or module by a trainer. The result of the assessment is on the basis of the student’s prior skills and knowledge acquired through previous training, work or life experience.</w:t>
            </w:r>
          </w:p>
        </w:tc>
      </w:tr>
      <w:tr w:rsidR="00133B84" w:rsidRPr="00141D36" w:rsidTr="00B44BB4">
        <w:tc>
          <w:tcPr>
            <w:tcW w:w="2410" w:type="dxa"/>
          </w:tcPr>
          <w:p w:rsidR="00133B84" w:rsidRPr="00141D36" w:rsidRDefault="00133B84" w:rsidP="00133B84">
            <w:pPr>
              <w:pStyle w:val="TableBodyText"/>
              <w:spacing w:before="60" w:after="60"/>
              <w:jc w:val="left"/>
              <w:rPr>
                <w:b/>
              </w:rPr>
            </w:pPr>
            <w:r w:rsidRPr="00141D36">
              <w:rPr>
                <w:b/>
              </w:rPr>
              <w:t>Registered training organisation (</w:t>
            </w:r>
            <w:proofErr w:type="spellStart"/>
            <w:r w:rsidRPr="00141D36">
              <w:rPr>
                <w:b/>
              </w:rPr>
              <w:t>RTO</w:t>
            </w:r>
            <w:proofErr w:type="spellEnd"/>
            <w:r w:rsidRPr="00141D36">
              <w:rPr>
                <w:b/>
              </w:rPr>
              <w:t>)</w:t>
            </w:r>
          </w:p>
        </w:tc>
        <w:tc>
          <w:tcPr>
            <w:tcW w:w="6379" w:type="dxa"/>
          </w:tcPr>
          <w:p w:rsidR="00133B84" w:rsidRPr="00141D36" w:rsidRDefault="00133B84" w:rsidP="00133B84">
            <w:pPr>
              <w:pStyle w:val="TableBodyText"/>
              <w:spacing w:before="60" w:after="60"/>
              <w:jc w:val="left"/>
            </w:pPr>
            <w:proofErr w:type="spellStart"/>
            <w:r w:rsidRPr="00141D36">
              <w:t>RTOs</w:t>
            </w:r>
            <w:proofErr w:type="spellEnd"/>
            <w:r w:rsidRPr="00141D36">
              <w:t xml:space="preserve"> are organisations registered by a State or Territory recognition authority to deliver specified VET and/or assessment services, and issue nationally recognised qualifications in accordance with the </w:t>
            </w:r>
            <w:proofErr w:type="spellStart"/>
            <w:r w:rsidRPr="00141D36">
              <w:t>AQTF</w:t>
            </w:r>
            <w:proofErr w:type="spellEnd"/>
            <w:r w:rsidRPr="00141D36">
              <w:t xml:space="preserve">. </w:t>
            </w:r>
            <w:proofErr w:type="spellStart"/>
            <w:r w:rsidRPr="00141D36">
              <w:t>RTOs</w:t>
            </w:r>
            <w:proofErr w:type="spellEnd"/>
            <w:r w:rsidRPr="00141D36">
              <w:t xml:space="preserve"> include TAFE colleges and institutes, adult and community education providers, private providers, community organisations, schools, higher education institutions, commercial and enterprise training providers, industry bodies and other organisations meeting the registration requirements.</w:t>
            </w:r>
          </w:p>
        </w:tc>
      </w:tr>
      <w:tr w:rsidR="00133B84" w:rsidRPr="00141D36" w:rsidTr="00B44BB4">
        <w:tc>
          <w:tcPr>
            <w:tcW w:w="2410" w:type="dxa"/>
            <w:shd w:val="clear" w:color="auto" w:fill="FFFFFF" w:themeFill="background1"/>
          </w:tcPr>
          <w:p w:rsidR="00133B84" w:rsidRPr="00141D36" w:rsidRDefault="00133B84" w:rsidP="00133B84">
            <w:pPr>
              <w:pStyle w:val="TableBodyText"/>
              <w:spacing w:before="60" w:after="60"/>
              <w:jc w:val="left"/>
              <w:rPr>
                <w:b/>
              </w:rPr>
            </w:pPr>
            <w:r w:rsidRPr="00141D36">
              <w:rPr>
                <w:b/>
              </w:rPr>
              <w:t>Remoteness</w:t>
            </w:r>
          </w:p>
        </w:tc>
        <w:tc>
          <w:tcPr>
            <w:tcW w:w="6379" w:type="dxa"/>
            <w:shd w:val="clear" w:color="auto" w:fill="FFFFFF" w:themeFill="background1"/>
          </w:tcPr>
          <w:p w:rsidR="00133B84" w:rsidRPr="00141D36" w:rsidRDefault="00133B84" w:rsidP="00133B84">
            <w:pPr>
              <w:pStyle w:val="TableBodyText"/>
              <w:spacing w:before="60" w:after="60"/>
              <w:jc w:val="left"/>
            </w:pPr>
            <w:r w:rsidRPr="00141D36">
              <w:t>Remoteness is described using ARIA+, which is published as a 1 kilometre grid or matrix that covers the whole of Australia. The ABS calculated the arithmetic mean ARIA+ values for each Census Collection Districts (</w:t>
            </w:r>
            <w:proofErr w:type="spellStart"/>
            <w:r w:rsidRPr="00141D36">
              <w:t>CCD</w:t>
            </w:r>
            <w:proofErr w:type="spellEnd"/>
            <w:r w:rsidRPr="00141D36">
              <w:t>) that formed the base level of the Remoteness Structure.</w:t>
            </w:r>
          </w:p>
          <w:p w:rsidR="00133B84" w:rsidRPr="00141D36" w:rsidRDefault="00133B84" w:rsidP="00133B84">
            <w:pPr>
              <w:pStyle w:val="TableBodyText"/>
              <w:spacing w:before="60" w:after="60"/>
              <w:jc w:val="left"/>
              <w:rPr>
                <w:b/>
                <w:bCs/>
              </w:rPr>
            </w:pPr>
            <w:proofErr w:type="spellStart"/>
            <w:r w:rsidRPr="00141D36">
              <w:rPr>
                <w:b/>
                <w:bCs/>
              </w:rPr>
              <w:t>CCD</w:t>
            </w:r>
            <w:proofErr w:type="spellEnd"/>
            <w:r w:rsidRPr="00141D36">
              <w:rPr>
                <w:b/>
                <w:bCs/>
              </w:rPr>
              <w:t xml:space="preserve"> Average ARIA+ value ranges</w:t>
            </w:r>
          </w:p>
          <w:p w:rsidR="00133B84" w:rsidRPr="00141D36" w:rsidRDefault="00133B84" w:rsidP="00133B84">
            <w:pPr>
              <w:pStyle w:val="TableBodyText"/>
              <w:spacing w:before="60" w:after="60"/>
              <w:jc w:val="left"/>
            </w:pPr>
            <w:r w:rsidRPr="00141D36">
              <w:t>Major Cities: 0 to 0.2</w:t>
            </w:r>
            <w:r w:rsidRPr="00141D36">
              <w:br/>
              <w:t>Inner Regional: greater than 0.2 and less than or equal to 2.4</w:t>
            </w:r>
            <w:r w:rsidRPr="00141D36">
              <w:br/>
              <w:t>Outer Regional: greater than 2.4 and less than or equal to 5.92</w:t>
            </w:r>
            <w:r w:rsidRPr="00141D36">
              <w:br/>
              <w:t>Remote: greater than 5.92 and less than or equal to 10.53</w:t>
            </w:r>
            <w:r w:rsidRPr="00141D36">
              <w:br/>
              <w:t>Very remote: greater than 10.53</w:t>
            </w:r>
          </w:p>
        </w:tc>
      </w:tr>
      <w:tr w:rsidR="00133B84" w:rsidRPr="00141D36" w:rsidTr="00B44BB4">
        <w:tc>
          <w:tcPr>
            <w:tcW w:w="2410" w:type="dxa"/>
          </w:tcPr>
          <w:p w:rsidR="00133B84" w:rsidRPr="00141D36" w:rsidRDefault="00133B84" w:rsidP="00133B84">
            <w:pPr>
              <w:pStyle w:val="TableBodyText"/>
              <w:spacing w:before="60" w:after="60"/>
              <w:jc w:val="left"/>
              <w:rPr>
                <w:b/>
              </w:rPr>
            </w:pPr>
            <w:r w:rsidRPr="00141D36">
              <w:rPr>
                <w:b/>
              </w:rPr>
              <w:t>TAFE</w:t>
            </w:r>
          </w:p>
        </w:tc>
        <w:tc>
          <w:tcPr>
            <w:tcW w:w="6379" w:type="dxa"/>
          </w:tcPr>
          <w:p w:rsidR="00133B84" w:rsidRPr="00141D36" w:rsidRDefault="00133B84" w:rsidP="00133B84">
            <w:pPr>
              <w:pStyle w:val="TableBodyText"/>
              <w:spacing w:before="60" w:after="60"/>
              <w:jc w:val="left"/>
            </w:pPr>
            <w:r w:rsidRPr="00141D36">
              <w:t>Technical and further education colleges and institutes, which are the primary providers of government funded VET.</w:t>
            </w:r>
          </w:p>
        </w:tc>
      </w:tr>
      <w:tr w:rsidR="00133B84" w:rsidRPr="00141D36" w:rsidTr="00B44BB4">
        <w:tc>
          <w:tcPr>
            <w:tcW w:w="2410" w:type="dxa"/>
          </w:tcPr>
          <w:p w:rsidR="00133B84" w:rsidRPr="00141D36" w:rsidRDefault="00133B84" w:rsidP="00133B84">
            <w:pPr>
              <w:pStyle w:val="TableBodyText"/>
              <w:spacing w:before="60" w:after="60"/>
              <w:jc w:val="left"/>
              <w:rPr>
                <w:b/>
              </w:rPr>
            </w:pPr>
            <w:r w:rsidRPr="00141D36">
              <w:rPr>
                <w:b/>
              </w:rPr>
              <w:t>Training packages</w:t>
            </w:r>
          </w:p>
        </w:tc>
        <w:tc>
          <w:tcPr>
            <w:tcW w:w="6379" w:type="dxa"/>
          </w:tcPr>
          <w:p w:rsidR="00133B84" w:rsidRPr="00141D36" w:rsidRDefault="00133B84" w:rsidP="00133B84">
            <w:pPr>
              <w:pStyle w:val="TableBodyText"/>
              <w:spacing w:before="60" w:after="60"/>
              <w:jc w:val="left"/>
            </w:pPr>
            <w:r w:rsidRPr="00141D36">
              <w:t xml:space="preserve">An integrated set of nationally endorsed standards, guidelines and qualifications for training, assessing and recognising people’s skills, developed by industry to meet the training needs of an industry or group of industries. Training packages consist of core endorsed components of competency standards, assessment guidelines and qualifications, and optional non-endorsed components of support materials such as learning strategies, assessment resources and professional development materials. </w:t>
            </w:r>
          </w:p>
          <w:p w:rsidR="00133B84" w:rsidRPr="00141D36" w:rsidRDefault="00133B84" w:rsidP="00133B84">
            <w:pPr>
              <w:pStyle w:val="TableBodyText"/>
              <w:spacing w:before="60" w:after="60"/>
              <w:jc w:val="left"/>
            </w:pPr>
            <w:r w:rsidRPr="00141D36">
              <w:t>A Training Package is the grouping together of the training components designed to assist in achieving the competencies for a specific industry. Units of competency are packaged together which, when combined at various levels, can form qualifications (Certificate, Diploma etc.).</w:t>
            </w:r>
          </w:p>
        </w:tc>
      </w:tr>
      <w:tr w:rsidR="00133B84" w:rsidRPr="00141D36" w:rsidTr="00B44BB4">
        <w:tc>
          <w:tcPr>
            <w:tcW w:w="2410" w:type="dxa"/>
          </w:tcPr>
          <w:p w:rsidR="00133B84" w:rsidRPr="00141D36" w:rsidRDefault="00133B84" w:rsidP="00133B84">
            <w:pPr>
              <w:pStyle w:val="TableBodyText"/>
              <w:spacing w:before="60" w:after="60"/>
              <w:jc w:val="left"/>
              <w:rPr>
                <w:b/>
              </w:rPr>
            </w:pPr>
            <w:r w:rsidRPr="00141D36">
              <w:rPr>
                <w:b/>
              </w:rPr>
              <w:t>Unit of competency</w:t>
            </w:r>
          </w:p>
        </w:tc>
        <w:tc>
          <w:tcPr>
            <w:tcW w:w="6379" w:type="dxa"/>
          </w:tcPr>
          <w:p w:rsidR="00133B84" w:rsidRPr="00141D36" w:rsidRDefault="00133B84" w:rsidP="00133B84">
            <w:pPr>
              <w:pStyle w:val="TableBodyText"/>
              <w:spacing w:before="60" w:after="60"/>
              <w:jc w:val="left"/>
            </w:pPr>
            <w:r w:rsidRPr="00141D36">
              <w:t>A unit of competency is the smallest component of a VET program that can be assessed and recognised in the VET system for collection purposes.</w:t>
            </w:r>
          </w:p>
        </w:tc>
      </w:tr>
    </w:tbl>
    <w:p w:rsidR="007F128B" w:rsidRPr="00141D36" w:rsidRDefault="007F128B">
      <w:r w:rsidRPr="00141D36">
        <w:br w:type="page"/>
      </w:r>
    </w:p>
    <w:tbl>
      <w:tblPr>
        <w:tblW w:w="0" w:type="auto"/>
        <w:tblInd w:w="108" w:type="dxa"/>
        <w:tblLook w:val="01E0" w:firstRow="1" w:lastRow="1" w:firstColumn="1" w:lastColumn="1" w:noHBand="0" w:noVBand="0"/>
      </w:tblPr>
      <w:tblGrid>
        <w:gridCol w:w="2410"/>
        <w:gridCol w:w="6379"/>
      </w:tblGrid>
      <w:tr w:rsidR="00133B84" w:rsidRPr="00141D36" w:rsidTr="00B44BB4">
        <w:tc>
          <w:tcPr>
            <w:tcW w:w="2410" w:type="dxa"/>
          </w:tcPr>
          <w:p w:rsidR="00133B84" w:rsidRPr="00141D36" w:rsidRDefault="00133B84" w:rsidP="00133B84">
            <w:pPr>
              <w:pStyle w:val="TableBodyText"/>
              <w:spacing w:before="60" w:after="60"/>
              <w:jc w:val="left"/>
              <w:rPr>
                <w:b/>
              </w:rPr>
            </w:pPr>
            <w:r w:rsidRPr="00141D36">
              <w:rPr>
                <w:b/>
              </w:rPr>
              <w:lastRenderedPageBreak/>
              <w:t>VET participation</w:t>
            </w:r>
          </w:p>
        </w:tc>
        <w:tc>
          <w:tcPr>
            <w:tcW w:w="6379" w:type="dxa"/>
          </w:tcPr>
          <w:p w:rsidR="00133B84" w:rsidRPr="00141D36" w:rsidRDefault="00133B84" w:rsidP="00133B84">
            <w:pPr>
              <w:pStyle w:val="TableBodyText"/>
              <w:spacing w:before="60" w:after="60"/>
              <w:jc w:val="left"/>
            </w:pPr>
            <w:r w:rsidRPr="00141D36">
              <w:t xml:space="preserve">VET student participation data presented in this Report refer only to VET students who were funded by government expenditure and delivered by TAFE and other government providers (including multi-sector higher education institutions), registered community providers and registered private providers. They do not include students who participated in VET programs delivered in schools (where the delivery was undertaken by schools) or undertook ‘recreation, leisure or personal enrichment’ education programs. Fee-for-service by private providers, delivery undertaken at overseas campuses of Australian VET institutions, and credit transfer are also excluded. </w:t>
            </w:r>
          </w:p>
          <w:p w:rsidR="00133B84" w:rsidRPr="00141D36" w:rsidRDefault="00133B84" w:rsidP="00133B84">
            <w:pPr>
              <w:pStyle w:val="TableBodyText"/>
              <w:spacing w:before="60" w:after="60"/>
              <w:jc w:val="left"/>
            </w:pPr>
            <w:r w:rsidRPr="00141D36">
              <w:t>A VET student may be enrolled in more than one VET training program, and therefore there are more ‘enrolments’ in the VET system than ‘students’. This distinction between ‘student’ numbers and the number of ‘enrolments’ (or ‘student enrolments’) may be of importance if comparing VET data in this chapter with other VET data.</w:t>
            </w:r>
          </w:p>
        </w:tc>
      </w:tr>
      <w:tr w:rsidR="00133B84" w:rsidRPr="00141D36" w:rsidTr="00B44BB4">
        <w:tc>
          <w:tcPr>
            <w:tcW w:w="2410" w:type="dxa"/>
          </w:tcPr>
          <w:p w:rsidR="00133B84" w:rsidRPr="00141D36" w:rsidRDefault="00133B84" w:rsidP="00133B84">
            <w:pPr>
              <w:pStyle w:val="TableBodyText"/>
              <w:spacing w:before="60" w:after="60"/>
              <w:jc w:val="left"/>
              <w:rPr>
                <w:b/>
              </w:rPr>
            </w:pPr>
            <w:r w:rsidRPr="00141D36">
              <w:rPr>
                <w:b/>
              </w:rPr>
              <w:t>VET participation by Aboriginal and Torres Strait Islander people</w:t>
            </w:r>
          </w:p>
        </w:tc>
        <w:tc>
          <w:tcPr>
            <w:tcW w:w="6379" w:type="dxa"/>
          </w:tcPr>
          <w:p w:rsidR="00133B84" w:rsidRPr="00141D36" w:rsidRDefault="00133B84" w:rsidP="00133B84">
            <w:pPr>
              <w:pStyle w:val="TableBodyText"/>
              <w:spacing w:before="60" w:after="60"/>
              <w:jc w:val="left"/>
            </w:pPr>
            <w:r w:rsidRPr="00141D36">
              <w:t>The number of government funded participants of all ages in the VET system reported as Aboriginal and Torres Strait Islander as a proportion of the number of Aboriginal and Torres Strait Islander people aged 15–64 years in the Australian population.</w:t>
            </w:r>
          </w:p>
          <w:p w:rsidR="00133B84" w:rsidRPr="00141D36" w:rsidRDefault="00133B84" w:rsidP="00133B84">
            <w:pPr>
              <w:pStyle w:val="TableBodyText"/>
              <w:spacing w:before="60" w:after="60"/>
              <w:jc w:val="left"/>
            </w:pPr>
            <w:r w:rsidRPr="00141D36">
              <w:t>Aboriginal and Torres Strait Islander students are defined as those who self-identify on enrolment forms that they are of Aboriginal and/or Torres Strait Islander background. Not all students respond to the relevant question on the enrolment form.</w:t>
            </w:r>
          </w:p>
        </w:tc>
      </w:tr>
      <w:tr w:rsidR="00133B84" w:rsidRPr="00141D36" w:rsidTr="00B44BB4">
        <w:tc>
          <w:tcPr>
            <w:tcW w:w="2410" w:type="dxa"/>
          </w:tcPr>
          <w:p w:rsidR="00133B84" w:rsidRPr="00141D36" w:rsidRDefault="00133B84" w:rsidP="00133B84">
            <w:pPr>
              <w:pStyle w:val="TableBodyText"/>
              <w:spacing w:before="60" w:after="60"/>
              <w:jc w:val="left"/>
              <w:rPr>
                <w:b/>
              </w:rPr>
            </w:pPr>
            <w:r w:rsidRPr="00141D36">
              <w:rPr>
                <w:b/>
              </w:rPr>
              <w:t xml:space="preserve">VET participation rate for people aged </w:t>
            </w:r>
            <w:r w:rsidRPr="00141D36">
              <w:rPr>
                <w:b/>
              </w:rPr>
              <w:br/>
              <w:t>15–64 years</w:t>
            </w:r>
          </w:p>
        </w:tc>
        <w:tc>
          <w:tcPr>
            <w:tcW w:w="6379" w:type="dxa"/>
          </w:tcPr>
          <w:p w:rsidR="00133B84" w:rsidRPr="00141D36" w:rsidRDefault="00133B84" w:rsidP="00133B84">
            <w:pPr>
              <w:pStyle w:val="TableBodyText"/>
              <w:spacing w:before="60" w:after="60"/>
              <w:jc w:val="left"/>
            </w:pPr>
            <w:r w:rsidRPr="00141D36">
              <w:t>The number of government funded participants aged 15–64 years in the VET system as a proportion of the number of people in Australia (or each jurisdiction) aged 15–64 years.</w:t>
            </w:r>
          </w:p>
        </w:tc>
      </w:tr>
      <w:tr w:rsidR="00133B84" w:rsidRPr="00141D36" w:rsidTr="00B44BB4">
        <w:tc>
          <w:tcPr>
            <w:tcW w:w="2410" w:type="dxa"/>
          </w:tcPr>
          <w:p w:rsidR="00133B84" w:rsidRPr="00141D36" w:rsidRDefault="00133B84" w:rsidP="00133B84">
            <w:pPr>
              <w:pStyle w:val="TableBodyText"/>
              <w:spacing w:before="60" w:after="60"/>
              <w:jc w:val="left"/>
              <w:rPr>
                <w:b/>
              </w:rPr>
            </w:pPr>
            <w:r w:rsidRPr="00141D36">
              <w:rPr>
                <w:b/>
              </w:rPr>
              <w:t>VET program</w:t>
            </w:r>
          </w:p>
        </w:tc>
        <w:tc>
          <w:tcPr>
            <w:tcW w:w="6379" w:type="dxa"/>
          </w:tcPr>
          <w:p w:rsidR="00133B84" w:rsidRPr="00141D36" w:rsidRDefault="00133B84" w:rsidP="00133B84">
            <w:pPr>
              <w:pStyle w:val="TableBodyText"/>
              <w:spacing w:before="60" w:after="60"/>
              <w:jc w:val="left"/>
            </w:pPr>
            <w:r w:rsidRPr="00141D36">
              <w:t>A course or module offered by a training organisation in which students may enrol and gives people work-related knowledge and skills.</w:t>
            </w:r>
          </w:p>
        </w:tc>
      </w:tr>
    </w:tbl>
    <w:p w:rsidR="00B44BB4" w:rsidRPr="00141D36" w:rsidRDefault="00B44BB4" w:rsidP="00B44BB4">
      <w:pPr>
        <w:pStyle w:val="Heading3"/>
      </w:pPr>
      <w:bookmarkStart w:id="29" w:name="_Toc290285500"/>
      <w:bookmarkStart w:id="30" w:name="_Toc317582448"/>
      <w:bookmarkStart w:id="31" w:name="_Toc319404216"/>
      <w:bookmarkStart w:id="32" w:name="_Toc319404332"/>
      <w:bookmarkStart w:id="33" w:name="_Toc320770570"/>
      <w:bookmarkStart w:id="34" w:name="_Toc347219000"/>
      <w:bookmarkStart w:id="35" w:name="_Toc351045962"/>
      <w:bookmarkStart w:id="36" w:name="_Toc351356946"/>
      <w:bookmarkStart w:id="37" w:name="_Toc351356971"/>
      <w:bookmarkStart w:id="38" w:name="_Toc379274807"/>
      <w:bookmarkStart w:id="39" w:name="_Toc381859119"/>
      <w:bookmarkStart w:id="40" w:name="_Toc383691273"/>
      <w:bookmarkStart w:id="41" w:name="_Toc383691343"/>
      <w:bookmarkStart w:id="42" w:name="_Toc410731944"/>
      <w:bookmarkStart w:id="43" w:name="_Toc341279245"/>
      <w:bookmarkStart w:id="44" w:name="_Toc401829964"/>
      <w:r w:rsidRPr="00141D36">
        <w:t>List of attachment tables</w:t>
      </w:r>
      <w:bookmarkEnd w:id="29"/>
      <w:bookmarkEnd w:id="30"/>
      <w:bookmarkEnd w:id="31"/>
      <w:bookmarkEnd w:id="32"/>
      <w:bookmarkEnd w:id="33"/>
      <w:bookmarkEnd w:id="34"/>
      <w:bookmarkEnd w:id="35"/>
      <w:bookmarkEnd w:id="36"/>
      <w:bookmarkEnd w:id="37"/>
      <w:bookmarkEnd w:id="38"/>
      <w:bookmarkEnd w:id="39"/>
      <w:bookmarkEnd w:id="40"/>
      <w:bookmarkEnd w:id="41"/>
      <w:bookmarkEnd w:id="42"/>
    </w:p>
    <w:p w:rsidR="00B44BB4" w:rsidRPr="00141D36" w:rsidRDefault="00B44BB4" w:rsidP="00E2275B">
      <w:pPr>
        <w:pStyle w:val="BodyText"/>
      </w:pPr>
      <w:r w:rsidRPr="00141D36">
        <w:t>Attachment tables for data within this chapter are contained in the attachment to the Compendium. These tables are identified in references throughout this chapter by a ‘</w:t>
      </w:r>
      <w:proofErr w:type="spellStart"/>
      <w:r w:rsidRPr="00141D36">
        <w:t>5A</w:t>
      </w:r>
      <w:proofErr w:type="spellEnd"/>
      <w:r w:rsidRPr="00141D36">
        <w:t xml:space="preserve">’ prefix (for example, table </w:t>
      </w:r>
      <w:proofErr w:type="spellStart"/>
      <w:r w:rsidRPr="00141D36">
        <w:t>5A.1</w:t>
      </w:r>
      <w:proofErr w:type="spellEnd"/>
      <w:r w:rsidRPr="00141D36">
        <w:t xml:space="preserve"> is table 1 in the </w:t>
      </w:r>
      <w:r w:rsidR="0066684A" w:rsidRPr="00141D36">
        <w:t>Vocational</w:t>
      </w:r>
      <w:r w:rsidR="006802C6" w:rsidRPr="00141D36">
        <w:t xml:space="preserve"> education and training</w:t>
      </w:r>
      <w:r w:rsidRPr="00141D36">
        <w:t xml:space="preserve"> attachment). Attachment tables are on the Review website (</w:t>
      </w:r>
      <w:r w:rsidR="000A67E7" w:rsidRPr="00141D36">
        <w:t>www.pc.gov.au/research/recurring/report-on-government-services</w:t>
      </w:r>
      <w:r w:rsidRPr="00141D36">
        <w:t>).</w:t>
      </w:r>
    </w:p>
    <w:p w:rsidR="00133B84" w:rsidRPr="00141D36" w:rsidRDefault="00133B84" w:rsidP="00133B84">
      <w:pPr>
        <w:pStyle w:val="BodyText"/>
      </w:pPr>
    </w:p>
    <w:tbl>
      <w:tblPr>
        <w:tblW w:w="8860" w:type="dxa"/>
        <w:tblInd w:w="93" w:type="dxa"/>
        <w:tblLook w:val="04A0" w:firstRow="1" w:lastRow="0" w:firstColumn="1" w:lastColumn="0" w:noHBand="0" w:noVBand="1"/>
      </w:tblPr>
      <w:tblGrid>
        <w:gridCol w:w="1440"/>
        <w:gridCol w:w="7420"/>
      </w:tblGrid>
      <w:tr w:rsidR="0066684A" w:rsidRPr="00141D36" w:rsidTr="0066684A">
        <w:trPr>
          <w:trHeight w:val="357"/>
        </w:trPr>
        <w:tc>
          <w:tcPr>
            <w:tcW w:w="1440" w:type="dxa"/>
            <w:tcBorders>
              <w:top w:val="nil"/>
              <w:left w:val="nil"/>
              <w:bottom w:val="nil"/>
              <w:right w:val="nil"/>
            </w:tcBorders>
            <w:shd w:val="clear" w:color="auto" w:fill="auto"/>
            <w:noWrap/>
            <w:hideMark/>
          </w:tcPr>
          <w:p w:rsidR="0066684A" w:rsidRPr="00141D36" w:rsidRDefault="0066684A" w:rsidP="0066684A">
            <w:pPr>
              <w:rPr>
                <w:rFonts w:ascii="Arial" w:hAnsi="Arial" w:cs="Arial"/>
                <w:b/>
                <w:bCs/>
                <w:color w:val="0000FF"/>
                <w:sz w:val="20"/>
                <w:szCs w:val="20"/>
              </w:rPr>
            </w:pPr>
            <w:r w:rsidRPr="00141D36">
              <w:rPr>
                <w:rFonts w:ascii="Arial" w:hAnsi="Arial" w:cs="Arial"/>
                <w:b/>
                <w:bCs/>
                <w:color w:val="0000FF"/>
                <w:sz w:val="20"/>
                <w:szCs w:val="20"/>
              </w:rPr>
              <w:t xml:space="preserve">Table </w:t>
            </w:r>
            <w:proofErr w:type="spellStart"/>
            <w:r w:rsidRPr="00141D36">
              <w:rPr>
                <w:rFonts w:ascii="Arial" w:hAnsi="Arial" w:cs="Arial"/>
                <w:b/>
                <w:bCs/>
                <w:color w:val="0000FF"/>
                <w:sz w:val="20"/>
                <w:szCs w:val="20"/>
              </w:rPr>
              <w:t>5A.10</w:t>
            </w:r>
            <w:proofErr w:type="spellEnd"/>
          </w:p>
        </w:tc>
        <w:tc>
          <w:tcPr>
            <w:tcW w:w="7420" w:type="dxa"/>
            <w:tcBorders>
              <w:top w:val="nil"/>
              <w:left w:val="nil"/>
              <w:bottom w:val="nil"/>
              <w:right w:val="nil"/>
            </w:tcBorders>
            <w:shd w:val="clear" w:color="auto" w:fill="auto"/>
            <w:hideMark/>
          </w:tcPr>
          <w:p w:rsidR="0066684A" w:rsidRPr="00141D36" w:rsidRDefault="0066684A" w:rsidP="0066684A">
            <w:pPr>
              <w:jc w:val="both"/>
              <w:rPr>
                <w:rFonts w:ascii="Arial" w:hAnsi="Arial" w:cs="Arial"/>
                <w:sz w:val="20"/>
                <w:szCs w:val="20"/>
              </w:rPr>
            </w:pPr>
            <w:r w:rsidRPr="00141D36">
              <w:rPr>
                <w:rFonts w:ascii="Arial" w:hAnsi="Arial" w:cs="Arial"/>
                <w:sz w:val="20"/>
                <w:szCs w:val="20"/>
              </w:rPr>
              <w:t xml:space="preserve">VET participation by target age group and Indigenous status   </w:t>
            </w:r>
          </w:p>
        </w:tc>
      </w:tr>
      <w:tr w:rsidR="0066684A" w:rsidRPr="00141D36" w:rsidTr="0066684A">
        <w:trPr>
          <w:trHeight w:val="357"/>
        </w:trPr>
        <w:tc>
          <w:tcPr>
            <w:tcW w:w="1440" w:type="dxa"/>
            <w:tcBorders>
              <w:top w:val="nil"/>
              <w:left w:val="nil"/>
              <w:bottom w:val="nil"/>
              <w:right w:val="nil"/>
            </w:tcBorders>
            <w:shd w:val="clear" w:color="auto" w:fill="auto"/>
            <w:noWrap/>
            <w:hideMark/>
          </w:tcPr>
          <w:p w:rsidR="0066684A" w:rsidRPr="00141D36" w:rsidRDefault="0066684A" w:rsidP="0066684A">
            <w:pPr>
              <w:rPr>
                <w:rFonts w:ascii="Arial" w:hAnsi="Arial" w:cs="Arial"/>
                <w:b/>
                <w:bCs/>
                <w:color w:val="0000FF"/>
                <w:sz w:val="20"/>
                <w:szCs w:val="20"/>
              </w:rPr>
            </w:pPr>
            <w:r w:rsidRPr="00141D36">
              <w:rPr>
                <w:rFonts w:ascii="Arial" w:hAnsi="Arial" w:cs="Arial"/>
                <w:b/>
                <w:bCs/>
                <w:color w:val="0000FF"/>
                <w:sz w:val="20"/>
                <w:szCs w:val="20"/>
              </w:rPr>
              <w:t xml:space="preserve">Table </w:t>
            </w:r>
            <w:proofErr w:type="spellStart"/>
            <w:r w:rsidRPr="00141D36">
              <w:rPr>
                <w:rFonts w:ascii="Arial" w:hAnsi="Arial" w:cs="Arial"/>
                <w:b/>
                <w:bCs/>
                <w:color w:val="0000FF"/>
                <w:sz w:val="20"/>
                <w:szCs w:val="20"/>
              </w:rPr>
              <w:t>5A.16</w:t>
            </w:r>
            <w:proofErr w:type="spellEnd"/>
          </w:p>
        </w:tc>
        <w:tc>
          <w:tcPr>
            <w:tcW w:w="7420" w:type="dxa"/>
            <w:tcBorders>
              <w:top w:val="nil"/>
              <w:left w:val="nil"/>
              <w:bottom w:val="nil"/>
              <w:right w:val="nil"/>
            </w:tcBorders>
            <w:shd w:val="clear" w:color="auto" w:fill="auto"/>
            <w:hideMark/>
          </w:tcPr>
          <w:p w:rsidR="0066684A" w:rsidRPr="00141D36" w:rsidRDefault="0066684A" w:rsidP="0066684A">
            <w:pPr>
              <w:jc w:val="both"/>
              <w:rPr>
                <w:rFonts w:ascii="Arial" w:hAnsi="Arial" w:cs="Arial"/>
                <w:sz w:val="20"/>
                <w:szCs w:val="20"/>
              </w:rPr>
            </w:pPr>
            <w:r w:rsidRPr="00141D36">
              <w:rPr>
                <w:rFonts w:ascii="Arial" w:hAnsi="Arial" w:cs="Arial"/>
                <w:sz w:val="20"/>
                <w:szCs w:val="20"/>
              </w:rPr>
              <w:t xml:space="preserve">VET participation by Indigenous status (per cent)   </w:t>
            </w:r>
          </w:p>
        </w:tc>
      </w:tr>
      <w:tr w:rsidR="0066684A" w:rsidRPr="00141D36" w:rsidTr="0066684A">
        <w:trPr>
          <w:trHeight w:val="612"/>
        </w:trPr>
        <w:tc>
          <w:tcPr>
            <w:tcW w:w="1440" w:type="dxa"/>
            <w:tcBorders>
              <w:top w:val="nil"/>
              <w:left w:val="nil"/>
              <w:bottom w:val="nil"/>
              <w:right w:val="nil"/>
            </w:tcBorders>
            <w:shd w:val="clear" w:color="auto" w:fill="auto"/>
            <w:noWrap/>
            <w:hideMark/>
          </w:tcPr>
          <w:p w:rsidR="0066684A" w:rsidRPr="00141D36" w:rsidRDefault="0066684A" w:rsidP="0066684A">
            <w:pPr>
              <w:rPr>
                <w:rFonts w:ascii="Arial" w:hAnsi="Arial" w:cs="Arial"/>
                <w:b/>
                <w:bCs/>
                <w:color w:val="0000FF"/>
                <w:sz w:val="20"/>
                <w:szCs w:val="20"/>
              </w:rPr>
            </w:pPr>
            <w:r w:rsidRPr="00141D36">
              <w:rPr>
                <w:rFonts w:ascii="Arial" w:hAnsi="Arial" w:cs="Arial"/>
                <w:b/>
                <w:bCs/>
                <w:color w:val="0000FF"/>
                <w:sz w:val="20"/>
                <w:szCs w:val="20"/>
              </w:rPr>
              <w:t xml:space="preserve">Table </w:t>
            </w:r>
            <w:proofErr w:type="spellStart"/>
            <w:r w:rsidRPr="00141D36">
              <w:rPr>
                <w:rFonts w:ascii="Arial" w:hAnsi="Arial" w:cs="Arial"/>
                <w:b/>
                <w:bCs/>
                <w:color w:val="0000FF"/>
                <w:sz w:val="20"/>
                <w:szCs w:val="20"/>
              </w:rPr>
              <w:t>5A.17</w:t>
            </w:r>
            <w:proofErr w:type="spellEnd"/>
          </w:p>
        </w:tc>
        <w:tc>
          <w:tcPr>
            <w:tcW w:w="7420" w:type="dxa"/>
            <w:tcBorders>
              <w:top w:val="nil"/>
              <w:left w:val="nil"/>
              <w:bottom w:val="nil"/>
              <w:right w:val="nil"/>
            </w:tcBorders>
            <w:shd w:val="clear" w:color="auto" w:fill="auto"/>
            <w:hideMark/>
          </w:tcPr>
          <w:p w:rsidR="0066684A" w:rsidRPr="00141D36" w:rsidRDefault="0066684A" w:rsidP="0066684A">
            <w:pPr>
              <w:jc w:val="both"/>
              <w:rPr>
                <w:rFonts w:ascii="Arial" w:hAnsi="Arial" w:cs="Arial"/>
                <w:sz w:val="20"/>
                <w:szCs w:val="20"/>
              </w:rPr>
            </w:pPr>
            <w:r w:rsidRPr="00141D36">
              <w:rPr>
                <w:rFonts w:ascii="Arial" w:hAnsi="Arial" w:cs="Arial"/>
                <w:sz w:val="20"/>
                <w:szCs w:val="20"/>
              </w:rPr>
              <w:t xml:space="preserve">VET participation in Certificate III and above, by target age group and Indigenous status    </w:t>
            </w:r>
          </w:p>
        </w:tc>
      </w:tr>
      <w:tr w:rsidR="0066684A" w:rsidRPr="00141D36" w:rsidTr="0066684A">
        <w:trPr>
          <w:trHeight w:val="357"/>
        </w:trPr>
        <w:tc>
          <w:tcPr>
            <w:tcW w:w="1440" w:type="dxa"/>
            <w:tcBorders>
              <w:top w:val="nil"/>
              <w:left w:val="nil"/>
              <w:bottom w:val="nil"/>
              <w:right w:val="nil"/>
            </w:tcBorders>
            <w:shd w:val="clear" w:color="auto" w:fill="auto"/>
            <w:noWrap/>
            <w:hideMark/>
          </w:tcPr>
          <w:p w:rsidR="0066684A" w:rsidRPr="00141D36" w:rsidRDefault="0066684A" w:rsidP="0066684A">
            <w:pPr>
              <w:rPr>
                <w:rFonts w:ascii="Arial" w:hAnsi="Arial" w:cs="Arial"/>
                <w:b/>
                <w:bCs/>
                <w:color w:val="0000FF"/>
                <w:sz w:val="20"/>
                <w:szCs w:val="20"/>
              </w:rPr>
            </w:pPr>
            <w:r w:rsidRPr="00141D36">
              <w:rPr>
                <w:rFonts w:ascii="Arial" w:hAnsi="Arial" w:cs="Arial"/>
                <w:b/>
                <w:bCs/>
                <w:color w:val="0000FF"/>
                <w:sz w:val="20"/>
                <w:szCs w:val="20"/>
              </w:rPr>
              <w:t xml:space="preserve">Table </w:t>
            </w:r>
            <w:proofErr w:type="spellStart"/>
            <w:r w:rsidRPr="00141D36">
              <w:rPr>
                <w:rFonts w:ascii="Arial" w:hAnsi="Arial" w:cs="Arial"/>
                <w:b/>
                <w:bCs/>
                <w:color w:val="0000FF"/>
                <w:sz w:val="20"/>
                <w:szCs w:val="20"/>
              </w:rPr>
              <w:t>5A.18</w:t>
            </w:r>
            <w:proofErr w:type="spellEnd"/>
          </w:p>
        </w:tc>
        <w:tc>
          <w:tcPr>
            <w:tcW w:w="7420" w:type="dxa"/>
            <w:tcBorders>
              <w:top w:val="nil"/>
              <w:left w:val="nil"/>
              <w:bottom w:val="nil"/>
              <w:right w:val="nil"/>
            </w:tcBorders>
            <w:shd w:val="clear" w:color="auto" w:fill="auto"/>
            <w:hideMark/>
          </w:tcPr>
          <w:p w:rsidR="0066684A" w:rsidRPr="00141D36" w:rsidRDefault="0066684A" w:rsidP="0066684A">
            <w:pPr>
              <w:jc w:val="both"/>
              <w:rPr>
                <w:rFonts w:ascii="Arial" w:hAnsi="Arial" w:cs="Arial"/>
                <w:sz w:val="20"/>
                <w:szCs w:val="20"/>
              </w:rPr>
            </w:pPr>
            <w:r w:rsidRPr="00141D36">
              <w:rPr>
                <w:rFonts w:ascii="Arial" w:hAnsi="Arial" w:cs="Arial"/>
                <w:sz w:val="20"/>
                <w:szCs w:val="20"/>
              </w:rPr>
              <w:t xml:space="preserve">VET participation in diploma and above, by target age group and Indigenous status     </w:t>
            </w:r>
          </w:p>
        </w:tc>
      </w:tr>
      <w:tr w:rsidR="0066684A" w:rsidRPr="00141D36" w:rsidTr="0066684A">
        <w:trPr>
          <w:trHeight w:val="867"/>
        </w:trPr>
        <w:tc>
          <w:tcPr>
            <w:tcW w:w="1440" w:type="dxa"/>
            <w:tcBorders>
              <w:top w:val="nil"/>
              <w:left w:val="nil"/>
              <w:bottom w:val="nil"/>
              <w:right w:val="nil"/>
            </w:tcBorders>
            <w:shd w:val="clear" w:color="auto" w:fill="auto"/>
            <w:noWrap/>
            <w:hideMark/>
          </w:tcPr>
          <w:p w:rsidR="0066684A" w:rsidRPr="00141D36" w:rsidRDefault="0066684A" w:rsidP="0066684A">
            <w:pPr>
              <w:rPr>
                <w:rFonts w:ascii="Arial" w:hAnsi="Arial" w:cs="Arial"/>
                <w:b/>
                <w:bCs/>
                <w:color w:val="0000FF"/>
                <w:sz w:val="20"/>
                <w:szCs w:val="20"/>
              </w:rPr>
            </w:pPr>
            <w:r w:rsidRPr="00141D36">
              <w:rPr>
                <w:rFonts w:ascii="Arial" w:hAnsi="Arial" w:cs="Arial"/>
                <w:b/>
                <w:bCs/>
                <w:color w:val="0000FF"/>
                <w:sz w:val="20"/>
                <w:szCs w:val="20"/>
              </w:rPr>
              <w:t xml:space="preserve">Table </w:t>
            </w:r>
            <w:proofErr w:type="spellStart"/>
            <w:r w:rsidRPr="00141D36">
              <w:rPr>
                <w:rFonts w:ascii="Arial" w:hAnsi="Arial" w:cs="Arial"/>
                <w:b/>
                <w:bCs/>
                <w:color w:val="0000FF"/>
                <w:sz w:val="20"/>
                <w:szCs w:val="20"/>
              </w:rPr>
              <w:t>5A.26</w:t>
            </w:r>
            <w:proofErr w:type="spellEnd"/>
          </w:p>
        </w:tc>
        <w:tc>
          <w:tcPr>
            <w:tcW w:w="7420" w:type="dxa"/>
            <w:tcBorders>
              <w:top w:val="nil"/>
              <w:left w:val="nil"/>
              <w:bottom w:val="nil"/>
              <w:right w:val="nil"/>
            </w:tcBorders>
            <w:shd w:val="clear" w:color="auto" w:fill="auto"/>
            <w:hideMark/>
          </w:tcPr>
          <w:p w:rsidR="0066684A" w:rsidRPr="00141D36" w:rsidRDefault="0066684A" w:rsidP="0066684A">
            <w:pPr>
              <w:jc w:val="both"/>
              <w:rPr>
                <w:rFonts w:ascii="Arial" w:hAnsi="Arial" w:cs="Arial"/>
                <w:sz w:val="20"/>
                <w:szCs w:val="20"/>
              </w:rPr>
            </w:pPr>
            <w:r w:rsidRPr="00141D36">
              <w:rPr>
                <w:rFonts w:ascii="Arial" w:hAnsi="Arial" w:cs="Arial"/>
                <w:sz w:val="20"/>
                <w:szCs w:val="20"/>
              </w:rPr>
              <w:t xml:space="preserve">Proportion of Aboriginal and Torres Strait Islander government funded VET graduates in employment and/or continued on to further study after completing a course (per cent)       </w:t>
            </w:r>
          </w:p>
        </w:tc>
      </w:tr>
      <w:tr w:rsidR="0066684A" w:rsidRPr="00141D36" w:rsidTr="0066684A">
        <w:trPr>
          <w:trHeight w:val="612"/>
        </w:trPr>
        <w:tc>
          <w:tcPr>
            <w:tcW w:w="1440" w:type="dxa"/>
            <w:tcBorders>
              <w:top w:val="nil"/>
              <w:left w:val="nil"/>
              <w:bottom w:val="nil"/>
              <w:right w:val="nil"/>
            </w:tcBorders>
            <w:shd w:val="clear" w:color="auto" w:fill="auto"/>
            <w:noWrap/>
            <w:hideMark/>
          </w:tcPr>
          <w:p w:rsidR="0066684A" w:rsidRPr="00141D36" w:rsidRDefault="0066684A" w:rsidP="0066684A">
            <w:pPr>
              <w:rPr>
                <w:rFonts w:ascii="Arial" w:hAnsi="Arial" w:cs="Arial"/>
                <w:b/>
                <w:bCs/>
                <w:color w:val="0000FF"/>
                <w:sz w:val="20"/>
                <w:szCs w:val="20"/>
              </w:rPr>
            </w:pPr>
            <w:r w:rsidRPr="00141D36">
              <w:rPr>
                <w:rFonts w:ascii="Arial" w:hAnsi="Arial" w:cs="Arial"/>
                <w:b/>
                <w:bCs/>
                <w:color w:val="0000FF"/>
                <w:sz w:val="20"/>
                <w:szCs w:val="20"/>
              </w:rPr>
              <w:t xml:space="preserve">Table </w:t>
            </w:r>
            <w:proofErr w:type="spellStart"/>
            <w:r w:rsidRPr="00141D36">
              <w:rPr>
                <w:rFonts w:ascii="Arial" w:hAnsi="Arial" w:cs="Arial"/>
                <w:b/>
                <w:bCs/>
                <w:color w:val="0000FF"/>
                <w:sz w:val="20"/>
                <w:szCs w:val="20"/>
              </w:rPr>
              <w:t>5A.35</w:t>
            </w:r>
            <w:proofErr w:type="spellEnd"/>
          </w:p>
        </w:tc>
        <w:tc>
          <w:tcPr>
            <w:tcW w:w="7420" w:type="dxa"/>
            <w:tcBorders>
              <w:top w:val="nil"/>
              <w:left w:val="nil"/>
              <w:bottom w:val="nil"/>
              <w:right w:val="nil"/>
            </w:tcBorders>
            <w:shd w:val="clear" w:color="auto" w:fill="auto"/>
            <w:hideMark/>
          </w:tcPr>
          <w:p w:rsidR="0066684A" w:rsidRPr="00141D36" w:rsidRDefault="0066684A" w:rsidP="0066684A">
            <w:pPr>
              <w:jc w:val="both"/>
              <w:rPr>
                <w:rFonts w:ascii="Arial" w:hAnsi="Arial" w:cs="Arial"/>
                <w:sz w:val="20"/>
                <w:szCs w:val="20"/>
              </w:rPr>
            </w:pPr>
            <w:r w:rsidRPr="00141D36">
              <w:rPr>
                <w:rFonts w:ascii="Arial" w:hAnsi="Arial" w:cs="Arial"/>
                <w:sz w:val="20"/>
                <w:szCs w:val="20"/>
              </w:rPr>
              <w:t xml:space="preserve">Labour force status after the course of Aboriginal and Torres Strait Islander VET graduates who were unemployed prior to the course (per cent)       </w:t>
            </w:r>
          </w:p>
        </w:tc>
      </w:tr>
      <w:tr w:rsidR="0066684A" w:rsidRPr="00141D36" w:rsidTr="0066684A">
        <w:trPr>
          <w:trHeight w:val="612"/>
        </w:trPr>
        <w:tc>
          <w:tcPr>
            <w:tcW w:w="1440" w:type="dxa"/>
            <w:tcBorders>
              <w:top w:val="nil"/>
              <w:left w:val="nil"/>
              <w:bottom w:val="nil"/>
              <w:right w:val="nil"/>
            </w:tcBorders>
            <w:shd w:val="clear" w:color="auto" w:fill="auto"/>
            <w:noWrap/>
            <w:hideMark/>
          </w:tcPr>
          <w:p w:rsidR="0066684A" w:rsidRPr="00141D36" w:rsidRDefault="0066684A" w:rsidP="0066684A">
            <w:pPr>
              <w:rPr>
                <w:rFonts w:ascii="Arial" w:hAnsi="Arial" w:cs="Arial"/>
                <w:b/>
                <w:bCs/>
                <w:color w:val="0000FF"/>
                <w:sz w:val="20"/>
                <w:szCs w:val="20"/>
              </w:rPr>
            </w:pPr>
            <w:r w:rsidRPr="00141D36">
              <w:rPr>
                <w:rFonts w:ascii="Arial" w:hAnsi="Arial" w:cs="Arial"/>
                <w:b/>
                <w:bCs/>
                <w:color w:val="0000FF"/>
                <w:sz w:val="20"/>
                <w:szCs w:val="20"/>
              </w:rPr>
              <w:t xml:space="preserve">Table </w:t>
            </w:r>
            <w:proofErr w:type="spellStart"/>
            <w:r w:rsidRPr="00141D36">
              <w:rPr>
                <w:rFonts w:ascii="Arial" w:hAnsi="Arial" w:cs="Arial"/>
                <w:b/>
                <w:bCs/>
                <w:color w:val="0000FF"/>
                <w:sz w:val="20"/>
                <w:szCs w:val="20"/>
              </w:rPr>
              <w:t>5A.40</w:t>
            </w:r>
            <w:proofErr w:type="spellEnd"/>
          </w:p>
        </w:tc>
        <w:tc>
          <w:tcPr>
            <w:tcW w:w="7420" w:type="dxa"/>
            <w:tcBorders>
              <w:top w:val="nil"/>
              <w:left w:val="nil"/>
              <w:bottom w:val="nil"/>
              <w:right w:val="nil"/>
            </w:tcBorders>
            <w:shd w:val="clear" w:color="auto" w:fill="auto"/>
            <w:hideMark/>
          </w:tcPr>
          <w:p w:rsidR="0066684A" w:rsidRPr="00141D36" w:rsidRDefault="0066684A" w:rsidP="0066684A">
            <w:pPr>
              <w:jc w:val="both"/>
              <w:rPr>
                <w:rFonts w:ascii="Arial" w:hAnsi="Arial" w:cs="Arial"/>
                <w:sz w:val="20"/>
                <w:szCs w:val="20"/>
              </w:rPr>
            </w:pPr>
            <w:r w:rsidRPr="00141D36">
              <w:rPr>
                <w:rFonts w:ascii="Arial" w:hAnsi="Arial" w:cs="Arial"/>
                <w:sz w:val="20"/>
                <w:szCs w:val="20"/>
              </w:rPr>
              <w:t xml:space="preserve">Aboriginal and Torres Strait Islander VET graduates who undertook their course for employment related reasons, by job related benefits (per cent)      </w:t>
            </w:r>
          </w:p>
        </w:tc>
      </w:tr>
      <w:tr w:rsidR="0066684A" w:rsidRPr="00141D36" w:rsidTr="0066684A">
        <w:trPr>
          <w:trHeight w:val="612"/>
        </w:trPr>
        <w:tc>
          <w:tcPr>
            <w:tcW w:w="1440" w:type="dxa"/>
            <w:tcBorders>
              <w:top w:val="nil"/>
              <w:left w:val="nil"/>
              <w:bottom w:val="nil"/>
              <w:right w:val="nil"/>
            </w:tcBorders>
            <w:shd w:val="clear" w:color="auto" w:fill="auto"/>
            <w:noWrap/>
            <w:hideMark/>
          </w:tcPr>
          <w:p w:rsidR="0066684A" w:rsidRPr="00141D36" w:rsidRDefault="0066684A" w:rsidP="0066684A">
            <w:pPr>
              <w:rPr>
                <w:rFonts w:ascii="Arial" w:hAnsi="Arial" w:cs="Arial"/>
                <w:b/>
                <w:bCs/>
                <w:color w:val="0000FF"/>
                <w:sz w:val="20"/>
                <w:szCs w:val="20"/>
              </w:rPr>
            </w:pPr>
            <w:r w:rsidRPr="00141D36">
              <w:rPr>
                <w:rFonts w:ascii="Arial" w:hAnsi="Arial" w:cs="Arial"/>
                <w:b/>
                <w:bCs/>
                <w:color w:val="0000FF"/>
                <w:sz w:val="20"/>
                <w:szCs w:val="20"/>
              </w:rPr>
              <w:lastRenderedPageBreak/>
              <w:t xml:space="preserve">Table </w:t>
            </w:r>
            <w:proofErr w:type="spellStart"/>
            <w:r w:rsidRPr="00141D36">
              <w:rPr>
                <w:rFonts w:ascii="Arial" w:hAnsi="Arial" w:cs="Arial"/>
                <w:b/>
                <w:bCs/>
                <w:color w:val="0000FF"/>
                <w:sz w:val="20"/>
                <w:szCs w:val="20"/>
              </w:rPr>
              <w:t>5A.43</w:t>
            </w:r>
            <w:proofErr w:type="spellEnd"/>
          </w:p>
        </w:tc>
        <w:tc>
          <w:tcPr>
            <w:tcW w:w="7420" w:type="dxa"/>
            <w:tcBorders>
              <w:top w:val="nil"/>
              <w:left w:val="nil"/>
              <w:bottom w:val="nil"/>
              <w:right w:val="nil"/>
            </w:tcBorders>
            <w:shd w:val="clear" w:color="auto" w:fill="auto"/>
            <w:hideMark/>
          </w:tcPr>
          <w:p w:rsidR="0066684A" w:rsidRPr="00141D36" w:rsidRDefault="0066684A" w:rsidP="0066684A">
            <w:pPr>
              <w:jc w:val="both"/>
              <w:rPr>
                <w:rFonts w:ascii="Arial" w:hAnsi="Arial" w:cs="Arial"/>
                <w:sz w:val="20"/>
                <w:szCs w:val="20"/>
              </w:rPr>
            </w:pPr>
            <w:r w:rsidRPr="00141D36">
              <w:rPr>
                <w:rFonts w:ascii="Arial" w:hAnsi="Arial" w:cs="Arial"/>
                <w:sz w:val="20"/>
                <w:szCs w:val="20"/>
              </w:rPr>
              <w:t xml:space="preserve">Proportion of Aboriginal and Torres Strait Islander VET graduates who improved their employment circumstances after training, (per cent)      </w:t>
            </w:r>
          </w:p>
        </w:tc>
      </w:tr>
      <w:tr w:rsidR="0066684A" w:rsidRPr="00141D36" w:rsidTr="0066684A">
        <w:trPr>
          <w:trHeight w:val="612"/>
        </w:trPr>
        <w:tc>
          <w:tcPr>
            <w:tcW w:w="1440" w:type="dxa"/>
            <w:tcBorders>
              <w:top w:val="nil"/>
              <w:left w:val="nil"/>
              <w:bottom w:val="nil"/>
              <w:right w:val="nil"/>
            </w:tcBorders>
            <w:shd w:val="clear" w:color="auto" w:fill="auto"/>
            <w:noWrap/>
            <w:hideMark/>
          </w:tcPr>
          <w:p w:rsidR="0066684A" w:rsidRPr="00141D36" w:rsidRDefault="0066684A" w:rsidP="0066684A">
            <w:pPr>
              <w:rPr>
                <w:rFonts w:ascii="Arial" w:hAnsi="Arial" w:cs="Arial"/>
                <w:b/>
                <w:bCs/>
                <w:color w:val="0000FF"/>
                <w:sz w:val="20"/>
                <w:szCs w:val="20"/>
              </w:rPr>
            </w:pPr>
            <w:r w:rsidRPr="00141D36">
              <w:rPr>
                <w:rFonts w:ascii="Arial" w:hAnsi="Arial" w:cs="Arial"/>
                <w:b/>
                <w:bCs/>
                <w:color w:val="0000FF"/>
                <w:sz w:val="20"/>
                <w:szCs w:val="20"/>
              </w:rPr>
              <w:t xml:space="preserve">Table </w:t>
            </w:r>
            <w:proofErr w:type="spellStart"/>
            <w:r w:rsidRPr="00141D36">
              <w:rPr>
                <w:rFonts w:ascii="Arial" w:hAnsi="Arial" w:cs="Arial"/>
                <w:b/>
                <w:bCs/>
                <w:color w:val="0000FF"/>
                <w:sz w:val="20"/>
                <w:szCs w:val="20"/>
              </w:rPr>
              <w:t>5A.45</w:t>
            </w:r>
            <w:proofErr w:type="spellEnd"/>
          </w:p>
        </w:tc>
        <w:tc>
          <w:tcPr>
            <w:tcW w:w="7420" w:type="dxa"/>
            <w:tcBorders>
              <w:top w:val="nil"/>
              <w:left w:val="nil"/>
              <w:bottom w:val="nil"/>
              <w:right w:val="nil"/>
            </w:tcBorders>
            <w:shd w:val="clear" w:color="auto" w:fill="auto"/>
            <w:hideMark/>
          </w:tcPr>
          <w:p w:rsidR="0066684A" w:rsidRPr="00141D36" w:rsidRDefault="0066684A" w:rsidP="0066684A">
            <w:pPr>
              <w:jc w:val="both"/>
              <w:rPr>
                <w:rFonts w:ascii="Arial" w:hAnsi="Arial" w:cs="Arial"/>
                <w:sz w:val="20"/>
                <w:szCs w:val="20"/>
              </w:rPr>
            </w:pPr>
            <w:r w:rsidRPr="00141D36">
              <w:rPr>
                <w:rFonts w:ascii="Arial" w:hAnsi="Arial" w:cs="Arial"/>
                <w:sz w:val="20"/>
                <w:szCs w:val="20"/>
              </w:rPr>
              <w:t xml:space="preserve">Proportion of VET graduates who improved their employment circumstances after training, by Indigenous status (per cent)     </w:t>
            </w:r>
          </w:p>
        </w:tc>
      </w:tr>
      <w:tr w:rsidR="0066684A" w:rsidRPr="00141D36" w:rsidTr="0066684A">
        <w:trPr>
          <w:trHeight w:val="612"/>
        </w:trPr>
        <w:tc>
          <w:tcPr>
            <w:tcW w:w="1440" w:type="dxa"/>
            <w:tcBorders>
              <w:top w:val="nil"/>
              <w:left w:val="nil"/>
              <w:bottom w:val="nil"/>
              <w:right w:val="nil"/>
            </w:tcBorders>
            <w:shd w:val="clear" w:color="auto" w:fill="auto"/>
            <w:noWrap/>
            <w:hideMark/>
          </w:tcPr>
          <w:p w:rsidR="0066684A" w:rsidRPr="00141D36" w:rsidRDefault="0066684A" w:rsidP="0066684A">
            <w:pPr>
              <w:rPr>
                <w:rFonts w:ascii="Arial" w:hAnsi="Arial" w:cs="Arial"/>
                <w:b/>
                <w:bCs/>
                <w:color w:val="0000FF"/>
                <w:sz w:val="20"/>
                <w:szCs w:val="20"/>
              </w:rPr>
            </w:pPr>
            <w:r w:rsidRPr="00141D36">
              <w:rPr>
                <w:rFonts w:ascii="Arial" w:hAnsi="Arial" w:cs="Arial"/>
                <w:b/>
                <w:bCs/>
                <w:color w:val="0000FF"/>
                <w:sz w:val="20"/>
                <w:szCs w:val="20"/>
              </w:rPr>
              <w:t xml:space="preserve">Table </w:t>
            </w:r>
            <w:proofErr w:type="spellStart"/>
            <w:r w:rsidRPr="00141D36">
              <w:rPr>
                <w:rFonts w:ascii="Arial" w:hAnsi="Arial" w:cs="Arial"/>
                <w:b/>
                <w:bCs/>
                <w:color w:val="0000FF"/>
                <w:sz w:val="20"/>
                <w:szCs w:val="20"/>
              </w:rPr>
              <w:t>5A.47</w:t>
            </w:r>
            <w:proofErr w:type="spellEnd"/>
          </w:p>
        </w:tc>
        <w:tc>
          <w:tcPr>
            <w:tcW w:w="7420" w:type="dxa"/>
            <w:tcBorders>
              <w:top w:val="nil"/>
              <w:left w:val="nil"/>
              <w:bottom w:val="nil"/>
              <w:right w:val="nil"/>
            </w:tcBorders>
            <w:shd w:val="clear" w:color="auto" w:fill="auto"/>
            <w:hideMark/>
          </w:tcPr>
          <w:p w:rsidR="0066684A" w:rsidRPr="00141D36" w:rsidRDefault="0066684A" w:rsidP="0066684A">
            <w:pPr>
              <w:jc w:val="both"/>
              <w:rPr>
                <w:rFonts w:ascii="Arial" w:hAnsi="Arial" w:cs="Arial"/>
                <w:sz w:val="20"/>
                <w:szCs w:val="20"/>
              </w:rPr>
            </w:pPr>
            <w:r w:rsidRPr="00141D36">
              <w:rPr>
                <w:rFonts w:ascii="Arial" w:hAnsi="Arial" w:cs="Arial"/>
                <w:sz w:val="20"/>
                <w:szCs w:val="20"/>
              </w:rPr>
              <w:t xml:space="preserve">Proportion of VET graduates aged 20-64 years who improved their employment circumstances after training, by Indigenous status (per cent)     </w:t>
            </w:r>
          </w:p>
        </w:tc>
      </w:tr>
      <w:tr w:rsidR="0066684A" w:rsidRPr="00141D36" w:rsidTr="0066684A">
        <w:trPr>
          <w:trHeight w:val="357"/>
        </w:trPr>
        <w:tc>
          <w:tcPr>
            <w:tcW w:w="1440" w:type="dxa"/>
            <w:tcBorders>
              <w:top w:val="nil"/>
              <w:left w:val="nil"/>
              <w:bottom w:val="nil"/>
              <w:right w:val="nil"/>
            </w:tcBorders>
            <w:shd w:val="clear" w:color="auto" w:fill="auto"/>
            <w:noWrap/>
            <w:hideMark/>
          </w:tcPr>
          <w:p w:rsidR="0066684A" w:rsidRPr="00141D36" w:rsidRDefault="0066684A" w:rsidP="0066684A">
            <w:pPr>
              <w:rPr>
                <w:rFonts w:ascii="Arial" w:hAnsi="Arial" w:cs="Arial"/>
                <w:b/>
                <w:bCs/>
                <w:color w:val="0000FF"/>
                <w:sz w:val="20"/>
                <w:szCs w:val="20"/>
              </w:rPr>
            </w:pPr>
            <w:r w:rsidRPr="00141D36">
              <w:rPr>
                <w:rFonts w:ascii="Arial" w:hAnsi="Arial" w:cs="Arial"/>
                <w:b/>
                <w:bCs/>
                <w:color w:val="0000FF"/>
                <w:sz w:val="20"/>
                <w:szCs w:val="20"/>
              </w:rPr>
              <w:t xml:space="preserve">Table </w:t>
            </w:r>
            <w:proofErr w:type="spellStart"/>
            <w:r w:rsidRPr="00141D36">
              <w:rPr>
                <w:rFonts w:ascii="Arial" w:hAnsi="Arial" w:cs="Arial"/>
                <w:b/>
                <w:bCs/>
                <w:color w:val="0000FF"/>
                <w:sz w:val="20"/>
                <w:szCs w:val="20"/>
              </w:rPr>
              <w:t>5A.50</w:t>
            </w:r>
            <w:proofErr w:type="spellEnd"/>
          </w:p>
        </w:tc>
        <w:tc>
          <w:tcPr>
            <w:tcW w:w="7420" w:type="dxa"/>
            <w:tcBorders>
              <w:top w:val="nil"/>
              <w:left w:val="nil"/>
              <w:bottom w:val="nil"/>
              <w:right w:val="nil"/>
            </w:tcBorders>
            <w:shd w:val="clear" w:color="auto" w:fill="auto"/>
            <w:hideMark/>
          </w:tcPr>
          <w:p w:rsidR="0066684A" w:rsidRPr="00141D36" w:rsidRDefault="0066684A" w:rsidP="0066684A">
            <w:pPr>
              <w:jc w:val="both"/>
              <w:rPr>
                <w:rFonts w:ascii="Arial" w:hAnsi="Arial" w:cs="Arial"/>
                <w:sz w:val="20"/>
                <w:szCs w:val="20"/>
              </w:rPr>
            </w:pPr>
            <w:r w:rsidRPr="00141D36">
              <w:rPr>
                <w:rFonts w:ascii="Arial" w:hAnsi="Arial" w:cs="Arial"/>
                <w:sz w:val="20"/>
                <w:szCs w:val="20"/>
              </w:rPr>
              <w:t xml:space="preserve">Load pass rates by Indigenous status (per cent)     </w:t>
            </w:r>
          </w:p>
        </w:tc>
      </w:tr>
      <w:tr w:rsidR="0066684A" w:rsidRPr="00141D36" w:rsidTr="0066684A">
        <w:trPr>
          <w:trHeight w:val="867"/>
        </w:trPr>
        <w:tc>
          <w:tcPr>
            <w:tcW w:w="1440" w:type="dxa"/>
            <w:tcBorders>
              <w:top w:val="nil"/>
              <w:left w:val="nil"/>
              <w:bottom w:val="nil"/>
              <w:right w:val="nil"/>
            </w:tcBorders>
            <w:shd w:val="clear" w:color="auto" w:fill="auto"/>
            <w:noWrap/>
            <w:hideMark/>
          </w:tcPr>
          <w:p w:rsidR="0066684A" w:rsidRPr="00141D36" w:rsidRDefault="0066684A" w:rsidP="0066684A">
            <w:pPr>
              <w:rPr>
                <w:rFonts w:ascii="Arial" w:hAnsi="Arial" w:cs="Arial"/>
                <w:b/>
                <w:bCs/>
                <w:color w:val="0000FF"/>
                <w:sz w:val="20"/>
                <w:szCs w:val="20"/>
              </w:rPr>
            </w:pPr>
            <w:r w:rsidRPr="00141D36">
              <w:rPr>
                <w:rFonts w:ascii="Arial" w:hAnsi="Arial" w:cs="Arial"/>
                <w:b/>
                <w:bCs/>
                <w:color w:val="0000FF"/>
                <w:sz w:val="20"/>
                <w:szCs w:val="20"/>
              </w:rPr>
              <w:t xml:space="preserve">Table </w:t>
            </w:r>
            <w:proofErr w:type="spellStart"/>
            <w:r w:rsidRPr="00141D36">
              <w:rPr>
                <w:rFonts w:ascii="Arial" w:hAnsi="Arial" w:cs="Arial"/>
                <w:b/>
                <w:bCs/>
                <w:color w:val="0000FF"/>
                <w:sz w:val="20"/>
                <w:szCs w:val="20"/>
              </w:rPr>
              <w:t>5A.54</w:t>
            </w:r>
            <w:proofErr w:type="spellEnd"/>
          </w:p>
        </w:tc>
        <w:tc>
          <w:tcPr>
            <w:tcW w:w="7420" w:type="dxa"/>
            <w:tcBorders>
              <w:top w:val="nil"/>
              <w:left w:val="nil"/>
              <w:bottom w:val="nil"/>
              <w:right w:val="nil"/>
            </w:tcBorders>
            <w:shd w:val="clear" w:color="auto" w:fill="auto"/>
            <w:hideMark/>
          </w:tcPr>
          <w:p w:rsidR="0066684A" w:rsidRPr="00141D36" w:rsidRDefault="0066684A" w:rsidP="0066684A">
            <w:pPr>
              <w:jc w:val="both"/>
              <w:rPr>
                <w:rFonts w:ascii="Arial" w:hAnsi="Arial" w:cs="Arial"/>
                <w:sz w:val="20"/>
                <w:szCs w:val="20"/>
              </w:rPr>
            </w:pPr>
            <w:r w:rsidRPr="00141D36">
              <w:rPr>
                <w:rFonts w:ascii="Arial" w:hAnsi="Arial" w:cs="Arial"/>
                <w:sz w:val="20"/>
                <w:szCs w:val="20"/>
              </w:rPr>
              <w:t xml:space="preserve">VET qualification completions by all students with improved education/training status after training, as a per cent of course enrolments by all students undertaking </w:t>
            </w:r>
            <w:proofErr w:type="spellStart"/>
            <w:r w:rsidRPr="00141D36">
              <w:rPr>
                <w:rFonts w:ascii="Arial" w:hAnsi="Arial" w:cs="Arial"/>
                <w:sz w:val="20"/>
                <w:szCs w:val="20"/>
              </w:rPr>
              <w:t>AQF</w:t>
            </w:r>
            <w:proofErr w:type="spellEnd"/>
            <w:r w:rsidRPr="00141D36">
              <w:rPr>
                <w:rFonts w:ascii="Arial" w:hAnsi="Arial" w:cs="Arial"/>
                <w:sz w:val="20"/>
                <w:szCs w:val="20"/>
              </w:rPr>
              <w:t xml:space="preserve"> qualifications, by Indigenous status     </w:t>
            </w:r>
          </w:p>
        </w:tc>
      </w:tr>
      <w:tr w:rsidR="0066684A" w:rsidRPr="00141D36" w:rsidTr="0066684A">
        <w:trPr>
          <w:trHeight w:val="867"/>
        </w:trPr>
        <w:tc>
          <w:tcPr>
            <w:tcW w:w="1440" w:type="dxa"/>
            <w:tcBorders>
              <w:top w:val="nil"/>
              <w:left w:val="nil"/>
              <w:bottom w:val="nil"/>
              <w:right w:val="nil"/>
            </w:tcBorders>
            <w:shd w:val="clear" w:color="auto" w:fill="auto"/>
            <w:noWrap/>
            <w:hideMark/>
          </w:tcPr>
          <w:p w:rsidR="0066684A" w:rsidRPr="00141D36" w:rsidRDefault="0066684A" w:rsidP="0066684A">
            <w:pPr>
              <w:rPr>
                <w:rFonts w:ascii="Arial" w:hAnsi="Arial" w:cs="Arial"/>
                <w:b/>
                <w:bCs/>
                <w:color w:val="0000FF"/>
                <w:sz w:val="20"/>
                <w:szCs w:val="20"/>
              </w:rPr>
            </w:pPr>
            <w:r w:rsidRPr="00141D36">
              <w:rPr>
                <w:rFonts w:ascii="Arial" w:hAnsi="Arial" w:cs="Arial"/>
                <w:b/>
                <w:bCs/>
                <w:color w:val="0000FF"/>
                <w:sz w:val="20"/>
                <w:szCs w:val="20"/>
              </w:rPr>
              <w:t xml:space="preserve">Table </w:t>
            </w:r>
            <w:proofErr w:type="spellStart"/>
            <w:r w:rsidRPr="00141D36">
              <w:rPr>
                <w:rFonts w:ascii="Arial" w:hAnsi="Arial" w:cs="Arial"/>
                <w:b/>
                <w:bCs/>
                <w:color w:val="0000FF"/>
                <w:sz w:val="20"/>
                <w:szCs w:val="20"/>
              </w:rPr>
              <w:t>5A.55</w:t>
            </w:r>
            <w:proofErr w:type="spellEnd"/>
          </w:p>
        </w:tc>
        <w:tc>
          <w:tcPr>
            <w:tcW w:w="7420" w:type="dxa"/>
            <w:tcBorders>
              <w:top w:val="nil"/>
              <w:left w:val="nil"/>
              <w:bottom w:val="nil"/>
              <w:right w:val="nil"/>
            </w:tcBorders>
            <w:shd w:val="clear" w:color="auto" w:fill="auto"/>
            <w:hideMark/>
          </w:tcPr>
          <w:p w:rsidR="0066684A" w:rsidRPr="00141D36" w:rsidRDefault="0066684A" w:rsidP="0066684A">
            <w:pPr>
              <w:jc w:val="both"/>
              <w:rPr>
                <w:rFonts w:ascii="Arial" w:hAnsi="Arial" w:cs="Arial"/>
                <w:sz w:val="20"/>
                <w:szCs w:val="20"/>
              </w:rPr>
            </w:pPr>
            <w:r w:rsidRPr="00141D36">
              <w:rPr>
                <w:rFonts w:ascii="Arial" w:hAnsi="Arial" w:cs="Arial"/>
                <w:sz w:val="20"/>
                <w:szCs w:val="20"/>
              </w:rPr>
              <w:t xml:space="preserve">VET qualification completions by students aged 20–64 years with improved education/training status after training, as a per cent of course enrolments by students aged 20–64 years undertaking </w:t>
            </w:r>
            <w:proofErr w:type="spellStart"/>
            <w:r w:rsidRPr="00141D36">
              <w:rPr>
                <w:rFonts w:ascii="Arial" w:hAnsi="Arial" w:cs="Arial"/>
                <w:sz w:val="20"/>
                <w:szCs w:val="20"/>
              </w:rPr>
              <w:t>AQF</w:t>
            </w:r>
            <w:proofErr w:type="spellEnd"/>
            <w:r w:rsidRPr="00141D36">
              <w:rPr>
                <w:rFonts w:ascii="Arial" w:hAnsi="Arial" w:cs="Arial"/>
                <w:sz w:val="20"/>
                <w:szCs w:val="20"/>
              </w:rPr>
              <w:t xml:space="preserve"> qualifications, by Indigenous status     </w:t>
            </w:r>
          </w:p>
        </w:tc>
      </w:tr>
      <w:tr w:rsidR="0066684A" w:rsidRPr="00141D36" w:rsidTr="0066684A">
        <w:trPr>
          <w:trHeight w:val="612"/>
        </w:trPr>
        <w:tc>
          <w:tcPr>
            <w:tcW w:w="1440" w:type="dxa"/>
            <w:tcBorders>
              <w:top w:val="nil"/>
              <w:left w:val="nil"/>
              <w:bottom w:val="nil"/>
              <w:right w:val="nil"/>
            </w:tcBorders>
            <w:shd w:val="clear" w:color="auto" w:fill="auto"/>
            <w:noWrap/>
            <w:hideMark/>
          </w:tcPr>
          <w:p w:rsidR="0066684A" w:rsidRPr="00141D36" w:rsidRDefault="0066684A" w:rsidP="0066684A">
            <w:pPr>
              <w:rPr>
                <w:rFonts w:ascii="Arial" w:hAnsi="Arial" w:cs="Arial"/>
                <w:b/>
                <w:bCs/>
                <w:color w:val="0000FF"/>
                <w:sz w:val="20"/>
                <w:szCs w:val="20"/>
              </w:rPr>
            </w:pPr>
            <w:r w:rsidRPr="00141D36">
              <w:rPr>
                <w:rFonts w:ascii="Arial" w:hAnsi="Arial" w:cs="Arial"/>
                <w:b/>
                <w:bCs/>
                <w:color w:val="0000FF"/>
                <w:sz w:val="20"/>
                <w:szCs w:val="20"/>
              </w:rPr>
              <w:t xml:space="preserve">Table </w:t>
            </w:r>
            <w:proofErr w:type="spellStart"/>
            <w:r w:rsidRPr="00141D36">
              <w:rPr>
                <w:rFonts w:ascii="Arial" w:hAnsi="Arial" w:cs="Arial"/>
                <w:b/>
                <w:bCs/>
                <w:color w:val="0000FF"/>
                <w:sz w:val="20"/>
                <w:szCs w:val="20"/>
              </w:rPr>
              <w:t>5A.62</w:t>
            </w:r>
            <w:proofErr w:type="spellEnd"/>
          </w:p>
        </w:tc>
        <w:tc>
          <w:tcPr>
            <w:tcW w:w="7420" w:type="dxa"/>
            <w:tcBorders>
              <w:top w:val="nil"/>
              <w:left w:val="nil"/>
              <w:bottom w:val="nil"/>
              <w:right w:val="nil"/>
            </w:tcBorders>
            <w:shd w:val="clear" w:color="auto" w:fill="auto"/>
            <w:hideMark/>
          </w:tcPr>
          <w:p w:rsidR="0066684A" w:rsidRPr="00141D36" w:rsidRDefault="0066684A" w:rsidP="0066684A">
            <w:pPr>
              <w:jc w:val="both"/>
              <w:rPr>
                <w:rFonts w:ascii="Arial" w:hAnsi="Arial" w:cs="Arial"/>
                <w:sz w:val="20"/>
                <w:szCs w:val="20"/>
              </w:rPr>
            </w:pPr>
            <w:r w:rsidRPr="00141D36">
              <w:rPr>
                <w:rFonts w:ascii="Arial" w:hAnsi="Arial" w:cs="Arial"/>
                <w:sz w:val="20"/>
                <w:szCs w:val="20"/>
              </w:rPr>
              <w:t xml:space="preserve">Whether course helped graduates achieve their main reason for undertaking training, Aboriginal and Torres Strait Islander graduates    </w:t>
            </w:r>
          </w:p>
        </w:tc>
      </w:tr>
      <w:tr w:rsidR="0066684A" w:rsidRPr="00141D36" w:rsidTr="0066684A">
        <w:trPr>
          <w:trHeight w:val="612"/>
        </w:trPr>
        <w:tc>
          <w:tcPr>
            <w:tcW w:w="1440" w:type="dxa"/>
            <w:tcBorders>
              <w:top w:val="nil"/>
              <w:left w:val="nil"/>
              <w:bottom w:val="nil"/>
              <w:right w:val="nil"/>
            </w:tcBorders>
            <w:shd w:val="clear" w:color="auto" w:fill="auto"/>
            <w:noWrap/>
            <w:hideMark/>
          </w:tcPr>
          <w:p w:rsidR="0066684A" w:rsidRPr="00141D36" w:rsidRDefault="0066684A" w:rsidP="0066684A">
            <w:pPr>
              <w:rPr>
                <w:rFonts w:ascii="Arial" w:hAnsi="Arial" w:cs="Arial"/>
                <w:b/>
                <w:bCs/>
                <w:color w:val="0000FF"/>
                <w:sz w:val="20"/>
                <w:szCs w:val="20"/>
              </w:rPr>
            </w:pPr>
            <w:r w:rsidRPr="00141D36">
              <w:rPr>
                <w:rFonts w:ascii="Arial" w:hAnsi="Arial" w:cs="Arial"/>
                <w:b/>
                <w:bCs/>
                <w:color w:val="0000FF"/>
                <w:sz w:val="20"/>
                <w:szCs w:val="20"/>
              </w:rPr>
              <w:t xml:space="preserve">Table </w:t>
            </w:r>
            <w:proofErr w:type="spellStart"/>
            <w:r w:rsidRPr="00141D36">
              <w:rPr>
                <w:rFonts w:ascii="Arial" w:hAnsi="Arial" w:cs="Arial"/>
                <w:b/>
                <w:bCs/>
                <w:color w:val="0000FF"/>
                <w:sz w:val="20"/>
                <w:szCs w:val="20"/>
              </w:rPr>
              <w:t>5A.71</w:t>
            </w:r>
            <w:proofErr w:type="spellEnd"/>
          </w:p>
        </w:tc>
        <w:tc>
          <w:tcPr>
            <w:tcW w:w="7420" w:type="dxa"/>
            <w:tcBorders>
              <w:top w:val="nil"/>
              <w:left w:val="nil"/>
              <w:bottom w:val="nil"/>
              <w:right w:val="nil"/>
            </w:tcBorders>
            <w:shd w:val="clear" w:color="auto" w:fill="auto"/>
            <w:hideMark/>
          </w:tcPr>
          <w:p w:rsidR="0066684A" w:rsidRPr="00141D36" w:rsidRDefault="0066684A" w:rsidP="0066684A">
            <w:pPr>
              <w:jc w:val="both"/>
              <w:rPr>
                <w:rFonts w:ascii="Arial" w:hAnsi="Arial" w:cs="Arial"/>
                <w:sz w:val="20"/>
                <w:szCs w:val="20"/>
              </w:rPr>
            </w:pPr>
            <w:r w:rsidRPr="00141D36">
              <w:rPr>
                <w:rFonts w:ascii="Arial" w:hAnsi="Arial" w:cs="Arial"/>
                <w:sz w:val="20"/>
                <w:szCs w:val="20"/>
              </w:rPr>
              <w:t xml:space="preserve">Proportion of Aboriginal and Torres Strait Islander graduates who were satisfied with the quality of their completed course, by purpose of study     </w:t>
            </w:r>
          </w:p>
        </w:tc>
      </w:tr>
      <w:tr w:rsidR="0066684A" w:rsidRPr="00141D36" w:rsidTr="0066684A">
        <w:trPr>
          <w:trHeight w:val="357"/>
        </w:trPr>
        <w:tc>
          <w:tcPr>
            <w:tcW w:w="1440" w:type="dxa"/>
            <w:tcBorders>
              <w:top w:val="nil"/>
              <w:left w:val="nil"/>
              <w:bottom w:val="nil"/>
              <w:right w:val="nil"/>
            </w:tcBorders>
            <w:shd w:val="clear" w:color="auto" w:fill="auto"/>
            <w:noWrap/>
            <w:hideMark/>
          </w:tcPr>
          <w:p w:rsidR="0066684A" w:rsidRPr="00141D36" w:rsidRDefault="0066684A" w:rsidP="0066684A">
            <w:pPr>
              <w:rPr>
                <w:rFonts w:ascii="Arial" w:hAnsi="Arial" w:cs="Arial"/>
                <w:b/>
                <w:bCs/>
                <w:color w:val="0000FF"/>
                <w:sz w:val="20"/>
                <w:szCs w:val="20"/>
              </w:rPr>
            </w:pPr>
            <w:r w:rsidRPr="00141D36">
              <w:rPr>
                <w:rFonts w:ascii="Arial" w:hAnsi="Arial" w:cs="Arial"/>
                <w:b/>
                <w:bCs/>
                <w:color w:val="0000FF"/>
                <w:sz w:val="20"/>
                <w:szCs w:val="20"/>
              </w:rPr>
              <w:t xml:space="preserve">Table </w:t>
            </w:r>
            <w:proofErr w:type="spellStart"/>
            <w:r w:rsidRPr="00141D36">
              <w:rPr>
                <w:rFonts w:ascii="Arial" w:hAnsi="Arial" w:cs="Arial"/>
                <w:b/>
                <w:bCs/>
                <w:color w:val="0000FF"/>
                <w:sz w:val="20"/>
                <w:szCs w:val="20"/>
              </w:rPr>
              <w:t>5A.79</w:t>
            </w:r>
            <w:proofErr w:type="spellEnd"/>
          </w:p>
        </w:tc>
        <w:tc>
          <w:tcPr>
            <w:tcW w:w="7420" w:type="dxa"/>
            <w:tcBorders>
              <w:top w:val="nil"/>
              <w:left w:val="nil"/>
              <w:bottom w:val="nil"/>
              <w:right w:val="nil"/>
            </w:tcBorders>
            <w:shd w:val="clear" w:color="auto" w:fill="auto"/>
            <w:hideMark/>
          </w:tcPr>
          <w:p w:rsidR="0066684A" w:rsidRPr="00141D36" w:rsidRDefault="0066684A" w:rsidP="0068105B">
            <w:pPr>
              <w:jc w:val="both"/>
              <w:rPr>
                <w:rFonts w:ascii="Arial" w:hAnsi="Arial" w:cs="Arial"/>
                <w:sz w:val="20"/>
                <w:szCs w:val="20"/>
              </w:rPr>
            </w:pPr>
            <w:r w:rsidRPr="00141D36">
              <w:rPr>
                <w:rFonts w:ascii="Arial" w:hAnsi="Arial" w:cs="Arial"/>
                <w:sz w:val="20"/>
                <w:szCs w:val="20"/>
              </w:rPr>
              <w:t>Number of VET qualifications comp</w:t>
            </w:r>
            <w:r w:rsidR="0068105B">
              <w:rPr>
                <w:rFonts w:ascii="Arial" w:hAnsi="Arial" w:cs="Arial"/>
                <w:sz w:val="20"/>
                <w:szCs w:val="20"/>
              </w:rPr>
              <w:t>leted, by Indigenous status</w:t>
            </w:r>
          </w:p>
        </w:tc>
      </w:tr>
      <w:tr w:rsidR="0066684A" w:rsidRPr="00141D36" w:rsidTr="0066684A">
        <w:trPr>
          <w:trHeight w:val="612"/>
        </w:trPr>
        <w:tc>
          <w:tcPr>
            <w:tcW w:w="1440" w:type="dxa"/>
            <w:tcBorders>
              <w:top w:val="nil"/>
              <w:left w:val="nil"/>
              <w:bottom w:val="nil"/>
              <w:right w:val="nil"/>
            </w:tcBorders>
            <w:shd w:val="clear" w:color="auto" w:fill="auto"/>
            <w:noWrap/>
            <w:hideMark/>
          </w:tcPr>
          <w:p w:rsidR="0066684A" w:rsidRPr="00141D36" w:rsidRDefault="0066684A" w:rsidP="0066684A">
            <w:pPr>
              <w:rPr>
                <w:rFonts w:ascii="Arial" w:hAnsi="Arial" w:cs="Arial"/>
                <w:b/>
                <w:bCs/>
                <w:color w:val="0000FF"/>
                <w:sz w:val="20"/>
                <w:szCs w:val="20"/>
              </w:rPr>
            </w:pPr>
            <w:r w:rsidRPr="00141D36">
              <w:rPr>
                <w:rFonts w:ascii="Arial" w:hAnsi="Arial" w:cs="Arial"/>
                <w:b/>
                <w:bCs/>
                <w:color w:val="0000FF"/>
                <w:sz w:val="20"/>
                <w:szCs w:val="20"/>
              </w:rPr>
              <w:t xml:space="preserve">Table </w:t>
            </w:r>
            <w:proofErr w:type="spellStart"/>
            <w:r w:rsidRPr="00141D36">
              <w:rPr>
                <w:rFonts w:ascii="Arial" w:hAnsi="Arial" w:cs="Arial"/>
                <w:b/>
                <w:bCs/>
                <w:color w:val="0000FF"/>
                <w:sz w:val="20"/>
                <w:szCs w:val="20"/>
              </w:rPr>
              <w:t>5A.84</w:t>
            </w:r>
            <w:proofErr w:type="spellEnd"/>
          </w:p>
        </w:tc>
        <w:tc>
          <w:tcPr>
            <w:tcW w:w="7420" w:type="dxa"/>
            <w:tcBorders>
              <w:top w:val="nil"/>
              <w:left w:val="nil"/>
              <w:bottom w:val="nil"/>
              <w:right w:val="nil"/>
            </w:tcBorders>
            <w:shd w:val="clear" w:color="auto" w:fill="auto"/>
            <w:hideMark/>
          </w:tcPr>
          <w:p w:rsidR="0066684A" w:rsidRPr="00141D36" w:rsidRDefault="0066684A" w:rsidP="0066684A">
            <w:pPr>
              <w:jc w:val="both"/>
              <w:rPr>
                <w:rFonts w:ascii="Arial" w:hAnsi="Arial" w:cs="Arial"/>
                <w:sz w:val="20"/>
                <w:szCs w:val="20"/>
              </w:rPr>
            </w:pPr>
            <w:r w:rsidRPr="00141D36">
              <w:rPr>
                <w:rFonts w:ascii="Arial" w:hAnsi="Arial" w:cs="Arial"/>
                <w:sz w:val="20"/>
                <w:szCs w:val="20"/>
              </w:rPr>
              <w:t xml:space="preserve">VET qualifications completed by course level, Indigenous status and target age group      </w:t>
            </w:r>
          </w:p>
        </w:tc>
      </w:tr>
      <w:tr w:rsidR="0066684A" w:rsidRPr="00141D36" w:rsidTr="0066684A">
        <w:trPr>
          <w:trHeight w:val="357"/>
        </w:trPr>
        <w:tc>
          <w:tcPr>
            <w:tcW w:w="1440" w:type="dxa"/>
            <w:tcBorders>
              <w:top w:val="nil"/>
              <w:left w:val="nil"/>
              <w:bottom w:val="nil"/>
              <w:right w:val="nil"/>
            </w:tcBorders>
            <w:shd w:val="clear" w:color="auto" w:fill="auto"/>
            <w:noWrap/>
            <w:hideMark/>
          </w:tcPr>
          <w:p w:rsidR="0066684A" w:rsidRPr="00141D36" w:rsidRDefault="0066684A" w:rsidP="0066684A">
            <w:pPr>
              <w:rPr>
                <w:rFonts w:ascii="Arial" w:hAnsi="Arial" w:cs="Arial"/>
                <w:b/>
                <w:bCs/>
                <w:color w:val="0000FF"/>
                <w:sz w:val="20"/>
                <w:szCs w:val="20"/>
              </w:rPr>
            </w:pPr>
            <w:r w:rsidRPr="00141D36">
              <w:rPr>
                <w:rFonts w:ascii="Arial" w:hAnsi="Arial" w:cs="Arial"/>
                <w:b/>
                <w:bCs/>
                <w:color w:val="0000FF"/>
                <w:sz w:val="20"/>
                <w:szCs w:val="20"/>
              </w:rPr>
              <w:t xml:space="preserve">Table </w:t>
            </w:r>
            <w:proofErr w:type="spellStart"/>
            <w:r w:rsidRPr="00141D36">
              <w:rPr>
                <w:rFonts w:ascii="Arial" w:hAnsi="Arial" w:cs="Arial"/>
                <w:b/>
                <w:bCs/>
                <w:color w:val="0000FF"/>
                <w:sz w:val="20"/>
                <w:szCs w:val="20"/>
              </w:rPr>
              <w:t>5A.85</w:t>
            </w:r>
            <w:proofErr w:type="spellEnd"/>
          </w:p>
        </w:tc>
        <w:tc>
          <w:tcPr>
            <w:tcW w:w="7420" w:type="dxa"/>
            <w:tcBorders>
              <w:top w:val="nil"/>
              <w:left w:val="nil"/>
              <w:bottom w:val="nil"/>
              <w:right w:val="nil"/>
            </w:tcBorders>
            <w:shd w:val="clear" w:color="auto" w:fill="auto"/>
            <w:hideMark/>
          </w:tcPr>
          <w:p w:rsidR="0066684A" w:rsidRPr="00141D36" w:rsidRDefault="0066684A" w:rsidP="0066684A">
            <w:pPr>
              <w:jc w:val="both"/>
              <w:rPr>
                <w:rFonts w:ascii="Arial" w:hAnsi="Arial" w:cs="Arial"/>
                <w:sz w:val="20"/>
                <w:szCs w:val="20"/>
              </w:rPr>
            </w:pPr>
            <w:r w:rsidRPr="00141D36">
              <w:rPr>
                <w:rFonts w:ascii="Arial" w:hAnsi="Arial" w:cs="Arial"/>
                <w:sz w:val="20"/>
                <w:szCs w:val="20"/>
              </w:rPr>
              <w:t xml:space="preserve">Qualification Equivalents, all ages, by Indigenous status     </w:t>
            </w:r>
          </w:p>
        </w:tc>
      </w:tr>
      <w:tr w:rsidR="0066684A" w:rsidRPr="0066684A" w:rsidTr="0066684A">
        <w:trPr>
          <w:trHeight w:val="357"/>
        </w:trPr>
        <w:tc>
          <w:tcPr>
            <w:tcW w:w="1440" w:type="dxa"/>
            <w:tcBorders>
              <w:top w:val="nil"/>
              <w:left w:val="nil"/>
              <w:bottom w:val="nil"/>
              <w:right w:val="nil"/>
            </w:tcBorders>
            <w:shd w:val="clear" w:color="auto" w:fill="auto"/>
            <w:noWrap/>
            <w:hideMark/>
          </w:tcPr>
          <w:p w:rsidR="0066684A" w:rsidRPr="00141D36" w:rsidRDefault="0066684A" w:rsidP="0066684A">
            <w:pPr>
              <w:rPr>
                <w:rFonts w:ascii="Arial" w:hAnsi="Arial" w:cs="Arial"/>
                <w:b/>
                <w:bCs/>
                <w:color w:val="0000FF"/>
                <w:sz w:val="20"/>
                <w:szCs w:val="20"/>
              </w:rPr>
            </w:pPr>
            <w:r w:rsidRPr="00141D36">
              <w:rPr>
                <w:rFonts w:ascii="Arial" w:hAnsi="Arial" w:cs="Arial"/>
                <w:b/>
                <w:bCs/>
                <w:color w:val="0000FF"/>
                <w:sz w:val="20"/>
                <w:szCs w:val="20"/>
              </w:rPr>
              <w:t xml:space="preserve">Table </w:t>
            </w:r>
            <w:proofErr w:type="spellStart"/>
            <w:r w:rsidRPr="00141D36">
              <w:rPr>
                <w:rFonts w:ascii="Arial" w:hAnsi="Arial" w:cs="Arial"/>
                <w:b/>
                <w:bCs/>
                <w:color w:val="0000FF"/>
                <w:sz w:val="20"/>
                <w:szCs w:val="20"/>
              </w:rPr>
              <w:t>5A.90</w:t>
            </w:r>
            <w:proofErr w:type="spellEnd"/>
          </w:p>
        </w:tc>
        <w:tc>
          <w:tcPr>
            <w:tcW w:w="7420" w:type="dxa"/>
            <w:tcBorders>
              <w:top w:val="nil"/>
              <w:left w:val="nil"/>
              <w:bottom w:val="nil"/>
              <w:right w:val="nil"/>
            </w:tcBorders>
            <w:shd w:val="clear" w:color="auto" w:fill="auto"/>
            <w:hideMark/>
          </w:tcPr>
          <w:p w:rsidR="0066684A" w:rsidRPr="0066684A" w:rsidRDefault="0066684A" w:rsidP="0066684A">
            <w:pPr>
              <w:jc w:val="both"/>
              <w:rPr>
                <w:rFonts w:ascii="Arial" w:hAnsi="Arial" w:cs="Arial"/>
                <w:sz w:val="20"/>
                <w:szCs w:val="20"/>
              </w:rPr>
            </w:pPr>
            <w:r w:rsidRPr="00141D36">
              <w:rPr>
                <w:rFonts w:ascii="Arial" w:hAnsi="Arial" w:cs="Arial"/>
                <w:sz w:val="20"/>
                <w:szCs w:val="20"/>
              </w:rPr>
              <w:t>Number of units of competency and modules completed, by Indigenous status ('000)</w:t>
            </w:r>
            <w:r w:rsidRPr="0066684A">
              <w:rPr>
                <w:rFonts w:ascii="Arial" w:hAnsi="Arial" w:cs="Arial"/>
                <w:sz w:val="20"/>
                <w:szCs w:val="20"/>
              </w:rPr>
              <w:t xml:space="preserve">  </w:t>
            </w:r>
          </w:p>
        </w:tc>
      </w:tr>
      <w:bookmarkEnd w:id="43"/>
      <w:bookmarkEnd w:id="44"/>
    </w:tbl>
    <w:p w:rsidR="004D5D4F" w:rsidRPr="002D3A3F" w:rsidRDefault="004D5D4F" w:rsidP="00133B84">
      <w:pPr>
        <w:spacing w:before="240" w:line="300" w:lineRule="atLeast"/>
        <w:jc w:val="both"/>
      </w:pPr>
    </w:p>
    <w:sectPr w:rsidR="004D5D4F" w:rsidRPr="002D3A3F" w:rsidSect="0021241A">
      <w:headerReference w:type="even" r:id="rId41"/>
      <w:headerReference w:type="default" r:id="rId42"/>
      <w:footerReference w:type="even" r:id="rId43"/>
      <w:footerReference w:type="default" r:id="rId44"/>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7D33" w:rsidRDefault="00D57D33">
      <w:r>
        <w:separator/>
      </w:r>
    </w:p>
  </w:endnote>
  <w:endnote w:type="continuationSeparator" w:id="0">
    <w:p w:rsidR="00D57D33" w:rsidRDefault="00D57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D57D33" w:rsidTr="001E414C">
      <w:trPr>
        <w:trHeight w:hRule="exact" w:val="567"/>
      </w:trPr>
      <w:tc>
        <w:tcPr>
          <w:tcW w:w="510" w:type="dxa"/>
        </w:tcPr>
        <w:p w:rsidR="00D57D33" w:rsidRPr="00A24443" w:rsidRDefault="00D57D33" w:rsidP="0019293B">
          <w:pPr>
            <w:pStyle w:val="Footer"/>
            <w:tabs>
              <w:tab w:val="left" w:pos="0"/>
            </w:tabs>
            <w:ind w:right="0"/>
            <w:rPr>
              <w:rStyle w:val="PageNumber"/>
              <w:caps w:val="0"/>
            </w:rPr>
          </w:pPr>
          <w:r>
            <w:rPr>
              <w:rStyle w:val="PageNumber"/>
            </w:rPr>
            <w:fldChar w:fldCharType="begin"/>
          </w:r>
          <w:r>
            <w:rPr>
              <w:rStyle w:val="PageNumber"/>
            </w:rPr>
            <w:instrText xml:space="preserve"> COMMENTS  \* MERGEFORMAT </w:instrText>
          </w:r>
          <w:r>
            <w:rPr>
              <w:rStyle w:val="PageNumber"/>
            </w:rPr>
            <w:fldChar w:fldCharType="separate"/>
          </w:r>
          <w:r w:rsidR="00CB2060">
            <w:rPr>
              <w:rStyle w:val="PageNumber"/>
            </w:rPr>
            <w:t>5</w:t>
          </w:r>
          <w:r w:rsidR="0025710A">
            <w:rPr>
              <w:rStyle w:val="PageNumber"/>
            </w:rPr>
            <w:t>.</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034490">
            <w:rPr>
              <w:rStyle w:val="PageNumber"/>
              <w:noProof/>
            </w:rPr>
            <w:t>18</w:t>
          </w:r>
          <w:r>
            <w:rPr>
              <w:rStyle w:val="PageNumber"/>
            </w:rPr>
            <w:fldChar w:fldCharType="end"/>
          </w:r>
        </w:p>
      </w:tc>
      <w:tc>
        <w:tcPr>
          <w:tcW w:w="7767" w:type="dxa"/>
        </w:tcPr>
        <w:p w:rsidR="00D57D33" w:rsidRPr="0013739A" w:rsidRDefault="0025710A" w:rsidP="001E414C">
          <w:pPr>
            <w:pStyle w:val="Footer"/>
            <w:rPr>
              <w:rFonts w:cs="Arial"/>
            </w:rPr>
          </w:pPr>
          <w:r>
            <w:rPr>
              <w:rFonts w:cs="Arial"/>
            </w:rPr>
            <w:t>Report on Government Services 2015</w:t>
          </w:r>
          <w:bookmarkStart w:id="45" w:name="DraftReportEven"/>
          <w:bookmarkEnd w:id="45"/>
        </w:p>
      </w:tc>
      <w:tc>
        <w:tcPr>
          <w:tcW w:w="510" w:type="dxa"/>
        </w:tcPr>
        <w:p w:rsidR="00D57D33" w:rsidRDefault="00D57D33" w:rsidP="0019293B">
          <w:pPr>
            <w:pStyle w:val="Footer"/>
          </w:pPr>
        </w:p>
      </w:tc>
    </w:tr>
  </w:tbl>
  <w:p w:rsidR="00D57D33" w:rsidRDefault="00D57D33" w:rsidP="0019293B">
    <w:pPr>
      <w:pStyle w:val="FooterEnd"/>
    </w:pPr>
  </w:p>
  <w:p w:rsidR="00D57D33" w:rsidRDefault="00D57D33"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D57D33" w:rsidTr="001E414C">
      <w:trPr>
        <w:trHeight w:hRule="exact" w:val="567"/>
      </w:trPr>
      <w:tc>
        <w:tcPr>
          <w:tcW w:w="510" w:type="dxa"/>
        </w:tcPr>
        <w:p w:rsidR="00D57D33" w:rsidRDefault="00D57D33">
          <w:pPr>
            <w:pStyle w:val="Footer"/>
            <w:ind w:right="360" w:firstLine="360"/>
          </w:pPr>
        </w:p>
      </w:tc>
      <w:tc>
        <w:tcPr>
          <w:tcW w:w="7767" w:type="dxa"/>
        </w:tcPr>
        <w:p w:rsidR="00D57D33" w:rsidRPr="00BA5B14" w:rsidRDefault="0025710A" w:rsidP="001E414C">
          <w:pPr>
            <w:pStyle w:val="Footer"/>
            <w:jc w:val="right"/>
            <w:rPr>
              <w:rFonts w:cs="Arial"/>
            </w:rPr>
          </w:pPr>
          <w:r>
            <w:rPr>
              <w:rFonts w:cs="Arial"/>
            </w:rPr>
            <w:t>Indigenous Compendium 2015</w:t>
          </w:r>
        </w:p>
      </w:tc>
      <w:tc>
        <w:tcPr>
          <w:tcW w:w="510" w:type="dxa"/>
        </w:tcPr>
        <w:p w:rsidR="00D57D33" w:rsidRPr="00A24443" w:rsidRDefault="00D57D33">
          <w:pPr>
            <w:pStyle w:val="Footer"/>
            <w:jc w:val="right"/>
            <w:rPr>
              <w:caps w:val="0"/>
            </w:rPr>
          </w:pPr>
          <w:r>
            <w:rPr>
              <w:rStyle w:val="PageNumber"/>
            </w:rPr>
            <w:fldChar w:fldCharType="begin"/>
          </w:r>
          <w:r>
            <w:rPr>
              <w:rStyle w:val="PageNumber"/>
            </w:rPr>
            <w:instrText xml:space="preserve"> COMMENTS  \* MERGEFORMAT </w:instrText>
          </w:r>
          <w:r>
            <w:rPr>
              <w:rStyle w:val="PageNumber"/>
            </w:rPr>
            <w:fldChar w:fldCharType="separate"/>
          </w:r>
          <w:r w:rsidR="00CB2060">
            <w:rPr>
              <w:rStyle w:val="PageNumber"/>
            </w:rPr>
            <w:t>5</w:t>
          </w:r>
          <w:r w:rsidR="0025710A">
            <w:rPr>
              <w:rStyle w:val="PageNumber"/>
            </w:rPr>
            <w:t>.</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034490">
            <w:rPr>
              <w:rStyle w:val="PageNumber"/>
              <w:noProof/>
            </w:rPr>
            <w:t>19</w:t>
          </w:r>
          <w:r>
            <w:rPr>
              <w:rStyle w:val="PageNumber"/>
            </w:rPr>
            <w:fldChar w:fldCharType="end"/>
          </w:r>
        </w:p>
      </w:tc>
    </w:tr>
  </w:tbl>
  <w:p w:rsidR="00D57D33" w:rsidRDefault="00D57D33">
    <w:pPr>
      <w:pStyle w:val="FooterEnd"/>
    </w:pPr>
  </w:p>
  <w:p w:rsidR="00D57D33" w:rsidRDefault="00D57D33">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7D33" w:rsidRDefault="00D57D33">
      <w:r>
        <w:separator/>
      </w:r>
    </w:p>
  </w:footnote>
  <w:footnote w:type="continuationSeparator" w:id="0">
    <w:p w:rsidR="00D57D33" w:rsidRDefault="00D57D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57D33">
      <w:tc>
        <w:tcPr>
          <w:tcW w:w="2155" w:type="dxa"/>
          <w:tcBorders>
            <w:top w:val="single" w:sz="24" w:space="0" w:color="auto"/>
          </w:tcBorders>
        </w:tcPr>
        <w:p w:rsidR="00D57D33" w:rsidRDefault="00D57D33" w:rsidP="0019293B">
          <w:pPr>
            <w:pStyle w:val="HeaderEven"/>
          </w:pPr>
        </w:p>
      </w:tc>
      <w:tc>
        <w:tcPr>
          <w:tcW w:w="6634" w:type="dxa"/>
          <w:tcBorders>
            <w:top w:val="single" w:sz="6" w:space="0" w:color="auto"/>
          </w:tcBorders>
        </w:tcPr>
        <w:p w:rsidR="00D57D33" w:rsidRDefault="00D57D33" w:rsidP="00DC492D">
          <w:pPr>
            <w:pStyle w:val="HeaderEven"/>
            <w:jc w:val="right"/>
          </w:pPr>
        </w:p>
      </w:tc>
    </w:tr>
  </w:tbl>
  <w:p w:rsidR="00D57D33" w:rsidRDefault="00D57D33"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57D33">
      <w:tc>
        <w:tcPr>
          <w:tcW w:w="6634" w:type="dxa"/>
          <w:tcBorders>
            <w:top w:val="single" w:sz="6" w:space="0" w:color="auto"/>
          </w:tcBorders>
        </w:tcPr>
        <w:p w:rsidR="00D57D33" w:rsidRDefault="00D57D33" w:rsidP="00E669E2">
          <w:pPr>
            <w:pStyle w:val="HeaderOdd"/>
          </w:pPr>
        </w:p>
      </w:tc>
      <w:tc>
        <w:tcPr>
          <w:tcW w:w="2155" w:type="dxa"/>
          <w:tcBorders>
            <w:top w:val="single" w:sz="24" w:space="0" w:color="auto"/>
          </w:tcBorders>
        </w:tcPr>
        <w:p w:rsidR="00D57D33" w:rsidRDefault="00D57D33" w:rsidP="00E669E2">
          <w:pPr>
            <w:pStyle w:val="HeaderOdd"/>
          </w:pPr>
        </w:p>
      </w:tc>
    </w:tr>
  </w:tbl>
  <w:p w:rsidR="00D57D33" w:rsidRDefault="00D57D33"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0B5AF1CA"/>
    <w:lvl w:ilvl="0">
      <w:start w:val="1"/>
      <w:numFmt w:val="decimal"/>
      <w:lvlText w:val="%1."/>
      <w:lvlJc w:val="left"/>
      <w:pPr>
        <w:tabs>
          <w:tab w:val="num" w:pos="360"/>
        </w:tabs>
        <w:ind w:left="360" w:hanging="360"/>
      </w:p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B8823CA"/>
    <w:multiLevelType w:val="hybridMultilevel"/>
    <w:tmpl w:val="82F0CFFE"/>
    <w:lvl w:ilvl="0" w:tplc="7054B5E4">
      <w:start w:val="1"/>
      <w:numFmt w:val="bullet"/>
      <w:lvlText w:val="●"/>
      <w:lvlJc w:val="left"/>
      <w:pPr>
        <w:ind w:left="720" w:hanging="360"/>
      </w:pPr>
      <w:rPr>
        <w:rFonts w:ascii="Times New Roman" w:hAnsi="Times New Roman" w:cs="Times New Roman"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E987F3F"/>
    <w:multiLevelType w:val="hybridMultilevel"/>
    <w:tmpl w:val="EE1C25F2"/>
    <w:lvl w:ilvl="0" w:tplc="8CEE1278">
      <w:start w:val="2"/>
      <w:numFmt w:val="decimal"/>
      <w:lvlText w:val="%1"/>
      <w:lvlJc w:val="left"/>
      <w:pPr>
        <w:ind w:left="1260" w:hanging="90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1">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2">
    <w:nsid w:val="14634391"/>
    <w:multiLevelType w:val="multilevel"/>
    <w:tmpl w:val="B4BE7C38"/>
    <w:lvl w:ilvl="0">
      <w:start w:val="5"/>
      <w:numFmt w:val="decimal"/>
      <w:suff w:val="space"/>
      <w:lvlText w:val="%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nsid w:val="1AB25CDE"/>
    <w:multiLevelType w:val="singleLevel"/>
    <w:tmpl w:val="3086CA22"/>
    <w:lvl w:ilvl="0">
      <w:start w:val="1"/>
      <w:numFmt w:val="decimal"/>
      <w:lvlText w:val="%1."/>
      <w:legacy w:legacy="1" w:legacySpace="0" w:legacyIndent="340"/>
      <w:lvlJc w:val="left"/>
      <w:pPr>
        <w:ind w:left="340" w:hanging="340"/>
      </w:pPr>
    </w:lvl>
  </w:abstractNum>
  <w:abstractNum w:abstractNumId="14">
    <w:nsid w:val="1CD85103"/>
    <w:multiLevelType w:val="multilevel"/>
    <w:tmpl w:val="254E8602"/>
    <w:lvl w:ilvl="0">
      <w:start w:val="5"/>
      <w:numFmt w:val="decimal"/>
      <w:suff w:val="space"/>
      <w:lvlText w:val="%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
    <w:nsid w:val="1E9160A4"/>
    <w:multiLevelType w:val="hybridMultilevel"/>
    <w:tmpl w:val="6CEAC950"/>
    <w:lvl w:ilvl="0" w:tplc="432AEC8C">
      <w:start w:val="1"/>
      <w:numFmt w:val="bullet"/>
      <w:lvlText w:val=""/>
      <w:lvlJc w:val="left"/>
      <w:pPr>
        <w:tabs>
          <w:tab w:val="num" w:pos="624"/>
        </w:tabs>
        <w:ind w:left="680" w:hanging="34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7">
    <w:nsid w:val="245C11D2"/>
    <w:multiLevelType w:val="hybridMultilevel"/>
    <w:tmpl w:val="C99627D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8">
    <w:nsid w:val="249C1DEA"/>
    <w:multiLevelType w:val="singleLevel"/>
    <w:tmpl w:val="BFF252C2"/>
    <w:lvl w:ilvl="0">
      <w:start w:val="1"/>
      <w:numFmt w:val="decimal"/>
      <w:lvlText w:val="%1."/>
      <w:legacy w:legacy="1" w:legacySpace="0" w:legacyIndent="340"/>
      <w:lvlJc w:val="left"/>
      <w:pPr>
        <w:ind w:left="340" w:hanging="340"/>
      </w:pPr>
    </w:lvl>
  </w:abstractNum>
  <w:abstractNum w:abstractNumId="19">
    <w:nsid w:val="27440C8B"/>
    <w:multiLevelType w:val="multilevel"/>
    <w:tmpl w:val="F2A403A2"/>
    <w:lvl w:ilvl="0">
      <w:start w:val="1"/>
      <w:numFmt w:val="bullet"/>
      <w:lvlRestart w:val="0"/>
      <w:pStyle w:val="Bullet"/>
      <w:lvlText w:val="•"/>
      <w:lvlJc w:val="left"/>
      <w:pPr>
        <w:tabs>
          <w:tab w:val="num" w:pos="283"/>
        </w:tabs>
        <w:ind w:left="283" w:hanging="283"/>
      </w:pPr>
      <w:rPr>
        <w:rFonts w:ascii="Times New Roman" w:hAnsi="Times New Roman"/>
        <w:b w:val="0"/>
        <w:i w:val="0"/>
      </w:rPr>
    </w:lvl>
    <w:lvl w:ilvl="1">
      <w:start w:val="1"/>
      <w:numFmt w:val="bullet"/>
      <w:pStyle w:val="Dash"/>
      <w:lvlText w:val="–"/>
      <w:lvlJc w:val="left"/>
      <w:pPr>
        <w:tabs>
          <w:tab w:val="num" w:pos="567"/>
        </w:tabs>
        <w:ind w:left="567" w:hanging="284"/>
      </w:pPr>
      <w:rPr>
        <w:rFonts w:ascii="Times New Roman" w:hAnsi="Times New Roman"/>
        <w:b w:val="0"/>
        <w:i w:val="0"/>
      </w:rPr>
    </w:lvl>
    <w:lvl w:ilvl="2">
      <w:start w:val="1"/>
      <w:numFmt w:val="bullet"/>
      <w:pStyle w:val="Bullet"/>
      <w:lvlText w:val=":"/>
      <w:lvlJc w:val="left"/>
      <w:pPr>
        <w:tabs>
          <w:tab w:val="num" w:pos="850"/>
        </w:tabs>
        <w:ind w:left="850" w:hanging="283"/>
      </w:pPr>
      <w:rPr>
        <w:rFonts w:ascii="Times New Roman" w:hAnsi="Times New Roman"/>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20">
    <w:nsid w:val="2A4B499F"/>
    <w:multiLevelType w:val="hybridMultilevel"/>
    <w:tmpl w:val="A4DAC04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3">
    <w:nsid w:val="31DC06FE"/>
    <w:multiLevelType w:val="hybridMultilevel"/>
    <w:tmpl w:val="DC1466CA"/>
    <w:lvl w:ilvl="0" w:tplc="07629090">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C674247"/>
    <w:multiLevelType w:val="multilevel"/>
    <w:tmpl w:val="76B0D578"/>
    <w:lvl w:ilvl="0">
      <w:start w:val="5"/>
      <w:numFmt w:val="decimal"/>
      <w:suff w:val="space"/>
      <w:lvlText w:val="%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7504F04"/>
    <w:multiLevelType w:val="hybridMultilevel"/>
    <w:tmpl w:val="05D4035C"/>
    <w:lvl w:ilvl="0" w:tplc="7054B5E4">
      <w:start w:val="1"/>
      <w:numFmt w:val="bullet"/>
      <w:lvlText w:val="●"/>
      <w:lvlJc w:val="left"/>
      <w:pPr>
        <w:ind w:left="720" w:hanging="360"/>
      </w:pPr>
      <w:rPr>
        <w:rFonts w:ascii="Times New Roman" w:hAnsi="Times New Roman" w:cs="Times New Roman"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C3F2CDD"/>
    <w:multiLevelType w:val="hybridMultilevel"/>
    <w:tmpl w:val="4B123F5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2">
    <w:nsid w:val="5DFA7A21"/>
    <w:multiLevelType w:val="multilevel"/>
    <w:tmpl w:val="14567720"/>
    <w:lvl w:ilvl="0">
      <w:start w:val="5"/>
      <w:numFmt w:val="decimal"/>
      <w:suff w:val="space"/>
      <w:lvlText w:val="%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3">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5">
    <w:nsid w:val="6B915E54"/>
    <w:multiLevelType w:val="multilevel"/>
    <w:tmpl w:val="FB2ED4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nsid w:val="6D0B19E7"/>
    <w:multiLevelType w:val="hybridMultilevel"/>
    <w:tmpl w:val="AD2CF428"/>
    <w:lvl w:ilvl="0" w:tplc="CA52360A">
      <w:start w:val="1"/>
      <w:numFmt w:val="bullet"/>
      <w:lvlText w:val=""/>
      <w:lvlJc w:val="left"/>
      <w:pPr>
        <w:tabs>
          <w:tab w:val="num" w:pos="360"/>
        </w:tabs>
        <w:ind w:left="360" w:hanging="360"/>
      </w:pPr>
      <w:rPr>
        <w:rFonts w:ascii="Symbol" w:hAnsi="Symbol" w:hint="default"/>
        <w:color w:val="auto"/>
        <w:sz w:val="26"/>
        <w:szCs w:val="26"/>
      </w:rPr>
    </w:lvl>
    <w:lvl w:ilvl="1" w:tplc="95C2A26E">
      <w:start w:val="1"/>
      <w:numFmt w:val="bullet"/>
      <w:lvlText w:val="­"/>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7">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38">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39">
    <w:nsid w:val="7BFB21C6"/>
    <w:multiLevelType w:val="multilevel"/>
    <w:tmpl w:val="2BCCC082"/>
    <w:lvl w:ilvl="0">
      <w:start w:val="5"/>
      <w:numFmt w:val="decimal"/>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22"/>
  </w:num>
  <w:num w:numId="2">
    <w:abstractNumId w:val="5"/>
  </w:num>
  <w:num w:numId="3">
    <w:abstractNumId w:val="37"/>
  </w:num>
  <w:num w:numId="4">
    <w:abstractNumId w:val="3"/>
  </w:num>
  <w:num w:numId="5">
    <w:abstractNumId w:val="26"/>
  </w:num>
  <w:num w:numId="6">
    <w:abstractNumId w:val="4"/>
  </w:num>
  <w:num w:numId="7">
    <w:abstractNumId w:val="34"/>
  </w:num>
  <w:num w:numId="8">
    <w:abstractNumId w:val="28"/>
  </w:num>
  <w:num w:numId="9">
    <w:abstractNumId w:val="38"/>
  </w:num>
  <w:num w:numId="10">
    <w:abstractNumId w:val="16"/>
  </w:num>
  <w:num w:numId="11">
    <w:abstractNumId w:val="10"/>
  </w:num>
  <w:num w:numId="12">
    <w:abstractNumId w:val="27"/>
  </w:num>
  <w:num w:numId="13">
    <w:abstractNumId w:val="9"/>
  </w:num>
  <w:num w:numId="14">
    <w:abstractNumId w:val="7"/>
  </w:num>
  <w:num w:numId="15">
    <w:abstractNumId w:val="2"/>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16">
    <w:abstractNumId w:val="21"/>
  </w:num>
  <w:num w:numId="17">
    <w:abstractNumId w:val="24"/>
  </w:num>
  <w:num w:numId="18">
    <w:abstractNumId w:val="30"/>
  </w:num>
  <w:num w:numId="19">
    <w:abstractNumId w:val="18"/>
  </w:num>
  <w:num w:numId="20">
    <w:abstractNumId w:val="33"/>
  </w:num>
  <w:num w:numId="21">
    <w:abstractNumId w:val="11"/>
  </w:num>
  <w:num w:numId="22">
    <w:abstractNumId w:val="0"/>
  </w:num>
  <w:num w:numId="23">
    <w:abstractNumId w:val="2"/>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4">
    <w:abstractNumId w:val="1"/>
  </w:num>
  <w:num w:numId="25">
    <w:abstractNumId w:val="19"/>
  </w:num>
  <w:num w:numId="26">
    <w:abstractNumId w:val="8"/>
  </w:num>
  <w:num w:numId="27">
    <w:abstractNumId w:val="15"/>
  </w:num>
  <w:num w:numId="28">
    <w:abstractNumId w:val="31"/>
  </w:num>
  <w:num w:numId="29">
    <w:abstractNumId w:val="13"/>
  </w:num>
  <w:num w:numId="30">
    <w:abstractNumId w:val="17"/>
  </w:num>
  <w:num w:numId="31">
    <w:abstractNumId w:val="36"/>
  </w:num>
  <w:num w:numId="32">
    <w:abstractNumId w:val="20"/>
  </w:num>
  <w:num w:numId="33">
    <w:abstractNumId w:val="23"/>
  </w:num>
  <w:num w:numId="34">
    <w:abstractNumId w:val="22"/>
  </w:num>
  <w:num w:numId="35">
    <w:abstractNumId w:val="35"/>
  </w:num>
  <w:num w:numId="36">
    <w:abstractNumId w:val="25"/>
  </w:num>
  <w:num w:numId="37">
    <w:abstractNumId w:val="14"/>
  </w:num>
  <w:num w:numId="38">
    <w:abstractNumId w:val="12"/>
  </w:num>
  <w:num w:numId="39">
    <w:abstractNumId w:val="32"/>
  </w:num>
  <w:num w:numId="40">
    <w:abstractNumId w:val="39"/>
  </w:num>
  <w:num w:numId="41">
    <w:abstractNumId w:val="29"/>
  </w:num>
  <w:num w:numId="42">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457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Indigenous Compendium 2015"/>
    <w:docVar w:name="ShortReportTitle" w:val="Report on Government Services 2015"/>
  </w:docVars>
  <w:rsids>
    <w:rsidRoot w:val="00FF51E1"/>
    <w:rsid w:val="00003EEC"/>
    <w:rsid w:val="00006455"/>
    <w:rsid w:val="000065E2"/>
    <w:rsid w:val="000227D5"/>
    <w:rsid w:val="000245AA"/>
    <w:rsid w:val="00024F19"/>
    <w:rsid w:val="00030032"/>
    <w:rsid w:val="00034490"/>
    <w:rsid w:val="0003664B"/>
    <w:rsid w:val="000367AC"/>
    <w:rsid w:val="00036FB1"/>
    <w:rsid w:val="00037649"/>
    <w:rsid w:val="0004111F"/>
    <w:rsid w:val="00042EB0"/>
    <w:rsid w:val="00043CAB"/>
    <w:rsid w:val="0005037C"/>
    <w:rsid w:val="00050D19"/>
    <w:rsid w:val="000565B3"/>
    <w:rsid w:val="00056E65"/>
    <w:rsid w:val="0006615C"/>
    <w:rsid w:val="00067A6A"/>
    <w:rsid w:val="0007150B"/>
    <w:rsid w:val="00071F24"/>
    <w:rsid w:val="00073FFB"/>
    <w:rsid w:val="00074B96"/>
    <w:rsid w:val="000847C4"/>
    <w:rsid w:val="00087DEB"/>
    <w:rsid w:val="00092C45"/>
    <w:rsid w:val="000938F5"/>
    <w:rsid w:val="00095E57"/>
    <w:rsid w:val="00096B70"/>
    <w:rsid w:val="00096D07"/>
    <w:rsid w:val="00096E55"/>
    <w:rsid w:val="00097DB9"/>
    <w:rsid w:val="000A0927"/>
    <w:rsid w:val="000A488F"/>
    <w:rsid w:val="000A5121"/>
    <w:rsid w:val="000A67E7"/>
    <w:rsid w:val="000B2363"/>
    <w:rsid w:val="000B4499"/>
    <w:rsid w:val="000B601B"/>
    <w:rsid w:val="000B7811"/>
    <w:rsid w:val="000C207E"/>
    <w:rsid w:val="000D3AB2"/>
    <w:rsid w:val="000D5C0D"/>
    <w:rsid w:val="000D6F89"/>
    <w:rsid w:val="000E14F8"/>
    <w:rsid w:val="000F0035"/>
    <w:rsid w:val="000F420B"/>
    <w:rsid w:val="000F7074"/>
    <w:rsid w:val="000F7408"/>
    <w:rsid w:val="00100AE9"/>
    <w:rsid w:val="00100B08"/>
    <w:rsid w:val="0010578D"/>
    <w:rsid w:val="00110116"/>
    <w:rsid w:val="00110172"/>
    <w:rsid w:val="00113F09"/>
    <w:rsid w:val="001179F5"/>
    <w:rsid w:val="00120072"/>
    <w:rsid w:val="0012015B"/>
    <w:rsid w:val="00121091"/>
    <w:rsid w:val="001216C4"/>
    <w:rsid w:val="00121DD7"/>
    <w:rsid w:val="00122D0E"/>
    <w:rsid w:val="001259EB"/>
    <w:rsid w:val="00126EB8"/>
    <w:rsid w:val="00127257"/>
    <w:rsid w:val="001274D4"/>
    <w:rsid w:val="00130114"/>
    <w:rsid w:val="0013242F"/>
    <w:rsid w:val="00133B84"/>
    <w:rsid w:val="00134980"/>
    <w:rsid w:val="00136039"/>
    <w:rsid w:val="001363AA"/>
    <w:rsid w:val="0014191A"/>
    <w:rsid w:val="00141D36"/>
    <w:rsid w:val="0014285A"/>
    <w:rsid w:val="00144283"/>
    <w:rsid w:val="00144950"/>
    <w:rsid w:val="001455D9"/>
    <w:rsid w:val="00150569"/>
    <w:rsid w:val="0015350C"/>
    <w:rsid w:val="00153A43"/>
    <w:rsid w:val="00155D7C"/>
    <w:rsid w:val="00157863"/>
    <w:rsid w:val="00167E2F"/>
    <w:rsid w:val="00171248"/>
    <w:rsid w:val="0017516A"/>
    <w:rsid w:val="0017519E"/>
    <w:rsid w:val="00180C06"/>
    <w:rsid w:val="00180F70"/>
    <w:rsid w:val="00182DD4"/>
    <w:rsid w:val="001834B7"/>
    <w:rsid w:val="001835E7"/>
    <w:rsid w:val="00183E82"/>
    <w:rsid w:val="001850FD"/>
    <w:rsid w:val="0018555D"/>
    <w:rsid w:val="001861A4"/>
    <w:rsid w:val="0018736A"/>
    <w:rsid w:val="001878BB"/>
    <w:rsid w:val="00191AE0"/>
    <w:rsid w:val="0019293B"/>
    <w:rsid w:val="001939AB"/>
    <w:rsid w:val="001940A5"/>
    <w:rsid w:val="00194D3B"/>
    <w:rsid w:val="00196C35"/>
    <w:rsid w:val="001A30F5"/>
    <w:rsid w:val="001A411F"/>
    <w:rsid w:val="001A7644"/>
    <w:rsid w:val="001B1903"/>
    <w:rsid w:val="001B5B4C"/>
    <w:rsid w:val="001B6232"/>
    <w:rsid w:val="001C044A"/>
    <w:rsid w:val="001C0865"/>
    <w:rsid w:val="001C36DE"/>
    <w:rsid w:val="001C3ABA"/>
    <w:rsid w:val="001C555C"/>
    <w:rsid w:val="001D0B09"/>
    <w:rsid w:val="001E291B"/>
    <w:rsid w:val="001E414C"/>
    <w:rsid w:val="001E7BE8"/>
    <w:rsid w:val="001F0248"/>
    <w:rsid w:val="001F3B16"/>
    <w:rsid w:val="001F3EB3"/>
    <w:rsid w:val="001F4F86"/>
    <w:rsid w:val="001F5F43"/>
    <w:rsid w:val="002021B5"/>
    <w:rsid w:val="00202C2C"/>
    <w:rsid w:val="00203630"/>
    <w:rsid w:val="002043FE"/>
    <w:rsid w:val="00211004"/>
    <w:rsid w:val="0021241A"/>
    <w:rsid w:val="002135AB"/>
    <w:rsid w:val="002144BE"/>
    <w:rsid w:val="00217669"/>
    <w:rsid w:val="00220B0B"/>
    <w:rsid w:val="0022188E"/>
    <w:rsid w:val="00230CED"/>
    <w:rsid w:val="0023514C"/>
    <w:rsid w:val="00236CA4"/>
    <w:rsid w:val="00240C58"/>
    <w:rsid w:val="00242279"/>
    <w:rsid w:val="00245C82"/>
    <w:rsid w:val="00251A28"/>
    <w:rsid w:val="002534DC"/>
    <w:rsid w:val="0025710A"/>
    <w:rsid w:val="00271323"/>
    <w:rsid w:val="00274820"/>
    <w:rsid w:val="0027604A"/>
    <w:rsid w:val="002823BB"/>
    <w:rsid w:val="00285D78"/>
    <w:rsid w:val="00287153"/>
    <w:rsid w:val="00291B40"/>
    <w:rsid w:val="00293C0B"/>
    <w:rsid w:val="00296E34"/>
    <w:rsid w:val="002974CB"/>
    <w:rsid w:val="002A596D"/>
    <w:rsid w:val="002A718A"/>
    <w:rsid w:val="002B0B58"/>
    <w:rsid w:val="002B4008"/>
    <w:rsid w:val="002B414C"/>
    <w:rsid w:val="002D0E8E"/>
    <w:rsid w:val="002D3A3F"/>
    <w:rsid w:val="002D614F"/>
    <w:rsid w:val="002E3CFD"/>
    <w:rsid w:val="002E5719"/>
    <w:rsid w:val="002E5B45"/>
    <w:rsid w:val="002F346E"/>
    <w:rsid w:val="002F35E2"/>
    <w:rsid w:val="00300562"/>
    <w:rsid w:val="00301189"/>
    <w:rsid w:val="00301396"/>
    <w:rsid w:val="00305411"/>
    <w:rsid w:val="00307665"/>
    <w:rsid w:val="00313234"/>
    <w:rsid w:val="00317360"/>
    <w:rsid w:val="00317430"/>
    <w:rsid w:val="0032019A"/>
    <w:rsid w:val="0032151B"/>
    <w:rsid w:val="003222A4"/>
    <w:rsid w:val="0032295A"/>
    <w:rsid w:val="00323E09"/>
    <w:rsid w:val="003240FD"/>
    <w:rsid w:val="00324F75"/>
    <w:rsid w:val="003255C6"/>
    <w:rsid w:val="0033006C"/>
    <w:rsid w:val="00333932"/>
    <w:rsid w:val="003348F7"/>
    <w:rsid w:val="00335580"/>
    <w:rsid w:val="00335964"/>
    <w:rsid w:val="00342690"/>
    <w:rsid w:val="003434B1"/>
    <w:rsid w:val="00346CF1"/>
    <w:rsid w:val="003505E9"/>
    <w:rsid w:val="003518AA"/>
    <w:rsid w:val="00352165"/>
    <w:rsid w:val="0035238F"/>
    <w:rsid w:val="00353182"/>
    <w:rsid w:val="0035472D"/>
    <w:rsid w:val="00355323"/>
    <w:rsid w:val="003565D9"/>
    <w:rsid w:val="00357BC8"/>
    <w:rsid w:val="003602E1"/>
    <w:rsid w:val="0036188A"/>
    <w:rsid w:val="00362BC3"/>
    <w:rsid w:val="00363F39"/>
    <w:rsid w:val="00366538"/>
    <w:rsid w:val="0037026F"/>
    <w:rsid w:val="00371240"/>
    <w:rsid w:val="00372961"/>
    <w:rsid w:val="00374731"/>
    <w:rsid w:val="003749E0"/>
    <w:rsid w:val="00376E59"/>
    <w:rsid w:val="0038144B"/>
    <w:rsid w:val="003859AA"/>
    <w:rsid w:val="00386B15"/>
    <w:rsid w:val="003919F9"/>
    <w:rsid w:val="00391F6E"/>
    <w:rsid w:val="003924CE"/>
    <w:rsid w:val="00392706"/>
    <w:rsid w:val="003934F7"/>
    <w:rsid w:val="00395A7F"/>
    <w:rsid w:val="00397311"/>
    <w:rsid w:val="003A0BAE"/>
    <w:rsid w:val="003A1516"/>
    <w:rsid w:val="003A1E3D"/>
    <w:rsid w:val="003A27CE"/>
    <w:rsid w:val="003B541A"/>
    <w:rsid w:val="003B7070"/>
    <w:rsid w:val="003C38B5"/>
    <w:rsid w:val="003C5D99"/>
    <w:rsid w:val="003C7476"/>
    <w:rsid w:val="003D5969"/>
    <w:rsid w:val="003E2F59"/>
    <w:rsid w:val="003E36B4"/>
    <w:rsid w:val="003E3BF3"/>
    <w:rsid w:val="003E6FD8"/>
    <w:rsid w:val="003E7BDD"/>
    <w:rsid w:val="003F0789"/>
    <w:rsid w:val="003F0CF3"/>
    <w:rsid w:val="003F37B1"/>
    <w:rsid w:val="00401882"/>
    <w:rsid w:val="00405282"/>
    <w:rsid w:val="004100C8"/>
    <w:rsid w:val="00411DBD"/>
    <w:rsid w:val="00412ACE"/>
    <w:rsid w:val="0041324E"/>
    <w:rsid w:val="00413D0E"/>
    <w:rsid w:val="00413EED"/>
    <w:rsid w:val="00414468"/>
    <w:rsid w:val="0041600A"/>
    <w:rsid w:val="004165B9"/>
    <w:rsid w:val="00417611"/>
    <w:rsid w:val="00417B3C"/>
    <w:rsid w:val="00423112"/>
    <w:rsid w:val="00424FD8"/>
    <w:rsid w:val="00431249"/>
    <w:rsid w:val="00432A31"/>
    <w:rsid w:val="00432EAC"/>
    <w:rsid w:val="004339C4"/>
    <w:rsid w:val="00434C19"/>
    <w:rsid w:val="00442AC8"/>
    <w:rsid w:val="0044605A"/>
    <w:rsid w:val="00450810"/>
    <w:rsid w:val="00454488"/>
    <w:rsid w:val="00460357"/>
    <w:rsid w:val="004636E9"/>
    <w:rsid w:val="00467A54"/>
    <w:rsid w:val="0047368E"/>
    <w:rsid w:val="004758E4"/>
    <w:rsid w:val="00477144"/>
    <w:rsid w:val="00482F36"/>
    <w:rsid w:val="00486C7F"/>
    <w:rsid w:val="00491380"/>
    <w:rsid w:val="00492D9A"/>
    <w:rsid w:val="00492E82"/>
    <w:rsid w:val="00493A5A"/>
    <w:rsid w:val="0049459F"/>
    <w:rsid w:val="0049603D"/>
    <w:rsid w:val="00497141"/>
    <w:rsid w:val="004A166D"/>
    <w:rsid w:val="004A26A8"/>
    <w:rsid w:val="004A38DD"/>
    <w:rsid w:val="004B43AE"/>
    <w:rsid w:val="004B73EE"/>
    <w:rsid w:val="004B7EB2"/>
    <w:rsid w:val="004C1916"/>
    <w:rsid w:val="004C30ED"/>
    <w:rsid w:val="004D3BE7"/>
    <w:rsid w:val="004D5675"/>
    <w:rsid w:val="004D5D4F"/>
    <w:rsid w:val="004E622C"/>
    <w:rsid w:val="004F17F0"/>
    <w:rsid w:val="004F31EB"/>
    <w:rsid w:val="004F40FC"/>
    <w:rsid w:val="004F485E"/>
    <w:rsid w:val="004F5196"/>
    <w:rsid w:val="004F6BE7"/>
    <w:rsid w:val="00512F9B"/>
    <w:rsid w:val="00512F9F"/>
    <w:rsid w:val="00514610"/>
    <w:rsid w:val="00515AA4"/>
    <w:rsid w:val="005204F1"/>
    <w:rsid w:val="005212AE"/>
    <w:rsid w:val="00523639"/>
    <w:rsid w:val="0052457D"/>
    <w:rsid w:val="00530214"/>
    <w:rsid w:val="00531FE5"/>
    <w:rsid w:val="005402FA"/>
    <w:rsid w:val="005418AD"/>
    <w:rsid w:val="00543106"/>
    <w:rsid w:val="00546E22"/>
    <w:rsid w:val="00552C5F"/>
    <w:rsid w:val="00552F4D"/>
    <w:rsid w:val="00560052"/>
    <w:rsid w:val="005604C0"/>
    <w:rsid w:val="005652D0"/>
    <w:rsid w:val="00566F46"/>
    <w:rsid w:val="00570A09"/>
    <w:rsid w:val="0057368E"/>
    <w:rsid w:val="00574BEA"/>
    <w:rsid w:val="00576BB4"/>
    <w:rsid w:val="00577989"/>
    <w:rsid w:val="0058248F"/>
    <w:rsid w:val="00583C39"/>
    <w:rsid w:val="00585BB7"/>
    <w:rsid w:val="00586FD8"/>
    <w:rsid w:val="0058720B"/>
    <w:rsid w:val="00587F28"/>
    <w:rsid w:val="005909CF"/>
    <w:rsid w:val="00591E71"/>
    <w:rsid w:val="00594E77"/>
    <w:rsid w:val="005A0D41"/>
    <w:rsid w:val="005A4543"/>
    <w:rsid w:val="005A4B2A"/>
    <w:rsid w:val="005A75D5"/>
    <w:rsid w:val="005A7FC9"/>
    <w:rsid w:val="005B176B"/>
    <w:rsid w:val="005B5291"/>
    <w:rsid w:val="005C0622"/>
    <w:rsid w:val="005C39A9"/>
    <w:rsid w:val="005C534B"/>
    <w:rsid w:val="005D2238"/>
    <w:rsid w:val="005D5116"/>
    <w:rsid w:val="005D62DA"/>
    <w:rsid w:val="005E10C5"/>
    <w:rsid w:val="005E3476"/>
    <w:rsid w:val="005F2132"/>
    <w:rsid w:val="005F2414"/>
    <w:rsid w:val="005F6D42"/>
    <w:rsid w:val="00602D8E"/>
    <w:rsid w:val="0060463A"/>
    <w:rsid w:val="0060474D"/>
    <w:rsid w:val="00606AD0"/>
    <w:rsid w:val="00607BF1"/>
    <w:rsid w:val="00607E05"/>
    <w:rsid w:val="0061080A"/>
    <w:rsid w:val="00610EC3"/>
    <w:rsid w:val="00612B6E"/>
    <w:rsid w:val="006156F7"/>
    <w:rsid w:val="00620A6E"/>
    <w:rsid w:val="00630D4D"/>
    <w:rsid w:val="00632A74"/>
    <w:rsid w:val="0063416B"/>
    <w:rsid w:val="0064435E"/>
    <w:rsid w:val="00644C69"/>
    <w:rsid w:val="006527F2"/>
    <w:rsid w:val="006546BB"/>
    <w:rsid w:val="00654E5F"/>
    <w:rsid w:val="006562B1"/>
    <w:rsid w:val="00660A69"/>
    <w:rsid w:val="00664657"/>
    <w:rsid w:val="0066684A"/>
    <w:rsid w:val="00667801"/>
    <w:rsid w:val="00675B32"/>
    <w:rsid w:val="006762DA"/>
    <w:rsid w:val="006802C6"/>
    <w:rsid w:val="0068105B"/>
    <w:rsid w:val="00684EDD"/>
    <w:rsid w:val="00686F48"/>
    <w:rsid w:val="00687348"/>
    <w:rsid w:val="00694ECA"/>
    <w:rsid w:val="00694FB0"/>
    <w:rsid w:val="00695CED"/>
    <w:rsid w:val="0069673D"/>
    <w:rsid w:val="006A0617"/>
    <w:rsid w:val="006A39A4"/>
    <w:rsid w:val="006A4655"/>
    <w:rsid w:val="006B2B3C"/>
    <w:rsid w:val="006B41A9"/>
    <w:rsid w:val="006C1D81"/>
    <w:rsid w:val="006C3B77"/>
    <w:rsid w:val="006C5836"/>
    <w:rsid w:val="006C7038"/>
    <w:rsid w:val="006D1204"/>
    <w:rsid w:val="006D50AD"/>
    <w:rsid w:val="006E2E8A"/>
    <w:rsid w:val="006E412C"/>
    <w:rsid w:val="006E68FE"/>
    <w:rsid w:val="006E73EF"/>
    <w:rsid w:val="006F70D2"/>
    <w:rsid w:val="007050C3"/>
    <w:rsid w:val="00705996"/>
    <w:rsid w:val="007119F9"/>
    <w:rsid w:val="007126B5"/>
    <w:rsid w:val="00714D4D"/>
    <w:rsid w:val="00715343"/>
    <w:rsid w:val="007164D6"/>
    <w:rsid w:val="007165E7"/>
    <w:rsid w:val="00726E22"/>
    <w:rsid w:val="00730BAF"/>
    <w:rsid w:val="00731518"/>
    <w:rsid w:val="00731EFE"/>
    <w:rsid w:val="00735482"/>
    <w:rsid w:val="00742CEE"/>
    <w:rsid w:val="007512E2"/>
    <w:rsid w:val="00756587"/>
    <w:rsid w:val="0075718A"/>
    <w:rsid w:val="0075721D"/>
    <w:rsid w:val="007604BB"/>
    <w:rsid w:val="007664DC"/>
    <w:rsid w:val="00774B4C"/>
    <w:rsid w:val="00775C7E"/>
    <w:rsid w:val="00776543"/>
    <w:rsid w:val="00782CC9"/>
    <w:rsid w:val="007834F2"/>
    <w:rsid w:val="00785232"/>
    <w:rsid w:val="00787241"/>
    <w:rsid w:val="00790681"/>
    <w:rsid w:val="007908DF"/>
    <w:rsid w:val="00792AAD"/>
    <w:rsid w:val="00793CAA"/>
    <w:rsid w:val="007A0846"/>
    <w:rsid w:val="007A21EB"/>
    <w:rsid w:val="007A38A6"/>
    <w:rsid w:val="007A4721"/>
    <w:rsid w:val="007A4E8C"/>
    <w:rsid w:val="007A5D47"/>
    <w:rsid w:val="007B1A93"/>
    <w:rsid w:val="007C0A72"/>
    <w:rsid w:val="007C2204"/>
    <w:rsid w:val="007C36C9"/>
    <w:rsid w:val="007C3F8F"/>
    <w:rsid w:val="007C7411"/>
    <w:rsid w:val="007D22E7"/>
    <w:rsid w:val="007D252F"/>
    <w:rsid w:val="007D6401"/>
    <w:rsid w:val="007E01E4"/>
    <w:rsid w:val="007E1044"/>
    <w:rsid w:val="007E23D5"/>
    <w:rsid w:val="007E4C14"/>
    <w:rsid w:val="007F128B"/>
    <w:rsid w:val="007F18BF"/>
    <w:rsid w:val="007F5A73"/>
    <w:rsid w:val="007F7107"/>
    <w:rsid w:val="007F733F"/>
    <w:rsid w:val="00800D4C"/>
    <w:rsid w:val="008039DB"/>
    <w:rsid w:val="008041EC"/>
    <w:rsid w:val="00806AEC"/>
    <w:rsid w:val="0081030F"/>
    <w:rsid w:val="008107B6"/>
    <w:rsid w:val="00812252"/>
    <w:rsid w:val="00816555"/>
    <w:rsid w:val="0082087D"/>
    <w:rsid w:val="0082141A"/>
    <w:rsid w:val="00831865"/>
    <w:rsid w:val="00835771"/>
    <w:rsid w:val="008361D1"/>
    <w:rsid w:val="0083747B"/>
    <w:rsid w:val="00840B58"/>
    <w:rsid w:val="00842277"/>
    <w:rsid w:val="00842933"/>
    <w:rsid w:val="00846492"/>
    <w:rsid w:val="00846859"/>
    <w:rsid w:val="00847D86"/>
    <w:rsid w:val="00851036"/>
    <w:rsid w:val="00853F59"/>
    <w:rsid w:val="00856145"/>
    <w:rsid w:val="00856E61"/>
    <w:rsid w:val="0086082C"/>
    <w:rsid w:val="00861D89"/>
    <w:rsid w:val="0086262E"/>
    <w:rsid w:val="00862B00"/>
    <w:rsid w:val="00864ADC"/>
    <w:rsid w:val="00867C89"/>
    <w:rsid w:val="0087110E"/>
    <w:rsid w:val="008727C1"/>
    <w:rsid w:val="00873B9D"/>
    <w:rsid w:val="0087717D"/>
    <w:rsid w:val="00880153"/>
    <w:rsid w:val="00880D54"/>
    <w:rsid w:val="00880F97"/>
    <w:rsid w:val="0088133A"/>
    <w:rsid w:val="00882459"/>
    <w:rsid w:val="00884C96"/>
    <w:rsid w:val="00887A43"/>
    <w:rsid w:val="00887EEE"/>
    <w:rsid w:val="008912AB"/>
    <w:rsid w:val="008914EC"/>
    <w:rsid w:val="008927F4"/>
    <w:rsid w:val="0089285E"/>
    <w:rsid w:val="0089436C"/>
    <w:rsid w:val="00897718"/>
    <w:rsid w:val="008A1584"/>
    <w:rsid w:val="008A402C"/>
    <w:rsid w:val="008A67A1"/>
    <w:rsid w:val="008B00EB"/>
    <w:rsid w:val="008B4F65"/>
    <w:rsid w:val="008C013B"/>
    <w:rsid w:val="008C0AB4"/>
    <w:rsid w:val="008C1704"/>
    <w:rsid w:val="008C2099"/>
    <w:rsid w:val="008C55A2"/>
    <w:rsid w:val="008C6EA6"/>
    <w:rsid w:val="008D0222"/>
    <w:rsid w:val="008D365C"/>
    <w:rsid w:val="008D48D3"/>
    <w:rsid w:val="008D69C2"/>
    <w:rsid w:val="008D6C8C"/>
    <w:rsid w:val="008E0CCC"/>
    <w:rsid w:val="008E3D21"/>
    <w:rsid w:val="008E5B61"/>
    <w:rsid w:val="008E6BDC"/>
    <w:rsid w:val="008F2983"/>
    <w:rsid w:val="008F4FDC"/>
    <w:rsid w:val="008F66C0"/>
    <w:rsid w:val="009030BF"/>
    <w:rsid w:val="009069D8"/>
    <w:rsid w:val="009070BD"/>
    <w:rsid w:val="00907F84"/>
    <w:rsid w:val="0091032F"/>
    <w:rsid w:val="00910C3E"/>
    <w:rsid w:val="00910ECC"/>
    <w:rsid w:val="00914368"/>
    <w:rsid w:val="0091639C"/>
    <w:rsid w:val="00916921"/>
    <w:rsid w:val="0091735C"/>
    <w:rsid w:val="00923D65"/>
    <w:rsid w:val="00924DBD"/>
    <w:rsid w:val="009257EE"/>
    <w:rsid w:val="009266AD"/>
    <w:rsid w:val="00926A43"/>
    <w:rsid w:val="00931076"/>
    <w:rsid w:val="00931252"/>
    <w:rsid w:val="00932296"/>
    <w:rsid w:val="00932307"/>
    <w:rsid w:val="00933B25"/>
    <w:rsid w:val="00933BCC"/>
    <w:rsid w:val="009345D9"/>
    <w:rsid w:val="00934B15"/>
    <w:rsid w:val="0093699F"/>
    <w:rsid w:val="00940C87"/>
    <w:rsid w:val="00942B62"/>
    <w:rsid w:val="00943178"/>
    <w:rsid w:val="0094477B"/>
    <w:rsid w:val="00947BF5"/>
    <w:rsid w:val="0095323B"/>
    <w:rsid w:val="0095484C"/>
    <w:rsid w:val="00956A0C"/>
    <w:rsid w:val="00956BD9"/>
    <w:rsid w:val="00962156"/>
    <w:rsid w:val="00962489"/>
    <w:rsid w:val="00963BE6"/>
    <w:rsid w:val="00975552"/>
    <w:rsid w:val="00976CE5"/>
    <w:rsid w:val="009774EF"/>
    <w:rsid w:val="0098048E"/>
    <w:rsid w:val="009806FE"/>
    <w:rsid w:val="00981798"/>
    <w:rsid w:val="009842B2"/>
    <w:rsid w:val="00985409"/>
    <w:rsid w:val="009907C3"/>
    <w:rsid w:val="00990C2C"/>
    <w:rsid w:val="00993337"/>
    <w:rsid w:val="009A02F0"/>
    <w:rsid w:val="009A3348"/>
    <w:rsid w:val="009B3A39"/>
    <w:rsid w:val="009C4470"/>
    <w:rsid w:val="009C616D"/>
    <w:rsid w:val="009E1844"/>
    <w:rsid w:val="009E3759"/>
    <w:rsid w:val="009F0D1B"/>
    <w:rsid w:val="009F1762"/>
    <w:rsid w:val="009F1AD3"/>
    <w:rsid w:val="009F20AC"/>
    <w:rsid w:val="009F2860"/>
    <w:rsid w:val="009F34CF"/>
    <w:rsid w:val="009F696D"/>
    <w:rsid w:val="009F6BC6"/>
    <w:rsid w:val="00A00BF9"/>
    <w:rsid w:val="00A148E5"/>
    <w:rsid w:val="00A16EB9"/>
    <w:rsid w:val="00A17328"/>
    <w:rsid w:val="00A1754C"/>
    <w:rsid w:val="00A20A74"/>
    <w:rsid w:val="00A21850"/>
    <w:rsid w:val="00A22FB2"/>
    <w:rsid w:val="00A23917"/>
    <w:rsid w:val="00A23A20"/>
    <w:rsid w:val="00A268B9"/>
    <w:rsid w:val="00A2703A"/>
    <w:rsid w:val="00A27C17"/>
    <w:rsid w:val="00A27FA2"/>
    <w:rsid w:val="00A32423"/>
    <w:rsid w:val="00A327E2"/>
    <w:rsid w:val="00A333F2"/>
    <w:rsid w:val="00A33CC7"/>
    <w:rsid w:val="00A33DFF"/>
    <w:rsid w:val="00A3499B"/>
    <w:rsid w:val="00A35115"/>
    <w:rsid w:val="00A36D9A"/>
    <w:rsid w:val="00A37DB1"/>
    <w:rsid w:val="00A4324B"/>
    <w:rsid w:val="00A45B44"/>
    <w:rsid w:val="00A47D78"/>
    <w:rsid w:val="00A50535"/>
    <w:rsid w:val="00A53937"/>
    <w:rsid w:val="00A53B8C"/>
    <w:rsid w:val="00A554AB"/>
    <w:rsid w:val="00A56068"/>
    <w:rsid w:val="00A57062"/>
    <w:rsid w:val="00A6568E"/>
    <w:rsid w:val="00A711B4"/>
    <w:rsid w:val="00A74E01"/>
    <w:rsid w:val="00A75016"/>
    <w:rsid w:val="00A750E3"/>
    <w:rsid w:val="00A759D5"/>
    <w:rsid w:val="00A77034"/>
    <w:rsid w:val="00A82731"/>
    <w:rsid w:val="00A90076"/>
    <w:rsid w:val="00A92B53"/>
    <w:rsid w:val="00A94FA6"/>
    <w:rsid w:val="00A97D49"/>
    <w:rsid w:val="00AA0BC8"/>
    <w:rsid w:val="00AA1294"/>
    <w:rsid w:val="00AA2904"/>
    <w:rsid w:val="00AA2A0B"/>
    <w:rsid w:val="00AA49A0"/>
    <w:rsid w:val="00AA6710"/>
    <w:rsid w:val="00AB0681"/>
    <w:rsid w:val="00AB22E4"/>
    <w:rsid w:val="00AB4333"/>
    <w:rsid w:val="00AB4978"/>
    <w:rsid w:val="00AB4C70"/>
    <w:rsid w:val="00AB6BFD"/>
    <w:rsid w:val="00AC674D"/>
    <w:rsid w:val="00AC711E"/>
    <w:rsid w:val="00AD33C7"/>
    <w:rsid w:val="00AD5101"/>
    <w:rsid w:val="00AD520B"/>
    <w:rsid w:val="00AF0B9A"/>
    <w:rsid w:val="00AF7988"/>
    <w:rsid w:val="00B00B62"/>
    <w:rsid w:val="00B011C0"/>
    <w:rsid w:val="00B035C9"/>
    <w:rsid w:val="00B05A59"/>
    <w:rsid w:val="00B14863"/>
    <w:rsid w:val="00B15AEA"/>
    <w:rsid w:val="00B23BAC"/>
    <w:rsid w:val="00B26CFA"/>
    <w:rsid w:val="00B30B3C"/>
    <w:rsid w:val="00B32B52"/>
    <w:rsid w:val="00B35B6C"/>
    <w:rsid w:val="00B35FCE"/>
    <w:rsid w:val="00B40CD2"/>
    <w:rsid w:val="00B4110A"/>
    <w:rsid w:val="00B425C3"/>
    <w:rsid w:val="00B43358"/>
    <w:rsid w:val="00B440AD"/>
    <w:rsid w:val="00B44BB4"/>
    <w:rsid w:val="00B47550"/>
    <w:rsid w:val="00B479BB"/>
    <w:rsid w:val="00B53E7E"/>
    <w:rsid w:val="00B561B6"/>
    <w:rsid w:val="00B62365"/>
    <w:rsid w:val="00B6342E"/>
    <w:rsid w:val="00B67781"/>
    <w:rsid w:val="00B7113F"/>
    <w:rsid w:val="00B762DB"/>
    <w:rsid w:val="00B802DD"/>
    <w:rsid w:val="00B8234F"/>
    <w:rsid w:val="00B82BCB"/>
    <w:rsid w:val="00B86B35"/>
    <w:rsid w:val="00B87333"/>
    <w:rsid w:val="00B90AB7"/>
    <w:rsid w:val="00B94F94"/>
    <w:rsid w:val="00BA0F27"/>
    <w:rsid w:val="00BA39A3"/>
    <w:rsid w:val="00BA7166"/>
    <w:rsid w:val="00BA73B6"/>
    <w:rsid w:val="00BA7E27"/>
    <w:rsid w:val="00BB2603"/>
    <w:rsid w:val="00BB4B7B"/>
    <w:rsid w:val="00BB4FCD"/>
    <w:rsid w:val="00BC04E9"/>
    <w:rsid w:val="00BC1EBE"/>
    <w:rsid w:val="00BC2EFE"/>
    <w:rsid w:val="00BC381B"/>
    <w:rsid w:val="00BD13EA"/>
    <w:rsid w:val="00BD6160"/>
    <w:rsid w:val="00BE1BA8"/>
    <w:rsid w:val="00BE3808"/>
    <w:rsid w:val="00BE4663"/>
    <w:rsid w:val="00BE5B48"/>
    <w:rsid w:val="00BE7F41"/>
    <w:rsid w:val="00BF2097"/>
    <w:rsid w:val="00BF3B2F"/>
    <w:rsid w:val="00BF4CB4"/>
    <w:rsid w:val="00BF5AA4"/>
    <w:rsid w:val="00BF5AEF"/>
    <w:rsid w:val="00BF6A07"/>
    <w:rsid w:val="00C04F3D"/>
    <w:rsid w:val="00C062E9"/>
    <w:rsid w:val="00C07B64"/>
    <w:rsid w:val="00C13721"/>
    <w:rsid w:val="00C13C82"/>
    <w:rsid w:val="00C14FE4"/>
    <w:rsid w:val="00C15C2C"/>
    <w:rsid w:val="00C25B16"/>
    <w:rsid w:val="00C3066D"/>
    <w:rsid w:val="00C32C65"/>
    <w:rsid w:val="00C3342D"/>
    <w:rsid w:val="00C3533E"/>
    <w:rsid w:val="00C41B88"/>
    <w:rsid w:val="00C45679"/>
    <w:rsid w:val="00C50AD9"/>
    <w:rsid w:val="00C52416"/>
    <w:rsid w:val="00C53138"/>
    <w:rsid w:val="00C53A31"/>
    <w:rsid w:val="00C543F4"/>
    <w:rsid w:val="00C5751E"/>
    <w:rsid w:val="00C575C2"/>
    <w:rsid w:val="00C6291C"/>
    <w:rsid w:val="00C63209"/>
    <w:rsid w:val="00C633CB"/>
    <w:rsid w:val="00C6572B"/>
    <w:rsid w:val="00C670BB"/>
    <w:rsid w:val="00C679B6"/>
    <w:rsid w:val="00C72C32"/>
    <w:rsid w:val="00C736B7"/>
    <w:rsid w:val="00C74987"/>
    <w:rsid w:val="00C75076"/>
    <w:rsid w:val="00C7519F"/>
    <w:rsid w:val="00C81C57"/>
    <w:rsid w:val="00C81D4A"/>
    <w:rsid w:val="00C859B0"/>
    <w:rsid w:val="00C8762C"/>
    <w:rsid w:val="00C8784E"/>
    <w:rsid w:val="00C90CB6"/>
    <w:rsid w:val="00CA00F9"/>
    <w:rsid w:val="00CA2961"/>
    <w:rsid w:val="00CA39DE"/>
    <w:rsid w:val="00CA724B"/>
    <w:rsid w:val="00CB032D"/>
    <w:rsid w:val="00CB2060"/>
    <w:rsid w:val="00CB50D7"/>
    <w:rsid w:val="00CB5F40"/>
    <w:rsid w:val="00CB7177"/>
    <w:rsid w:val="00CB7BDF"/>
    <w:rsid w:val="00CC1998"/>
    <w:rsid w:val="00CC4946"/>
    <w:rsid w:val="00CC69C3"/>
    <w:rsid w:val="00CC6D26"/>
    <w:rsid w:val="00CC7EE4"/>
    <w:rsid w:val="00CD0705"/>
    <w:rsid w:val="00CD1009"/>
    <w:rsid w:val="00CD1FA2"/>
    <w:rsid w:val="00CD5B65"/>
    <w:rsid w:val="00CD60DA"/>
    <w:rsid w:val="00CE0F13"/>
    <w:rsid w:val="00CE592B"/>
    <w:rsid w:val="00CE74B9"/>
    <w:rsid w:val="00CF455C"/>
    <w:rsid w:val="00D01C12"/>
    <w:rsid w:val="00D15695"/>
    <w:rsid w:val="00D15AC3"/>
    <w:rsid w:val="00D22E2B"/>
    <w:rsid w:val="00D24DE5"/>
    <w:rsid w:val="00D253E4"/>
    <w:rsid w:val="00D25DBC"/>
    <w:rsid w:val="00D270A4"/>
    <w:rsid w:val="00D27AE3"/>
    <w:rsid w:val="00D306A1"/>
    <w:rsid w:val="00D31379"/>
    <w:rsid w:val="00D31FE9"/>
    <w:rsid w:val="00D33F42"/>
    <w:rsid w:val="00D34613"/>
    <w:rsid w:val="00D34E1B"/>
    <w:rsid w:val="00D376BA"/>
    <w:rsid w:val="00D41997"/>
    <w:rsid w:val="00D45634"/>
    <w:rsid w:val="00D45A66"/>
    <w:rsid w:val="00D45EB6"/>
    <w:rsid w:val="00D51744"/>
    <w:rsid w:val="00D5568A"/>
    <w:rsid w:val="00D56978"/>
    <w:rsid w:val="00D57D33"/>
    <w:rsid w:val="00D6202B"/>
    <w:rsid w:val="00D637B9"/>
    <w:rsid w:val="00D63D73"/>
    <w:rsid w:val="00D64452"/>
    <w:rsid w:val="00D657C4"/>
    <w:rsid w:val="00D66E1E"/>
    <w:rsid w:val="00D670B7"/>
    <w:rsid w:val="00D7003C"/>
    <w:rsid w:val="00D72A50"/>
    <w:rsid w:val="00D75722"/>
    <w:rsid w:val="00D76276"/>
    <w:rsid w:val="00D80CF5"/>
    <w:rsid w:val="00D95DC2"/>
    <w:rsid w:val="00DA4D0D"/>
    <w:rsid w:val="00DA518D"/>
    <w:rsid w:val="00DA5BBA"/>
    <w:rsid w:val="00DB26D2"/>
    <w:rsid w:val="00DB2EB3"/>
    <w:rsid w:val="00DB3FCB"/>
    <w:rsid w:val="00DB4396"/>
    <w:rsid w:val="00DB494F"/>
    <w:rsid w:val="00DB67C9"/>
    <w:rsid w:val="00DC0C95"/>
    <w:rsid w:val="00DC21B3"/>
    <w:rsid w:val="00DC43B1"/>
    <w:rsid w:val="00DC492D"/>
    <w:rsid w:val="00DC632B"/>
    <w:rsid w:val="00DC73DC"/>
    <w:rsid w:val="00DD6580"/>
    <w:rsid w:val="00DD6F52"/>
    <w:rsid w:val="00DD7005"/>
    <w:rsid w:val="00DE21B3"/>
    <w:rsid w:val="00DE3734"/>
    <w:rsid w:val="00DE7F35"/>
    <w:rsid w:val="00DF06AA"/>
    <w:rsid w:val="00E00848"/>
    <w:rsid w:val="00E01487"/>
    <w:rsid w:val="00E03FEB"/>
    <w:rsid w:val="00E0477E"/>
    <w:rsid w:val="00E06885"/>
    <w:rsid w:val="00E07E98"/>
    <w:rsid w:val="00E17C72"/>
    <w:rsid w:val="00E21FC6"/>
    <w:rsid w:val="00E2275B"/>
    <w:rsid w:val="00E24249"/>
    <w:rsid w:val="00E248D1"/>
    <w:rsid w:val="00E25767"/>
    <w:rsid w:val="00E2590C"/>
    <w:rsid w:val="00E272AF"/>
    <w:rsid w:val="00E359F8"/>
    <w:rsid w:val="00E361CF"/>
    <w:rsid w:val="00E36487"/>
    <w:rsid w:val="00E373D3"/>
    <w:rsid w:val="00E431A9"/>
    <w:rsid w:val="00E46125"/>
    <w:rsid w:val="00E46FC3"/>
    <w:rsid w:val="00E477E8"/>
    <w:rsid w:val="00E47A31"/>
    <w:rsid w:val="00E51F94"/>
    <w:rsid w:val="00E520B7"/>
    <w:rsid w:val="00E52768"/>
    <w:rsid w:val="00E6138A"/>
    <w:rsid w:val="00E65057"/>
    <w:rsid w:val="00E65103"/>
    <w:rsid w:val="00E669E2"/>
    <w:rsid w:val="00E66AE7"/>
    <w:rsid w:val="00E70F0A"/>
    <w:rsid w:val="00E728D7"/>
    <w:rsid w:val="00E76135"/>
    <w:rsid w:val="00E77997"/>
    <w:rsid w:val="00E82F4F"/>
    <w:rsid w:val="00E8355A"/>
    <w:rsid w:val="00E83843"/>
    <w:rsid w:val="00E84FA8"/>
    <w:rsid w:val="00E87690"/>
    <w:rsid w:val="00E918A4"/>
    <w:rsid w:val="00E93A65"/>
    <w:rsid w:val="00EA00E2"/>
    <w:rsid w:val="00EA0428"/>
    <w:rsid w:val="00EA1862"/>
    <w:rsid w:val="00EA3804"/>
    <w:rsid w:val="00EA4198"/>
    <w:rsid w:val="00EA5198"/>
    <w:rsid w:val="00EB56BA"/>
    <w:rsid w:val="00EC2844"/>
    <w:rsid w:val="00EC297C"/>
    <w:rsid w:val="00EC5500"/>
    <w:rsid w:val="00ED18F8"/>
    <w:rsid w:val="00ED2ECE"/>
    <w:rsid w:val="00ED7590"/>
    <w:rsid w:val="00ED7951"/>
    <w:rsid w:val="00ED7C85"/>
    <w:rsid w:val="00EE1477"/>
    <w:rsid w:val="00EF0AC2"/>
    <w:rsid w:val="00EF1D1E"/>
    <w:rsid w:val="00EF3062"/>
    <w:rsid w:val="00EF6255"/>
    <w:rsid w:val="00EF6C6C"/>
    <w:rsid w:val="00F01A99"/>
    <w:rsid w:val="00F053C1"/>
    <w:rsid w:val="00F056FC"/>
    <w:rsid w:val="00F10476"/>
    <w:rsid w:val="00F113CE"/>
    <w:rsid w:val="00F135D8"/>
    <w:rsid w:val="00F16062"/>
    <w:rsid w:val="00F2288A"/>
    <w:rsid w:val="00F23A3A"/>
    <w:rsid w:val="00F25AA7"/>
    <w:rsid w:val="00F31299"/>
    <w:rsid w:val="00F3148B"/>
    <w:rsid w:val="00F3481B"/>
    <w:rsid w:val="00F3534A"/>
    <w:rsid w:val="00F37CB7"/>
    <w:rsid w:val="00F41499"/>
    <w:rsid w:val="00F42141"/>
    <w:rsid w:val="00F458A1"/>
    <w:rsid w:val="00F47C9B"/>
    <w:rsid w:val="00F51609"/>
    <w:rsid w:val="00F526BC"/>
    <w:rsid w:val="00F57186"/>
    <w:rsid w:val="00F636EA"/>
    <w:rsid w:val="00F67E43"/>
    <w:rsid w:val="00F7183D"/>
    <w:rsid w:val="00F73BBC"/>
    <w:rsid w:val="00F74641"/>
    <w:rsid w:val="00F81006"/>
    <w:rsid w:val="00F81826"/>
    <w:rsid w:val="00F83A37"/>
    <w:rsid w:val="00F84209"/>
    <w:rsid w:val="00F8438F"/>
    <w:rsid w:val="00F84CB9"/>
    <w:rsid w:val="00F85325"/>
    <w:rsid w:val="00F869DC"/>
    <w:rsid w:val="00F87264"/>
    <w:rsid w:val="00F90C7B"/>
    <w:rsid w:val="00F957C1"/>
    <w:rsid w:val="00F971AE"/>
    <w:rsid w:val="00FA026C"/>
    <w:rsid w:val="00FA0BE2"/>
    <w:rsid w:val="00FA36E7"/>
    <w:rsid w:val="00FB75C5"/>
    <w:rsid w:val="00FC4A0D"/>
    <w:rsid w:val="00FC4CE3"/>
    <w:rsid w:val="00FC7889"/>
    <w:rsid w:val="00FD1A46"/>
    <w:rsid w:val="00FD22B1"/>
    <w:rsid w:val="00FD342E"/>
    <w:rsid w:val="00FD4CD5"/>
    <w:rsid w:val="00FD665F"/>
    <w:rsid w:val="00FD6B61"/>
    <w:rsid w:val="00FD6CE4"/>
    <w:rsid w:val="00FD7F00"/>
    <w:rsid w:val="00FE343B"/>
    <w:rsid w:val="00FE5397"/>
    <w:rsid w:val="00FF011B"/>
    <w:rsid w:val="00FF51E1"/>
    <w:rsid w:val="00FF557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Strong"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034490"/>
    <w:rPr>
      <w:sz w:val="24"/>
      <w:szCs w:val="24"/>
    </w:rPr>
  </w:style>
  <w:style w:type="paragraph" w:styleId="Heading1">
    <w:name w:val="heading 1"/>
    <w:basedOn w:val="BodyText"/>
    <w:next w:val="BodyText"/>
    <w:link w:val="Heading1Char"/>
    <w:rsid w:val="00034490"/>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034490"/>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034490"/>
    <w:pPr>
      <w:spacing w:before="560" w:line="320" w:lineRule="exact"/>
      <w:ind w:left="0" w:firstLine="0"/>
      <w:outlineLvl w:val="2"/>
    </w:pPr>
    <w:rPr>
      <w:sz w:val="26"/>
    </w:rPr>
  </w:style>
  <w:style w:type="paragraph" w:styleId="Heading4">
    <w:name w:val="heading 4"/>
    <w:basedOn w:val="Heading3"/>
    <w:next w:val="BodyText"/>
    <w:link w:val="Heading4Char"/>
    <w:qFormat/>
    <w:rsid w:val="00034490"/>
    <w:pPr>
      <w:spacing w:before="480"/>
      <w:outlineLvl w:val="3"/>
    </w:pPr>
    <w:rPr>
      <w:b w:val="0"/>
      <w:sz w:val="24"/>
    </w:rPr>
  </w:style>
  <w:style w:type="paragraph" w:styleId="Heading5">
    <w:name w:val="heading 5"/>
    <w:basedOn w:val="Heading4"/>
    <w:next w:val="BodyText"/>
    <w:link w:val="Heading5Char"/>
    <w:qFormat/>
    <w:rsid w:val="00034490"/>
    <w:pPr>
      <w:outlineLvl w:val="4"/>
    </w:pPr>
    <w:rPr>
      <w:i/>
      <w:sz w:val="22"/>
    </w:rPr>
  </w:style>
  <w:style w:type="paragraph" w:styleId="Heading6">
    <w:name w:val="heading 6"/>
    <w:basedOn w:val="BodyText"/>
    <w:next w:val="BodyText"/>
    <w:link w:val="Heading6Char"/>
    <w:rsid w:val="00034490"/>
    <w:pPr>
      <w:spacing w:after="60"/>
      <w:jc w:val="left"/>
      <w:outlineLvl w:val="5"/>
    </w:pPr>
    <w:rPr>
      <w:i/>
      <w:sz w:val="22"/>
    </w:rPr>
  </w:style>
  <w:style w:type="paragraph" w:styleId="Heading7">
    <w:name w:val="heading 7"/>
    <w:basedOn w:val="BodyText"/>
    <w:next w:val="BodyText"/>
    <w:link w:val="Heading7Char"/>
    <w:rsid w:val="00034490"/>
    <w:pPr>
      <w:spacing w:after="60" w:line="240" w:lineRule="auto"/>
      <w:jc w:val="left"/>
      <w:outlineLvl w:val="6"/>
    </w:pPr>
    <w:rPr>
      <w:rFonts w:ascii="Arial" w:hAnsi="Arial"/>
      <w:sz w:val="20"/>
    </w:rPr>
  </w:style>
  <w:style w:type="paragraph" w:styleId="Heading8">
    <w:name w:val="heading 8"/>
    <w:basedOn w:val="BodyText"/>
    <w:next w:val="BodyText"/>
    <w:link w:val="Heading8Char"/>
    <w:rsid w:val="00034490"/>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034490"/>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0344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4490"/>
  </w:style>
  <w:style w:type="paragraph" w:styleId="BodyText">
    <w:name w:val="Body Text"/>
    <w:link w:val="BodyTextChar"/>
    <w:qFormat/>
    <w:rsid w:val="00034490"/>
    <w:pPr>
      <w:spacing w:before="240" w:line="300" w:lineRule="atLeast"/>
      <w:jc w:val="both"/>
    </w:pPr>
    <w:rPr>
      <w:sz w:val="24"/>
    </w:rPr>
  </w:style>
  <w:style w:type="paragraph" w:styleId="Footer">
    <w:name w:val="footer"/>
    <w:basedOn w:val="BodyText"/>
    <w:link w:val="FooterChar"/>
    <w:rsid w:val="00034490"/>
    <w:pPr>
      <w:spacing w:before="80" w:line="200" w:lineRule="exact"/>
      <w:ind w:right="6"/>
      <w:jc w:val="left"/>
    </w:pPr>
    <w:rPr>
      <w:rFonts w:ascii="Arial" w:hAnsi="Arial"/>
      <w:caps/>
      <w:spacing w:val="-4"/>
      <w:sz w:val="16"/>
    </w:rPr>
  </w:style>
  <w:style w:type="paragraph" w:customStyle="1" w:styleId="FooterEnd">
    <w:name w:val="Footer End"/>
    <w:basedOn w:val="Footer"/>
    <w:link w:val="FooterEndChar"/>
    <w:rsid w:val="00034490"/>
    <w:pPr>
      <w:spacing w:before="0" w:line="20" w:lineRule="exact"/>
    </w:pPr>
  </w:style>
  <w:style w:type="paragraph" w:styleId="Header">
    <w:name w:val="header"/>
    <w:basedOn w:val="BodyText"/>
    <w:link w:val="HeaderChar"/>
    <w:rsid w:val="00034490"/>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034490"/>
    <w:pPr>
      <w:spacing w:line="20" w:lineRule="exact"/>
    </w:pPr>
    <w:rPr>
      <w:sz w:val="16"/>
    </w:rPr>
  </w:style>
  <w:style w:type="paragraph" w:customStyle="1" w:styleId="HeaderEven">
    <w:name w:val="Header Even"/>
    <w:basedOn w:val="Header"/>
    <w:semiHidden/>
    <w:rsid w:val="00034490"/>
  </w:style>
  <w:style w:type="paragraph" w:customStyle="1" w:styleId="HeaderOdd">
    <w:name w:val="Header Odd"/>
    <w:basedOn w:val="Header"/>
    <w:semiHidden/>
    <w:rsid w:val="00034490"/>
  </w:style>
  <w:style w:type="character" w:styleId="PageNumber">
    <w:name w:val="page number"/>
    <w:basedOn w:val="DefaultParagraphFont"/>
    <w:rsid w:val="00034490"/>
    <w:rPr>
      <w:rFonts w:ascii="Arial" w:hAnsi="Arial"/>
      <w:b/>
      <w:sz w:val="16"/>
    </w:rPr>
  </w:style>
  <w:style w:type="paragraph" w:customStyle="1" w:styleId="Abbreviation">
    <w:name w:val="Abbreviation"/>
    <w:basedOn w:val="BodyText"/>
    <w:rsid w:val="00034490"/>
    <w:pPr>
      <w:spacing w:before="120"/>
      <w:ind w:left="2381" w:hanging="2381"/>
      <w:jc w:val="left"/>
    </w:pPr>
  </w:style>
  <w:style w:type="paragraph" w:customStyle="1" w:styleId="Box">
    <w:name w:val="Box"/>
    <w:basedOn w:val="BodyText"/>
    <w:link w:val="BoxChar"/>
    <w:qFormat/>
    <w:rsid w:val="00034490"/>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034490"/>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034490"/>
    <w:pPr>
      <w:keepNext/>
      <w:spacing w:before="200" w:line="280" w:lineRule="atLeast"/>
    </w:pPr>
    <w:rPr>
      <w:rFonts w:ascii="Arial" w:hAnsi="Arial"/>
      <w:b/>
      <w:sz w:val="22"/>
    </w:rPr>
  </w:style>
  <w:style w:type="paragraph" w:customStyle="1" w:styleId="BoxHeading2">
    <w:name w:val="Box Heading 2"/>
    <w:basedOn w:val="BoxHeading1"/>
    <w:next w:val="Normal"/>
    <w:rsid w:val="00034490"/>
    <w:rPr>
      <w:b w:val="0"/>
      <w:i/>
    </w:rPr>
  </w:style>
  <w:style w:type="paragraph" w:customStyle="1" w:styleId="BoxListBullet">
    <w:name w:val="Box List Bullet"/>
    <w:basedOn w:val="BodyText"/>
    <w:link w:val="BoxListBulletChar"/>
    <w:rsid w:val="00034490"/>
    <w:pPr>
      <w:keepNext/>
      <w:numPr>
        <w:numId w:val="1"/>
      </w:numPr>
      <w:spacing w:before="100" w:line="260" w:lineRule="atLeast"/>
    </w:pPr>
    <w:rPr>
      <w:rFonts w:ascii="Arial" w:hAnsi="Arial"/>
      <w:sz w:val="20"/>
    </w:rPr>
  </w:style>
  <w:style w:type="paragraph" w:customStyle="1" w:styleId="BoxListBullet2">
    <w:name w:val="Box List Bullet 2"/>
    <w:basedOn w:val="BoxListBullet"/>
    <w:link w:val="BoxListBullet2Char"/>
    <w:rsid w:val="00034490"/>
    <w:pPr>
      <w:numPr>
        <w:numId w:val="2"/>
      </w:numPr>
      <w:ind w:left="568" w:hanging="284"/>
    </w:pPr>
  </w:style>
  <w:style w:type="paragraph" w:customStyle="1" w:styleId="BoxListNumber">
    <w:name w:val="Box List Number"/>
    <w:basedOn w:val="BodyText"/>
    <w:rsid w:val="00034490"/>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034490"/>
    <w:pPr>
      <w:numPr>
        <w:ilvl w:val="1"/>
      </w:numPr>
      <w:ind w:left="681" w:hanging="397"/>
    </w:pPr>
  </w:style>
  <w:style w:type="paragraph" w:customStyle="1" w:styleId="BoxQuote">
    <w:name w:val="Box Quote"/>
    <w:basedOn w:val="BodyText"/>
    <w:next w:val="Box"/>
    <w:link w:val="BoxQuoteChar"/>
    <w:qFormat/>
    <w:rsid w:val="00034490"/>
    <w:pPr>
      <w:keepNext/>
      <w:spacing w:before="60" w:line="240" w:lineRule="exact"/>
      <w:ind w:left="284"/>
    </w:pPr>
    <w:rPr>
      <w:rFonts w:ascii="Arial" w:hAnsi="Arial"/>
      <w:sz w:val="18"/>
    </w:rPr>
  </w:style>
  <w:style w:type="paragraph" w:customStyle="1" w:styleId="Note">
    <w:name w:val="Note"/>
    <w:basedOn w:val="BodyText"/>
    <w:next w:val="BodyText"/>
    <w:link w:val="NoteChar"/>
    <w:rsid w:val="00034490"/>
    <w:pPr>
      <w:keepLines/>
      <w:spacing w:before="80" w:line="220" w:lineRule="exact"/>
    </w:pPr>
    <w:rPr>
      <w:rFonts w:ascii="Arial" w:hAnsi="Arial"/>
      <w:sz w:val="18"/>
    </w:rPr>
  </w:style>
  <w:style w:type="paragraph" w:customStyle="1" w:styleId="Source">
    <w:name w:val="Source"/>
    <w:basedOn w:val="Normal"/>
    <w:next w:val="BodyText"/>
    <w:link w:val="SourceChar"/>
    <w:rsid w:val="00034490"/>
    <w:pPr>
      <w:keepLines/>
      <w:spacing w:before="80" w:line="220" w:lineRule="exact"/>
      <w:jc w:val="both"/>
    </w:pPr>
    <w:rPr>
      <w:rFonts w:ascii="Arial" w:hAnsi="Arial"/>
      <w:sz w:val="18"/>
      <w:szCs w:val="20"/>
    </w:rPr>
  </w:style>
  <w:style w:type="paragraph" w:customStyle="1" w:styleId="BoxSource">
    <w:name w:val="Box Source"/>
    <w:basedOn w:val="Source"/>
    <w:next w:val="BodyText"/>
    <w:rsid w:val="00034490"/>
    <w:pPr>
      <w:spacing w:before="120"/>
    </w:pPr>
  </w:style>
  <w:style w:type="paragraph" w:customStyle="1" w:styleId="BoxSpaceAbove">
    <w:name w:val="Box Space Above"/>
    <w:basedOn w:val="BodyText"/>
    <w:rsid w:val="00034490"/>
    <w:pPr>
      <w:keepNext/>
      <w:spacing w:before="360" w:line="80" w:lineRule="exact"/>
      <w:jc w:val="left"/>
    </w:pPr>
  </w:style>
  <w:style w:type="paragraph" w:styleId="Caption">
    <w:name w:val="caption"/>
    <w:basedOn w:val="Normal"/>
    <w:next w:val="BodyText"/>
    <w:rsid w:val="00034490"/>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034490"/>
    <w:pPr>
      <w:spacing w:before="120" w:after="0"/>
    </w:pPr>
  </w:style>
  <w:style w:type="paragraph" w:customStyle="1" w:styleId="BoxSubtitle">
    <w:name w:val="Box Subtitle"/>
    <w:basedOn w:val="BoxTitle"/>
    <w:next w:val="Normal"/>
    <w:rsid w:val="00034490"/>
    <w:pPr>
      <w:spacing w:after="80" w:line="200" w:lineRule="exact"/>
      <w:ind w:firstLine="0"/>
    </w:pPr>
    <w:rPr>
      <w:b w:val="0"/>
      <w:sz w:val="20"/>
    </w:rPr>
  </w:style>
  <w:style w:type="paragraph" w:customStyle="1" w:styleId="Chapter">
    <w:name w:val="Chapter"/>
    <w:basedOn w:val="Heading1"/>
    <w:next w:val="BodyText"/>
    <w:semiHidden/>
    <w:rsid w:val="00034490"/>
    <w:pPr>
      <w:ind w:left="0" w:firstLine="0"/>
      <w:outlineLvl w:val="9"/>
    </w:pPr>
  </w:style>
  <w:style w:type="paragraph" w:customStyle="1" w:styleId="ChapterSummary">
    <w:name w:val="Chapter Summary"/>
    <w:basedOn w:val="BodyText"/>
    <w:rsid w:val="00034490"/>
    <w:pPr>
      <w:spacing w:line="280" w:lineRule="atLeast"/>
      <w:ind w:left="907"/>
    </w:pPr>
    <w:rPr>
      <w:rFonts w:ascii="Arial" w:hAnsi="Arial"/>
      <w:b/>
      <w:sz w:val="20"/>
    </w:rPr>
  </w:style>
  <w:style w:type="character" w:styleId="CommentReference">
    <w:name w:val="annotation reference"/>
    <w:basedOn w:val="DefaultParagraphFont"/>
    <w:rsid w:val="00034490"/>
    <w:rPr>
      <w:b/>
      <w:vanish/>
      <w:color w:val="FF00FF"/>
      <w:sz w:val="20"/>
    </w:rPr>
  </w:style>
  <w:style w:type="paragraph" w:styleId="CommentText">
    <w:name w:val="annotation text"/>
    <w:basedOn w:val="Normal"/>
    <w:link w:val="CommentTextChar1"/>
    <w:semiHidden/>
    <w:rsid w:val="00034490"/>
    <w:pPr>
      <w:spacing w:before="120" w:line="240" w:lineRule="atLeast"/>
      <w:ind w:left="567" w:hanging="567"/>
    </w:pPr>
    <w:rPr>
      <w:sz w:val="20"/>
    </w:rPr>
  </w:style>
  <w:style w:type="paragraph" w:customStyle="1" w:styleId="Continued">
    <w:name w:val="Continued"/>
    <w:basedOn w:val="BoxContinued"/>
    <w:next w:val="BodyText"/>
    <w:link w:val="ContinuedChar"/>
    <w:rsid w:val="00034490"/>
  </w:style>
  <w:style w:type="character" w:customStyle="1" w:styleId="DocumentInfo">
    <w:name w:val="Document Info"/>
    <w:basedOn w:val="DefaultParagraphFont"/>
    <w:semiHidden/>
    <w:rsid w:val="00034490"/>
    <w:rPr>
      <w:rFonts w:ascii="Arial" w:hAnsi="Arial"/>
      <w:sz w:val="14"/>
    </w:rPr>
  </w:style>
  <w:style w:type="character" w:customStyle="1" w:styleId="DraftingNote">
    <w:name w:val="Drafting Note"/>
    <w:basedOn w:val="DefaultParagraphFont"/>
    <w:rsid w:val="00034490"/>
    <w:rPr>
      <w:b/>
      <w:color w:val="FF0000"/>
      <w:sz w:val="24"/>
      <w:u w:val="dotted"/>
    </w:rPr>
  </w:style>
  <w:style w:type="paragraph" w:customStyle="1" w:styleId="Figure">
    <w:name w:val="Figure"/>
    <w:basedOn w:val="BodyText"/>
    <w:link w:val="FigureChar"/>
    <w:rsid w:val="00034490"/>
    <w:pPr>
      <w:keepNext/>
      <w:spacing w:before="120" w:after="120" w:line="240" w:lineRule="atLeast"/>
      <w:jc w:val="center"/>
    </w:pPr>
  </w:style>
  <w:style w:type="paragraph" w:customStyle="1" w:styleId="FigureTitle">
    <w:name w:val="Figure Title"/>
    <w:basedOn w:val="Caption"/>
    <w:next w:val="Subtitle"/>
    <w:link w:val="FigureTitleChar"/>
    <w:rsid w:val="00034490"/>
    <w:pPr>
      <w:spacing w:before="120"/>
    </w:pPr>
  </w:style>
  <w:style w:type="paragraph" w:styleId="Subtitle">
    <w:name w:val="Subtitle"/>
    <w:basedOn w:val="Caption"/>
    <w:link w:val="SubtitleChar"/>
    <w:qFormat/>
    <w:rsid w:val="00034490"/>
    <w:pPr>
      <w:spacing w:before="0" w:line="200" w:lineRule="exact"/>
      <w:ind w:firstLine="0"/>
    </w:pPr>
    <w:rPr>
      <w:b w:val="0"/>
      <w:sz w:val="20"/>
    </w:rPr>
  </w:style>
  <w:style w:type="paragraph" w:customStyle="1" w:styleId="Finding">
    <w:name w:val="Finding"/>
    <w:basedOn w:val="BodyText"/>
    <w:rsid w:val="00034490"/>
    <w:pPr>
      <w:keepLines/>
      <w:spacing w:before="120" w:line="280" w:lineRule="atLeast"/>
    </w:pPr>
    <w:rPr>
      <w:rFonts w:ascii="Arial" w:hAnsi="Arial"/>
      <w:sz w:val="22"/>
    </w:rPr>
  </w:style>
  <w:style w:type="paragraph" w:customStyle="1" w:styleId="FindingBullet">
    <w:name w:val="Finding Bullet"/>
    <w:basedOn w:val="Finding"/>
    <w:rsid w:val="00034490"/>
    <w:pPr>
      <w:numPr>
        <w:numId w:val="3"/>
      </w:numPr>
      <w:spacing w:before="80"/>
    </w:pPr>
  </w:style>
  <w:style w:type="paragraph" w:customStyle="1" w:styleId="FindingNoTitle">
    <w:name w:val="Finding NoTitle"/>
    <w:basedOn w:val="Finding"/>
    <w:rsid w:val="00034490"/>
    <w:pPr>
      <w:spacing w:before="240"/>
    </w:pPr>
  </w:style>
  <w:style w:type="paragraph" w:customStyle="1" w:styleId="RecTitle">
    <w:name w:val="Rec Title"/>
    <w:basedOn w:val="BodyText"/>
    <w:next w:val="Rec"/>
    <w:qFormat/>
    <w:rsid w:val="00034490"/>
    <w:pPr>
      <w:keepNext/>
      <w:keepLines/>
      <w:spacing w:line="280" w:lineRule="atLeast"/>
    </w:pPr>
    <w:rPr>
      <w:rFonts w:ascii="Arial" w:hAnsi="Arial"/>
      <w:caps/>
      <w:sz w:val="18"/>
    </w:rPr>
  </w:style>
  <w:style w:type="paragraph" w:customStyle="1" w:styleId="FindingTitle">
    <w:name w:val="Finding Title"/>
    <w:basedOn w:val="RecTitle"/>
    <w:next w:val="Finding"/>
    <w:rsid w:val="00034490"/>
  </w:style>
  <w:style w:type="character" w:styleId="FootnoteReference">
    <w:name w:val="footnote reference"/>
    <w:basedOn w:val="DefaultParagraphFont"/>
    <w:semiHidden/>
    <w:rsid w:val="00034490"/>
    <w:rPr>
      <w:rFonts w:ascii="Times New Roman" w:hAnsi="Times New Roman"/>
      <w:position w:val="6"/>
      <w:sz w:val="20"/>
      <w:vertAlign w:val="baseline"/>
    </w:rPr>
  </w:style>
  <w:style w:type="paragraph" w:styleId="FootnoteText">
    <w:name w:val="footnote text"/>
    <w:basedOn w:val="BodyText"/>
    <w:link w:val="FootnoteTextChar"/>
    <w:rsid w:val="00034490"/>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034490"/>
    <w:rPr>
      <w:i/>
    </w:rPr>
  </w:style>
  <w:style w:type="paragraph" w:customStyle="1" w:styleId="Jurisdictioncommentsbodytext">
    <w:name w:val="Jurisdiction comments body text"/>
    <w:link w:val="JurisdictioncommentsbodytextChar"/>
    <w:rsid w:val="00034490"/>
    <w:pPr>
      <w:spacing w:after="140"/>
      <w:jc w:val="both"/>
    </w:pPr>
    <w:rPr>
      <w:rFonts w:ascii="Arial" w:hAnsi="Arial"/>
      <w:sz w:val="24"/>
      <w:lang w:eastAsia="en-US"/>
    </w:rPr>
  </w:style>
  <w:style w:type="paragraph" w:customStyle="1" w:styleId="Jurisdictioncommentsheading">
    <w:name w:val="Jurisdiction comments heading"/>
    <w:rsid w:val="00034490"/>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034490"/>
    <w:pPr>
      <w:numPr>
        <w:numId w:val="4"/>
      </w:numPr>
      <w:spacing w:after="140"/>
      <w:jc w:val="both"/>
    </w:pPr>
    <w:rPr>
      <w:rFonts w:ascii="Arial" w:hAnsi="Arial"/>
      <w:sz w:val="24"/>
      <w:lang w:eastAsia="en-US"/>
    </w:rPr>
  </w:style>
  <w:style w:type="paragraph" w:styleId="ListBullet">
    <w:name w:val="List Bullet"/>
    <w:aliases w:val="List Bullet1,List Bullet Char1,List Bullet Char Char,List Bullet Char1 Char Char"/>
    <w:basedOn w:val="BodyText"/>
    <w:link w:val="ListBulletChar"/>
    <w:rsid w:val="00034490"/>
    <w:pPr>
      <w:numPr>
        <w:numId w:val="5"/>
      </w:numPr>
      <w:spacing w:before="120"/>
    </w:pPr>
  </w:style>
  <w:style w:type="paragraph" w:styleId="ListBullet2">
    <w:name w:val="List Bullet 2"/>
    <w:basedOn w:val="BodyText"/>
    <w:link w:val="ListBullet2Char"/>
    <w:rsid w:val="00034490"/>
    <w:pPr>
      <w:numPr>
        <w:numId w:val="6"/>
      </w:numPr>
      <w:spacing w:before="120"/>
    </w:pPr>
  </w:style>
  <w:style w:type="paragraph" w:styleId="ListBullet3">
    <w:name w:val="List Bullet 3"/>
    <w:basedOn w:val="BodyText"/>
    <w:rsid w:val="00034490"/>
    <w:pPr>
      <w:numPr>
        <w:numId w:val="7"/>
      </w:numPr>
      <w:spacing w:before="120"/>
      <w:ind w:left="1020" w:hanging="340"/>
    </w:pPr>
  </w:style>
  <w:style w:type="paragraph" w:styleId="ListNumber">
    <w:name w:val="List Number"/>
    <w:basedOn w:val="BodyText"/>
    <w:rsid w:val="00034490"/>
    <w:pPr>
      <w:numPr>
        <w:numId w:val="13"/>
      </w:numPr>
      <w:spacing w:before="120"/>
    </w:pPr>
  </w:style>
  <w:style w:type="paragraph" w:styleId="ListNumber2">
    <w:name w:val="List Number 2"/>
    <w:basedOn w:val="ListNumber"/>
    <w:rsid w:val="00034490"/>
    <w:pPr>
      <w:numPr>
        <w:ilvl w:val="1"/>
      </w:numPr>
    </w:pPr>
  </w:style>
  <w:style w:type="paragraph" w:styleId="ListNumber3">
    <w:name w:val="List Number 3"/>
    <w:basedOn w:val="ListNumber2"/>
    <w:rsid w:val="00034490"/>
    <w:pPr>
      <w:numPr>
        <w:ilvl w:val="2"/>
      </w:numPr>
    </w:pPr>
  </w:style>
  <w:style w:type="character" w:customStyle="1" w:styleId="NoteLabel">
    <w:name w:val="Note Label"/>
    <w:basedOn w:val="DefaultParagraphFont"/>
    <w:rsid w:val="00034490"/>
    <w:rPr>
      <w:rFonts w:ascii="Arial" w:hAnsi="Arial"/>
      <w:b/>
      <w:position w:val="6"/>
      <w:sz w:val="18"/>
    </w:rPr>
  </w:style>
  <w:style w:type="paragraph" w:customStyle="1" w:styleId="PartDivider">
    <w:name w:val="Part Divider"/>
    <w:basedOn w:val="BodyText"/>
    <w:next w:val="BodyText"/>
    <w:semiHidden/>
    <w:rsid w:val="00034490"/>
    <w:pPr>
      <w:spacing w:before="0" w:line="40" w:lineRule="exact"/>
      <w:jc w:val="right"/>
    </w:pPr>
    <w:rPr>
      <w:smallCaps/>
      <w:sz w:val="16"/>
    </w:rPr>
  </w:style>
  <w:style w:type="paragraph" w:customStyle="1" w:styleId="PartNumber">
    <w:name w:val="Part Number"/>
    <w:basedOn w:val="BodyText"/>
    <w:next w:val="BodyText"/>
    <w:semiHidden/>
    <w:rsid w:val="00034490"/>
    <w:pPr>
      <w:spacing w:before="4000" w:line="320" w:lineRule="exact"/>
      <w:ind w:left="6634"/>
      <w:jc w:val="right"/>
    </w:pPr>
    <w:rPr>
      <w:smallCaps/>
      <w:spacing w:val="60"/>
      <w:sz w:val="32"/>
    </w:rPr>
  </w:style>
  <w:style w:type="paragraph" w:customStyle="1" w:styleId="PartTitle">
    <w:name w:val="Part Title"/>
    <w:basedOn w:val="BodyText"/>
    <w:semiHidden/>
    <w:rsid w:val="00034490"/>
    <w:pPr>
      <w:spacing w:before="160" w:after="1360" w:line="520" w:lineRule="exact"/>
      <w:ind w:right="2381"/>
      <w:jc w:val="right"/>
    </w:pPr>
    <w:rPr>
      <w:smallCaps/>
      <w:sz w:val="52"/>
    </w:rPr>
  </w:style>
  <w:style w:type="paragraph" w:styleId="Quote">
    <w:name w:val="Quote"/>
    <w:basedOn w:val="BodyText"/>
    <w:next w:val="BodyText"/>
    <w:link w:val="QuoteChar"/>
    <w:qFormat/>
    <w:rsid w:val="00034490"/>
    <w:pPr>
      <w:spacing w:before="120" w:line="280" w:lineRule="exact"/>
      <w:ind w:left="340"/>
    </w:pPr>
    <w:rPr>
      <w:sz w:val="22"/>
    </w:rPr>
  </w:style>
  <w:style w:type="paragraph" w:customStyle="1" w:styleId="QuoteBullet">
    <w:name w:val="Quote Bullet"/>
    <w:basedOn w:val="Quote"/>
    <w:rsid w:val="00034490"/>
    <w:pPr>
      <w:numPr>
        <w:numId w:val="8"/>
      </w:numPr>
    </w:pPr>
  </w:style>
  <w:style w:type="paragraph" w:customStyle="1" w:styleId="Rec">
    <w:name w:val="Rec"/>
    <w:basedOn w:val="BodyText"/>
    <w:qFormat/>
    <w:rsid w:val="00034490"/>
    <w:pPr>
      <w:keepLines/>
      <w:spacing w:before="120" w:line="280" w:lineRule="atLeast"/>
    </w:pPr>
    <w:rPr>
      <w:rFonts w:ascii="Arial" w:hAnsi="Arial"/>
      <w:sz w:val="22"/>
    </w:rPr>
  </w:style>
  <w:style w:type="paragraph" w:customStyle="1" w:styleId="RecBullet">
    <w:name w:val="Rec Bullet"/>
    <w:basedOn w:val="Rec"/>
    <w:rsid w:val="00034490"/>
    <w:pPr>
      <w:numPr>
        <w:numId w:val="9"/>
      </w:numPr>
      <w:spacing w:before="80"/>
    </w:pPr>
  </w:style>
  <w:style w:type="paragraph" w:customStyle="1" w:styleId="RecB">
    <w:name w:val="RecB"/>
    <w:basedOn w:val="Normal"/>
    <w:rsid w:val="00034490"/>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034490"/>
    <w:pPr>
      <w:numPr>
        <w:numId w:val="10"/>
      </w:numPr>
      <w:spacing w:before="80"/>
    </w:pPr>
  </w:style>
  <w:style w:type="paragraph" w:customStyle="1" w:styleId="RecBNoTitle">
    <w:name w:val="RecB NoTitle"/>
    <w:basedOn w:val="RecB"/>
    <w:rsid w:val="00034490"/>
    <w:pPr>
      <w:spacing w:before="240"/>
    </w:pPr>
  </w:style>
  <w:style w:type="paragraph" w:customStyle="1" w:styleId="Reference">
    <w:name w:val="Reference"/>
    <w:basedOn w:val="BodyText"/>
    <w:link w:val="ReferenceChar"/>
    <w:rsid w:val="00034490"/>
    <w:pPr>
      <w:spacing w:before="120"/>
      <w:ind w:left="340" w:hanging="340"/>
    </w:pPr>
  </w:style>
  <w:style w:type="paragraph" w:customStyle="1" w:styleId="SequenceInfo">
    <w:name w:val="Sequence Info"/>
    <w:basedOn w:val="BodyText"/>
    <w:semiHidden/>
    <w:rsid w:val="00034490"/>
    <w:rPr>
      <w:vanish/>
      <w:sz w:val="16"/>
    </w:rPr>
  </w:style>
  <w:style w:type="paragraph" w:customStyle="1" w:styleId="SideNote">
    <w:name w:val="Side Note"/>
    <w:basedOn w:val="BodyText"/>
    <w:next w:val="BodyText"/>
    <w:semiHidden/>
    <w:rsid w:val="00034490"/>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034490"/>
    <w:pPr>
      <w:framePr w:wrap="around"/>
      <w:numPr>
        <w:numId w:val="11"/>
      </w:numPr>
      <w:tabs>
        <w:tab w:val="left" w:pos="227"/>
      </w:tabs>
    </w:pPr>
  </w:style>
  <w:style w:type="paragraph" w:customStyle="1" w:styleId="SideNoteGraphic">
    <w:name w:val="Side Note Graphic"/>
    <w:basedOn w:val="SideNote"/>
    <w:next w:val="BodyText"/>
    <w:semiHidden/>
    <w:rsid w:val="00034490"/>
    <w:pPr>
      <w:framePr w:wrap="around"/>
    </w:pPr>
  </w:style>
  <w:style w:type="paragraph" w:customStyle="1" w:styleId="TableBodyText">
    <w:name w:val="Table Body Text"/>
    <w:basedOn w:val="BodyText"/>
    <w:link w:val="TableBodyTextChar"/>
    <w:rsid w:val="00034490"/>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034490"/>
    <w:pPr>
      <w:numPr>
        <w:numId w:val="12"/>
      </w:numPr>
      <w:jc w:val="left"/>
    </w:pPr>
  </w:style>
  <w:style w:type="paragraph" w:customStyle="1" w:styleId="TableColumnHeading">
    <w:name w:val="Table Column Heading"/>
    <w:basedOn w:val="TableBodyText"/>
    <w:rsid w:val="00034490"/>
    <w:pPr>
      <w:spacing w:before="80" w:after="80"/>
    </w:pPr>
    <w:rPr>
      <w:i/>
    </w:rPr>
  </w:style>
  <w:style w:type="paragraph" w:styleId="TOC2">
    <w:name w:val="toc 2"/>
    <w:basedOn w:val="TOC1"/>
    <w:rsid w:val="00034490"/>
    <w:pPr>
      <w:ind w:left="1134" w:hanging="624"/>
    </w:pPr>
    <w:rPr>
      <w:b w:val="0"/>
    </w:rPr>
  </w:style>
  <w:style w:type="paragraph" w:styleId="TOC3">
    <w:name w:val="toc 3"/>
    <w:basedOn w:val="TOC2"/>
    <w:rsid w:val="00034490"/>
    <w:pPr>
      <w:spacing w:before="60"/>
      <w:ind w:left="1190" w:hanging="680"/>
    </w:pPr>
  </w:style>
  <w:style w:type="paragraph" w:styleId="TableofFigures">
    <w:name w:val="table of figures"/>
    <w:basedOn w:val="TOC3"/>
    <w:next w:val="BodyText"/>
    <w:semiHidden/>
    <w:rsid w:val="00034490"/>
    <w:pPr>
      <w:ind w:left="737" w:hanging="737"/>
    </w:pPr>
  </w:style>
  <w:style w:type="paragraph" w:customStyle="1" w:styleId="TableTitle">
    <w:name w:val="Table Title"/>
    <w:basedOn w:val="Caption"/>
    <w:next w:val="Subtitle"/>
    <w:link w:val="TableTitleChar"/>
    <w:qFormat/>
    <w:rsid w:val="00034490"/>
    <w:pPr>
      <w:spacing w:before="120"/>
    </w:pPr>
  </w:style>
  <w:style w:type="paragraph" w:customStyle="1" w:styleId="TableUnitsRow">
    <w:name w:val="Table Units Row"/>
    <w:basedOn w:val="TableBodyText"/>
    <w:rsid w:val="00034490"/>
    <w:pPr>
      <w:spacing w:before="40"/>
    </w:pPr>
  </w:style>
  <w:style w:type="paragraph" w:styleId="TOC1">
    <w:name w:val="toc 1"/>
    <w:basedOn w:val="Normal"/>
    <w:next w:val="TOC2"/>
    <w:link w:val="TOC1Char"/>
    <w:rsid w:val="00034490"/>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034490"/>
    <w:pPr>
      <w:ind w:left="1191" w:firstLine="0"/>
    </w:pPr>
  </w:style>
  <w:style w:type="paragraph" w:customStyle="1" w:styleId="RecBBullet2">
    <w:name w:val="RecB Bullet 2"/>
    <w:basedOn w:val="ListBullet2"/>
    <w:rsid w:val="00034490"/>
    <w:pPr>
      <w:pBdr>
        <w:left w:val="single" w:sz="24" w:space="29" w:color="C0C0C0"/>
      </w:pBdr>
    </w:pPr>
    <w:rPr>
      <w:b/>
      <w:i/>
    </w:rPr>
  </w:style>
  <w:style w:type="paragraph" w:styleId="BalloonText">
    <w:name w:val="Balloon Text"/>
    <w:basedOn w:val="Normal"/>
    <w:link w:val="BalloonTextChar"/>
    <w:rsid w:val="00034490"/>
    <w:rPr>
      <w:rFonts w:ascii="Tahoma" w:hAnsi="Tahoma" w:cs="Tahoma"/>
      <w:sz w:val="16"/>
      <w:szCs w:val="16"/>
    </w:rPr>
  </w:style>
  <w:style w:type="character" w:customStyle="1" w:styleId="BalloonTextChar">
    <w:name w:val="Balloon Text Char"/>
    <w:basedOn w:val="DefaultParagraphFont"/>
    <w:link w:val="BalloonText"/>
    <w:rsid w:val="00034490"/>
    <w:rPr>
      <w:rFonts w:ascii="Tahoma" w:hAnsi="Tahoma" w:cs="Tahoma"/>
      <w:sz w:val="16"/>
      <w:szCs w:val="16"/>
    </w:rPr>
  </w:style>
  <w:style w:type="character" w:customStyle="1" w:styleId="SubtitleChar">
    <w:name w:val="Subtitle Char"/>
    <w:basedOn w:val="DefaultParagraphFont"/>
    <w:link w:val="Subtitle"/>
    <w:rsid w:val="00034490"/>
    <w:rPr>
      <w:rFonts w:ascii="Arial" w:hAnsi="Arial"/>
      <w:szCs w:val="24"/>
    </w:rPr>
  </w:style>
  <w:style w:type="paragraph" w:customStyle="1" w:styleId="BoxListBullet3">
    <w:name w:val="Box List Bullet 3"/>
    <w:basedOn w:val="ListBullet3"/>
    <w:rsid w:val="00034490"/>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034490"/>
    <w:rPr>
      <w:i/>
      <w:iCs/>
    </w:rPr>
  </w:style>
  <w:style w:type="paragraph" w:customStyle="1" w:styleId="BoxQuoteBullet">
    <w:name w:val="Box Quote Bullet"/>
    <w:basedOn w:val="BoxQuote"/>
    <w:next w:val="Box"/>
    <w:rsid w:val="00034490"/>
    <w:pPr>
      <w:numPr>
        <w:numId w:val="16"/>
      </w:numPr>
      <w:ind w:left="568" w:hanging="284"/>
    </w:pPr>
  </w:style>
  <w:style w:type="paragraph" w:customStyle="1" w:styleId="InformationRequestBullet">
    <w:name w:val="Information Request Bullet"/>
    <w:basedOn w:val="ListBullet"/>
    <w:next w:val="BodyText"/>
    <w:rsid w:val="00034490"/>
    <w:pPr>
      <w:numPr>
        <w:numId w:val="17"/>
      </w:numPr>
      <w:spacing w:before="80" w:line="280" w:lineRule="atLeast"/>
      <w:ind w:left="357" w:hanging="357"/>
    </w:pPr>
    <w:rPr>
      <w:rFonts w:ascii="Arial" w:hAnsi="Arial"/>
      <w:i/>
      <w:sz w:val="22"/>
    </w:rPr>
  </w:style>
  <w:style w:type="paragraph" w:customStyle="1" w:styleId="BoxSpaceBelow">
    <w:name w:val="Box Space Below"/>
    <w:basedOn w:val="Box"/>
    <w:rsid w:val="00034490"/>
    <w:pPr>
      <w:keepNext w:val="0"/>
      <w:spacing w:before="60" w:after="60" w:line="80" w:lineRule="exact"/>
    </w:pPr>
    <w:rPr>
      <w:sz w:val="14"/>
    </w:rPr>
  </w:style>
  <w:style w:type="character" w:customStyle="1" w:styleId="Heading1Char">
    <w:name w:val="Heading 1 Char"/>
    <w:basedOn w:val="DefaultParagraphFont"/>
    <w:link w:val="Heading1"/>
    <w:rsid w:val="00FF51E1"/>
    <w:rPr>
      <w:sz w:val="52"/>
    </w:rPr>
  </w:style>
  <w:style w:type="character" w:customStyle="1" w:styleId="Heading2Char">
    <w:name w:val="Heading 2 Char"/>
    <w:basedOn w:val="DefaultParagraphFont"/>
    <w:link w:val="Heading2"/>
    <w:rsid w:val="00FF51E1"/>
    <w:rPr>
      <w:rFonts w:ascii="Arial" w:hAnsi="Arial"/>
      <w:b/>
      <w:sz w:val="32"/>
    </w:rPr>
  </w:style>
  <w:style w:type="character" w:customStyle="1" w:styleId="Heading3Char">
    <w:name w:val="Heading 3 Char"/>
    <w:basedOn w:val="DefaultParagraphFont"/>
    <w:link w:val="Heading3"/>
    <w:rsid w:val="00FF51E1"/>
    <w:rPr>
      <w:rFonts w:ascii="Arial" w:hAnsi="Arial"/>
      <w:b/>
      <w:sz w:val="26"/>
    </w:rPr>
  </w:style>
  <w:style w:type="character" w:customStyle="1" w:styleId="Heading4Char">
    <w:name w:val="Heading 4 Char"/>
    <w:basedOn w:val="DefaultParagraphFont"/>
    <w:link w:val="Heading4"/>
    <w:rsid w:val="00FF51E1"/>
    <w:rPr>
      <w:rFonts w:ascii="Arial" w:hAnsi="Arial"/>
      <w:sz w:val="24"/>
    </w:rPr>
  </w:style>
  <w:style w:type="character" w:customStyle="1" w:styleId="Heading5Char">
    <w:name w:val="Heading 5 Char"/>
    <w:basedOn w:val="DefaultParagraphFont"/>
    <w:link w:val="Heading5"/>
    <w:rsid w:val="00034490"/>
    <w:rPr>
      <w:rFonts w:ascii="Arial" w:hAnsi="Arial"/>
      <w:i/>
      <w:sz w:val="22"/>
    </w:rPr>
  </w:style>
  <w:style w:type="character" w:customStyle="1" w:styleId="Heading6Char">
    <w:name w:val="Heading 6 Char"/>
    <w:basedOn w:val="DefaultParagraphFont"/>
    <w:link w:val="Heading6"/>
    <w:rsid w:val="00FF51E1"/>
    <w:rPr>
      <w:i/>
      <w:sz w:val="22"/>
    </w:rPr>
  </w:style>
  <w:style w:type="character" w:customStyle="1" w:styleId="Heading7Char">
    <w:name w:val="Heading 7 Char"/>
    <w:basedOn w:val="DefaultParagraphFont"/>
    <w:link w:val="Heading7"/>
    <w:rsid w:val="00FF51E1"/>
    <w:rPr>
      <w:rFonts w:ascii="Arial" w:hAnsi="Arial"/>
    </w:rPr>
  </w:style>
  <w:style w:type="character" w:customStyle="1" w:styleId="Heading8Char">
    <w:name w:val="Heading 8 Char"/>
    <w:basedOn w:val="DefaultParagraphFont"/>
    <w:link w:val="Heading8"/>
    <w:rsid w:val="00FF51E1"/>
    <w:rPr>
      <w:rFonts w:ascii="Arial" w:hAnsi="Arial"/>
      <w:i/>
    </w:rPr>
  </w:style>
  <w:style w:type="character" w:customStyle="1" w:styleId="Heading9Char">
    <w:name w:val="Heading 9 Char"/>
    <w:basedOn w:val="DefaultParagraphFont"/>
    <w:link w:val="Heading9"/>
    <w:rsid w:val="00FF51E1"/>
    <w:rPr>
      <w:rFonts w:ascii="Arial" w:hAnsi="Arial"/>
      <w:b/>
      <w:i/>
      <w:sz w:val="18"/>
    </w:rPr>
  </w:style>
  <w:style w:type="character" w:customStyle="1" w:styleId="BodyTextChar">
    <w:name w:val="Body Text Char"/>
    <w:basedOn w:val="DefaultParagraphFont"/>
    <w:link w:val="BodyText"/>
    <w:rsid w:val="00034490"/>
    <w:rPr>
      <w:sz w:val="24"/>
    </w:rPr>
  </w:style>
  <w:style w:type="character" w:customStyle="1" w:styleId="FooterChar">
    <w:name w:val="Footer Char"/>
    <w:basedOn w:val="BodyTextChar"/>
    <w:link w:val="Footer"/>
    <w:rsid w:val="00034490"/>
    <w:rPr>
      <w:rFonts w:ascii="Arial" w:hAnsi="Arial"/>
      <w:caps/>
      <w:spacing w:val="-4"/>
      <w:sz w:val="16"/>
    </w:rPr>
  </w:style>
  <w:style w:type="character" w:customStyle="1" w:styleId="HeaderChar">
    <w:name w:val="Header Char"/>
    <w:basedOn w:val="DefaultParagraphFont"/>
    <w:link w:val="Header"/>
    <w:rsid w:val="00FF51E1"/>
    <w:rPr>
      <w:rFonts w:ascii="Arial" w:hAnsi="Arial"/>
      <w:caps/>
      <w:sz w:val="24"/>
    </w:rPr>
  </w:style>
  <w:style w:type="character" w:customStyle="1" w:styleId="CommentTextChar">
    <w:name w:val="Comment Text Char"/>
    <w:basedOn w:val="DefaultParagraphFont"/>
    <w:semiHidden/>
    <w:rsid w:val="00FF51E1"/>
    <w:rPr>
      <w:szCs w:val="24"/>
    </w:rPr>
  </w:style>
  <w:style w:type="character" w:customStyle="1" w:styleId="FootnoteTextChar">
    <w:name w:val="Footnote Text Char"/>
    <w:basedOn w:val="DefaultParagraphFont"/>
    <w:link w:val="FootnoteText"/>
    <w:rsid w:val="00FF51E1"/>
  </w:style>
  <w:style w:type="character" w:customStyle="1" w:styleId="QuoteChar">
    <w:name w:val="Quote Char"/>
    <w:basedOn w:val="DefaultParagraphFont"/>
    <w:link w:val="Quote"/>
    <w:rsid w:val="00FF51E1"/>
    <w:rPr>
      <w:sz w:val="22"/>
    </w:rPr>
  </w:style>
  <w:style w:type="paragraph" w:customStyle="1" w:styleId="BoxSpace">
    <w:name w:val="Box Space"/>
    <w:basedOn w:val="BodyText"/>
    <w:rsid w:val="00FF51E1"/>
    <w:pPr>
      <w:keepNext/>
      <w:spacing w:before="360" w:line="80" w:lineRule="exact"/>
      <w:jc w:val="left"/>
    </w:pPr>
  </w:style>
  <w:style w:type="character" w:styleId="Hyperlink">
    <w:name w:val="Hyperlink"/>
    <w:uiPriority w:val="99"/>
    <w:rsid w:val="00FF51E1"/>
    <w:rPr>
      <w:color w:val="0000FF"/>
      <w:u w:val="single"/>
    </w:rPr>
  </w:style>
  <w:style w:type="paragraph" w:customStyle="1" w:styleId="SOC">
    <w:name w:val="SOC"/>
    <w:basedOn w:val="BodyText"/>
    <w:rsid w:val="00FF51E1"/>
    <w:pPr>
      <w:spacing w:before="0" w:after="140" w:line="240" w:lineRule="auto"/>
    </w:pPr>
    <w:rPr>
      <w:rFonts w:ascii="Arial" w:hAnsi="Arial"/>
    </w:rPr>
  </w:style>
  <w:style w:type="character" w:styleId="FollowedHyperlink">
    <w:name w:val="FollowedHyperlink"/>
    <w:rsid w:val="00FF51E1"/>
    <w:rPr>
      <w:color w:val="800080"/>
      <w:u w:val="single"/>
    </w:rPr>
  </w:style>
  <w:style w:type="paragraph" w:styleId="DocumentMap">
    <w:name w:val="Document Map"/>
    <w:basedOn w:val="Normal"/>
    <w:link w:val="DocumentMapChar"/>
    <w:rsid w:val="00FF51E1"/>
    <w:pPr>
      <w:shd w:val="clear" w:color="auto" w:fill="000080"/>
    </w:pPr>
    <w:rPr>
      <w:rFonts w:ascii="Tahoma" w:hAnsi="Tahoma" w:cs="Tahoma"/>
      <w:sz w:val="20"/>
    </w:rPr>
  </w:style>
  <w:style w:type="character" w:customStyle="1" w:styleId="DocumentMapChar">
    <w:name w:val="Document Map Char"/>
    <w:basedOn w:val="DefaultParagraphFont"/>
    <w:link w:val="DocumentMap"/>
    <w:rsid w:val="00FF51E1"/>
    <w:rPr>
      <w:rFonts w:ascii="Tahoma" w:hAnsi="Tahoma" w:cs="Tahoma"/>
      <w:szCs w:val="24"/>
      <w:shd w:val="clear" w:color="auto" w:fill="000080"/>
    </w:rPr>
  </w:style>
  <w:style w:type="paragraph" w:styleId="CommentSubject">
    <w:name w:val="annotation subject"/>
    <w:basedOn w:val="CommentText"/>
    <w:next w:val="CommentText"/>
    <w:link w:val="CommentSubjectChar"/>
    <w:rsid w:val="00FF51E1"/>
    <w:pPr>
      <w:spacing w:before="0" w:line="240" w:lineRule="auto"/>
      <w:ind w:left="0" w:firstLine="0"/>
    </w:pPr>
    <w:rPr>
      <w:b/>
      <w:bCs/>
    </w:rPr>
  </w:style>
  <w:style w:type="character" w:customStyle="1" w:styleId="CommentTextChar1">
    <w:name w:val="Comment Text Char1"/>
    <w:basedOn w:val="DefaultParagraphFont"/>
    <w:link w:val="CommentText"/>
    <w:semiHidden/>
    <w:rsid w:val="00FF51E1"/>
    <w:rPr>
      <w:szCs w:val="24"/>
    </w:rPr>
  </w:style>
  <w:style w:type="character" w:customStyle="1" w:styleId="CommentSubjectChar">
    <w:name w:val="Comment Subject Char"/>
    <w:basedOn w:val="CommentTextChar1"/>
    <w:link w:val="CommentSubject"/>
    <w:rsid w:val="00FF51E1"/>
    <w:rPr>
      <w:b/>
      <w:bCs/>
      <w:szCs w:val="24"/>
    </w:rPr>
  </w:style>
  <w:style w:type="table" w:styleId="TableGrid">
    <w:name w:val="Table Grid"/>
    <w:basedOn w:val="TableNormal"/>
    <w:rsid w:val="000344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
    <w:basedOn w:val="TableTitle"/>
    <w:rsid w:val="00FF51E1"/>
  </w:style>
  <w:style w:type="paragraph" w:customStyle="1" w:styleId="DocInfo">
    <w:name w:val="Doc Info"/>
    <w:basedOn w:val="Normal"/>
    <w:next w:val="Normal"/>
    <w:rsid w:val="00FF51E1"/>
    <w:pPr>
      <w:jc w:val="center"/>
    </w:pPr>
    <w:rPr>
      <w:rFonts w:ascii="Arial" w:hAnsi="Arial"/>
      <w:sz w:val="14"/>
    </w:rPr>
  </w:style>
  <w:style w:type="paragraph" w:customStyle="1" w:styleId="Heading2NotTOC">
    <w:name w:val="Heading 2 Not TOC"/>
    <w:basedOn w:val="Heading2"/>
    <w:next w:val="BodyText"/>
    <w:rsid w:val="00FF51E1"/>
    <w:pPr>
      <w:outlineLvl w:val="9"/>
    </w:pPr>
  </w:style>
  <w:style w:type="character" w:customStyle="1" w:styleId="FooterEndChar">
    <w:name w:val="Footer End Char"/>
    <w:link w:val="FooterEnd"/>
    <w:rsid w:val="00FF51E1"/>
    <w:rPr>
      <w:rFonts w:ascii="Arial" w:hAnsi="Arial"/>
      <w:caps/>
      <w:spacing w:val="-4"/>
      <w:sz w:val="16"/>
    </w:rPr>
  </w:style>
  <w:style w:type="character" w:styleId="Strong">
    <w:name w:val="Strong"/>
    <w:qFormat/>
    <w:rsid w:val="00FF51E1"/>
    <w:rPr>
      <w:b/>
      <w:bCs/>
    </w:rPr>
  </w:style>
  <w:style w:type="paragraph" w:styleId="TOCHeading">
    <w:name w:val="TOC Heading"/>
    <w:basedOn w:val="Heading1"/>
    <w:next w:val="Normal"/>
    <w:uiPriority w:val="39"/>
    <w:unhideWhenUsed/>
    <w:qFormat/>
    <w:rsid w:val="00FF51E1"/>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PlainText">
    <w:name w:val="Plain Text"/>
    <w:basedOn w:val="Normal"/>
    <w:link w:val="PlainTextChar"/>
    <w:unhideWhenUsed/>
    <w:rsid w:val="00FF51E1"/>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rsid w:val="00FF51E1"/>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FF51E1"/>
    <w:rPr>
      <w:sz w:val="24"/>
    </w:rPr>
  </w:style>
  <w:style w:type="paragraph" w:customStyle="1" w:styleId="KeyPointsListBullet">
    <w:name w:val="Key Points List Bullet"/>
    <w:basedOn w:val="Normal"/>
    <w:qFormat/>
    <w:rsid w:val="00034490"/>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034490"/>
    <w:pPr>
      <w:numPr>
        <w:numId w:val="21"/>
      </w:numPr>
      <w:ind w:left="568" w:hanging="284"/>
    </w:pPr>
  </w:style>
  <w:style w:type="paragraph" w:customStyle="1" w:styleId="InformationRequestTitle">
    <w:name w:val="Information Request Title"/>
    <w:basedOn w:val="FindingTitle"/>
    <w:next w:val="InformationRequest"/>
    <w:rsid w:val="00034490"/>
    <w:rPr>
      <w:i/>
    </w:rPr>
  </w:style>
  <w:style w:type="paragraph" w:customStyle="1" w:styleId="Space">
    <w:name w:val="Space"/>
    <w:basedOn w:val="Normal"/>
    <w:rsid w:val="00034490"/>
    <w:pPr>
      <w:keepNext/>
      <w:spacing w:line="120" w:lineRule="exact"/>
      <w:jc w:val="both"/>
    </w:pPr>
    <w:rPr>
      <w:rFonts w:ascii="Arial" w:hAnsi="Arial"/>
      <w:sz w:val="20"/>
      <w:szCs w:val="20"/>
    </w:rPr>
  </w:style>
  <w:style w:type="paragraph" w:customStyle="1" w:styleId="Heading1nochapterno">
    <w:name w:val="Heading 1 (no chapter no.)"/>
    <w:basedOn w:val="Heading1"/>
    <w:rsid w:val="00034490"/>
    <w:pPr>
      <w:spacing w:before="0"/>
      <w:ind w:left="0" w:firstLine="0"/>
    </w:pPr>
  </w:style>
  <w:style w:type="paragraph" w:customStyle="1" w:styleId="Heading2nosectionno">
    <w:name w:val="Heading 2 (no section no.)"/>
    <w:basedOn w:val="Heading2"/>
    <w:rsid w:val="00034490"/>
    <w:pPr>
      <w:ind w:left="0" w:firstLine="0"/>
    </w:pPr>
  </w:style>
  <w:style w:type="paragraph" w:customStyle="1" w:styleId="Figurespace">
    <w:name w:val="Figure space"/>
    <w:basedOn w:val="Box"/>
    <w:rsid w:val="00034490"/>
    <w:pPr>
      <w:spacing w:before="0" w:line="120" w:lineRule="exact"/>
    </w:pPr>
  </w:style>
  <w:style w:type="paragraph" w:customStyle="1" w:styleId="FooterDraftReport">
    <w:name w:val="FooterDraftReport"/>
    <w:basedOn w:val="Footer"/>
    <w:link w:val="FooterDraftReportChar"/>
    <w:rsid w:val="00034490"/>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034490"/>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034490"/>
    <w:rPr>
      <w:rFonts w:ascii="Arial" w:hAnsi="Arial"/>
      <w:b/>
      <w:sz w:val="26"/>
      <w:szCs w:val="26"/>
      <w:lang w:eastAsia="en-US"/>
    </w:rPr>
  </w:style>
  <w:style w:type="paragraph" w:customStyle="1" w:styleId="Heading1NotTOC">
    <w:name w:val="Heading 1 Not TOC"/>
    <w:basedOn w:val="Heading1"/>
    <w:next w:val="BodyText"/>
    <w:rsid w:val="001E414C"/>
    <w:rPr>
      <w:kern w:val="28"/>
      <w:szCs w:val="26"/>
      <w:lang w:eastAsia="en-US"/>
    </w:rPr>
  </w:style>
  <w:style w:type="character" w:customStyle="1" w:styleId="BoxContinuedChar">
    <w:name w:val="Box Continued Char"/>
    <w:link w:val="BoxContinued"/>
    <w:semiHidden/>
    <w:locked/>
    <w:rsid w:val="004D5D4F"/>
    <w:rPr>
      <w:rFonts w:ascii="Arial" w:hAnsi="Arial"/>
      <w:sz w:val="18"/>
    </w:rPr>
  </w:style>
  <w:style w:type="character" w:customStyle="1" w:styleId="NoteChar">
    <w:name w:val="Note Char"/>
    <w:link w:val="Note"/>
    <w:locked/>
    <w:rsid w:val="004D5D4F"/>
    <w:rPr>
      <w:rFonts w:ascii="Arial" w:hAnsi="Arial"/>
      <w:sz w:val="18"/>
    </w:rPr>
  </w:style>
  <w:style w:type="character" w:customStyle="1" w:styleId="ListBulletChar">
    <w:name w:val="List Bullet Char"/>
    <w:aliases w:val="List Bullet1 Char,List Bullet Char1 Char,List Bullet Char Char Char,List Bullet Char1 Char Char Char"/>
    <w:link w:val="ListBullet"/>
    <w:locked/>
    <w:rsid w:val="004D5D4F"/>
    <w:rPr>
      <w:sz w:val="24"/>
    </w:rPr>
  </w:style>
  <w:style w:type="character" w:customStyle="1" w:styleId="ListBullet2Char">
    <w:name w:val="List Bullet 2 Char"/>
    <w:link w:val="ListBullet2"/>
    <w:locked/>
    <w:rsid w:val="004D5D4F"/>
    <w:rPr>
      <w:sz w:val="24"/>
    </w:rPr>
  </w:style>
  <w:style w:type="character" w:customStyle="1" w:styleId="TableTitleChar">
    <w:name w:val="Table Title Char"/>
    <w:link w:val="TableTitle"/>
    <w:locked/>
    <w:rsid w:val="004D5D4F"/>
    <w:rPr>
      <w:rFonts w:ascii="Arial" w:hAnsi="Arial"/>
      <w:b/>
      <w:sz w:val="24"/>
      <w:szCs w:val="24"/>
    </w:rPr>
  </w:style>
  <w:style w:type="paragraph" w:customStyle="1" w:styleId="Bullet">
    <w:name w:val="Bullet"/>
    <w:basedOn w:val="Normal"/>
    <w:link w:val="BulletChar"/>
    <w:rsid w:val="004D5D4F"/>
    <w:pPr>
      <w:numPr>
        <w:ilvl w:val="2"/>
        <w:numId w:val="25"/>
      </w:numPr>
      <w:tabs>
        <w:tab w:val="clear" w:pos="850"/>
        <w:tab w:val="num" w:pos="283"/>
      </w:tabs>
      <w:spacing w:after="240" w:line="260" w:lineRule="exact"/>
      <w:ind w:left="283"/>
      <w:jc w:val="both"/>
    </w:pPr>
    <w:rPr>
      <w:rFonts w:ascii="Corbel" w:hAnsi="Corbel"/>
      <w:color w:val="000000"/>
      <w:sz w:val="23"/>
      <w:szCs w:val="20"/>
    </w:rPr>
  </w:style>
  <w:style w:type="character" w:customStyle="1" w:styleId="BulletChar">
    <w:name w:val="Bullet Char"/>
    <w:link w:val="Bullet"/>
    <w:locked/>
    <w:rsid w:val="004D5D4F"/>
    <w:rPr>
      <w:rFonts w:ascii="Corbel" w:hAnsi="Corbel"/>
      <w:color w:val="000000"/>
      <w:sz w:val="23"/>
    </w:rPr>
  </w:style>
  <w:style w:type="paragraph" w:customStyle="1" w:styleId="Dash">
    <w:name w:val="Dash"/>
    <w:basedOn w:val="Normal"/>
    <w:rsid w:val="004D5D4F"/>
    <w:pPr>
      <w:numPr>
        <w:ilvl w:val="1"/>
        <w:numId w:val="25"/>
      </w:numPr>
      <w:spacing w:after="240" w:line="260" w:lineRule="exact"/>
      <w:jc w:val="both"/>
    </w:pPr>
    <w:rPr>
      <w:rFonts w:ascii="Corbel" w:hAnsi="Corbel"/>
      <w:color w:val="000000"/>
      <w:sz w:val="23"/>
      <w:szCs w:val="20"/>
    </w:rPr>
  </w:style>
  <w:style w:type="paragraph" w:customStyle="1" w:styleId="DoubleDot">
    <w:name w:val="Double Dot"/>
    <w:basedOn w:val="Normal"/>
    <w:rsid w:val="004D5D4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4D5D4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4D5D4F"/>
    <w:rPr>
      <w:rFonts w:ascii="Verdana" w:hAnsi="Verdana" w:cs="Times New Roman"/>
      <w:b/>
      <w:bCs/>
      <w:color w:val="663366"/>
      <w:sz w:val="36"/>
      <w:szCs w:val="36"/>
      <w:u w:val="none"/>
      <w:effect w:val="none"/>
    </w:rPr>
  </w:style>
  <w:style w:type="character" w:customStyle="1" w:styleId="organisation-logo">
    <w:name w:val="organisation-logo"/>
    <w:basedOn w:val="DefaultParagraphFont"/>
    <w:rsid w:val="004D5D4F"/>
  </w:style>
  <w:style w:type="paragraph" w:styleId="NormalWeb">
    <w:name w:val="Normal (Web)"/>
    <w:basedOn w:val="Normal"/>
    <w:link w:val="NormalWebChar"/>
    <w:rsid w:val="004D5D4F"/>
    <w:pPr>
      <w:spacing w:before="100" w:beforeAutospacing="1" w:after="180"/>
    </w:pPr>
    <w:rPr>
      <w:rFonts w:ascii="Verdana" w:hAnsi="Verdana"/>
      <w:color w:val="000000"/>
    </w:rPr>
  </w:style>
  <w:style w:type="character" w:customStyle="1" w:styleId="papertitle">
    <w:name w:val="papertitle"/>
    <w:basedOn w:val="DefaultParagraphFont"/>
    <w:rsid w:val="004D5D4F"/>
  </w:style>
  <w:style w:type="paragraph" w:customStyle="1" w:styleId="Default">
    <w:name w:val="Default"/>
    <w:rsid w:val="004D5D4F"/>
    <w:pPr>
      <w:autoSpaceDE w:val="0"/>
      <w:autoSpaceDN w:val="0"/>
      <w:adjustRightInd w:val="0"/>
    </w:pPr>
    <w:rPr>
      <w:color w:val="000000"/>
      <w:sz w:val="24"/>
      <w:szCs w:val="24"/>
    </w:rPr>
  </w:style>
  <w:style w:type="paragraph" w:styleId="Revision">
    <w:name w:val="Revision"/>
    <w:hidden/>
    <w:uiPriority w:val="99"/>
    <w:semiHidden/>
    <w:rsid w:val="004D5D4F"/>
    <w:rPr>
      <w:sz w:val="26"/>
      <w:szCs w:val="24"/>
    </w:rPr>
  </w:style>
  <w:style w:type="paragraph" w:styleId="ListParagraph">
    <w:name w:val="List Paragraph"/>
    <w:basedOn w:val="Normal"/>
    <w:uiPriority w:val="34"/>
    <w:qFormat/>
    <w:rsid w:val="00271323"/>
    <w:pPr>
      <w:ind w:left="720"/>
      <w:contextualSpacing/>
    </w:pPr>
  </w:style>
  <w:style w:type="paragraph" w:customStyle="1" w:styleId="Table">
    <w:name w:val="Table"/>
    <w:basedOn w:val="Normal"/>
    <w:semiHidden/>
    <w:rsid w:val="002D3A3F"/>
    <w:rPr>
      <w:rFonts w:ascii="Book Antiqua" w:hAnsi="Book Antiqua"/>
      <w:sz w:val="20"/>
      <w:szCs w:val="20"/>
      <w:lang w:eastAsia="en-US"/>
    </w:rPr>
  </w:style>
  <w:style w:type="character" w:customStyle="1" w:styleId="BoxQuoteChar">
    <w:name w:val="Box Quote Char"/>
    <w:link w:val="BoxQuote"/>
    <w:rsid w:val="002D3A3F"/>
    <w:rPr>
      <w:rFonts w:ascii="Arial" w:hAnsi="Arial"/>
      <w:sz w:val="18"/>
    </w:rPr>
  </w:style>
  <w:style w:type="character" w:customStyle="1" w:styleId="SourceChar">
    <w:name w:val="Source Char"/>
    <w:basedOn w:val="NoteChar"/>
    <w:link w:val="Source"/>
    <w:rsid w:val="002D3A3F"/>
    <w:rPr>
      <w:rFonts w:ascii="Arial" w:hAnsi="Arial"/>
      <w:sz w:val="18"/>
    </w:rPr>
  </w:style>
  <w:style w:type="character" w:customStyle="1" w:styleId="FigureChar">
    <w:name w:val="Figure Char"/>
    <w:basedOn w:val="BodyTextChar"/>
    <w:link w:val="Figure"/>
    <w:rsid w:val="002D3A3F"/>
    <w:rPr>
      <w:sz w:val="24"/>
    </w:rPr>
  </w:style>
  <w:style w:type="character" w:customStyle="1" w:styleId="NormalWebChar">
    <w:name w:val="Normal (Web) Char"/>
    <w:link w:val="NormalWeb"/>
    <w:rsid w:val="002D3A3F"/>
    <w:rPr>
      <w:rFonts w:ascii="Verdana" w:hAnsi="Verdana"/>
      <w:color w:val="000000"/>
      <w:sz w:val="24"/>
      <w:szCs w:val="24"/>
    </w:rPr>
  </w:style>
  <w:style w:type="character" w:customStyle="1" w:styleId="BoxChar">
    <w:name w:val="Box Char"/>
    <w:link w:val="Box"/>
    <w:rsid w:val="002D3A3F"/>
    <w:rPr>
      <w:rFonts w:ascii="Arial" w:hAnsi="Arial"/>
    </w:rPr>
  </w:style>
  <w:style w:type="character" w:customStyle="1" w:styleId="JurisdictioncommentslistbulletChar">
    <w:name w:val="Jurisdiction comments list bullet Char"/>
    <w:link w:val="Jurisdictioncommentslistbullet"/>
    <w:rsid w:val="002D3A3F"/>
    <w:rPr>
      <w:rFonts w:ascii="Arial" w:hAnsi="Arial"/>
      <w:sz w:val="24"/>
      <w:lang w:eastAsia="en-US"/>
    </w:rPr>
  </w:style>
  <w:style w:type="character" w:customStyle="1" w:styleId="ContinuedChar">
    <w:name w:val="Continued Char"/>
    <w:basedOn w:val="BoxContinuedChar"/>
    <w:link w:val="Continued"/>
    <w:rsid w:val="002D3A3F"/>
    <w:rPr>
      <w:rFonts w:ascii="Arial" w:hAnsi="Arial"/>
      <w:sz w:val="18"/>
    </w:rPr>
  </w:style>
  <w:style w:type="character" w:customStyle="1" w:styleId="JurisdictioncommentsbodytextChar">
    <w:name w:val="Jurisdiction comments body text Char"/>
    <w:link w:val="Jurisdictioncommentsbodytext"/>
    <w:rsid w:val="002D3A3F"/>
    <w:rPr>
      <w:rFonts w:ascii="Arial" w:hAnsi="Arial"/>
      <w:sz w:val="24"/>
      <w:lang w:eastAsia="en-US"/>
    </w:rPr>
  </w:style>
  <w:style w:type="character" w:customStyle="1" w:styleId="BoxTitleChar">
    <w:name w:val="Box Title Char"/>
    <w:link w:val="BoxTitle"/>
    <w:rsid w:val="002D3A3F"/>
    <w:rPr>
      <w:rFonts w:ascii="Arial" w:hAnsi="Arial"/>
      <w:b/>
      <w:sz w:val="24"/>
      <w:szCs w:val="24"/>
    </w:rPr>
  </w:style>
  <w:style w:type="character" w:customStyle="1" w:styleId="BoxHeading1Char">
    <w:name w:val="Box Heading 1 Char"/>
    <w:link w:val="BoxHeading1"/>
    <w:rsid w:val="002D3A3F"/>
    <w:rPr>
      <w:rFonts w:ascii="Arial" w:hAnsi="Arial"/>
      <w:b/>
      <w:sz w:val="22"/>
    </w:rPr>
  </w:style>
  <w:style w:type="character" w:customStyle="1" w:styleId="FigureTitleChar">
    <w:name w:val="Figure Title Char"/>
    <w:link w:val="FigureTitle"/>
    <w:rsid w:val="00133B84"/>
    <w:rPr>
      <w:rFonts w:ascii="Arial" w:hAnsi="Arial"/>
      <w:b/>
      <w:sz w:val="24"/>
      <w:szCs w:val="24"/>
    </w:rPr>
  </w:style>
  <w:style w:type="character" w:customStyle="1" w:styleId="BoxListBullet2Char">
    <w:name w:val="Box List Bullet 2 Char"/>
    <w:basedOn w:val="BoxChar"/>
    <w:link w:val="BoxListBullet2"/>
    <w:rsid w:val="00133B84"/>
    <w:rPr>
      <w:rFonts w:ascii="Arial" w:hAnsi="Arial"/>
    </w:rPr>
  </w:style>
  <w:style w:type="character" w:customStyle="1" w:styleId="BoxListBulletChar">
    <w:name w:val="Box List Bullet Char"/>
    <w:basedOn w:val="BoxChar"/>
    <w:link w:val="BoxListBullet"/>
    <w:rsid w:val="00133B84"/>
    <w:rPr>
      <w:rFonts w:ascii="Arial" w:hAnsi="Arial"/>
    </w:rPr>
  </w:style>
  <w:style w:type="character" w:customStyle="1" w:styleId="TableBodyTextChar">
    <w:name w:val="Table Body Text Char"/>
    <w:link w:val="TableBodyText"/>
    <w:rsid w:val="00133B84"/>
    <w:rPr>
      <w:rFonts w:ascii="Arial" w:hAnsi="Arial"/>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Strong"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034490"/>
    <w:rPr>
      <w:sz w:val="24"/>
      <w:szCs w:val="24"/>
    </w:rPr>
  </w:style>
  <w:style w:type="paragraph" w:styleId="Heading1">
    <w:name w:val="heading 1"/>
    <w:basedOn w:val="BodyText"/>
    <w:next w:val="BodyText"/>
    <w:link w:val="Heading1Char"/>
    <w:rsid w:val="00034490"/>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034490"/>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034490"/>
    <w:pPr>
      <w:spacing w:before="560" w:line="320" w:lineRule="exact"/>
      <w:ind w:left="0" w:firstLine="0"/>
      <w:outlineLvl w:val="2"/>
    </w:pPr>
    <w:rPr>
      <w:sz w:val="26"/>
    </w:rPr>
  </w:style>
  <w:style w:type="paragraph" w:styleId="Heading4">
    <w:name w:val="heading 4"/>
    <w:basedOn w:val="Heading3"/>
    <w:next w:val="BodyText"/>
    <w:link w:val="Heading4Char"/>
    <w:qFormat/>
    <w:rsid w:val="00034490"/>
    <w:pPr>
      <w:spacing w:before="480"/>
      <w:outlineLvl w:val="3"/>
    </w:pPr>
    <w:rPr>
      <w:b w:val="0"/>
      <w:sz w:val="24"/>
    </w:rPr>
  </w:style>
  <w:style w:type="paragraph" w:styleId="Heading5">
    <w:name w:val="heading 5"/>
    <w:basedOn w:val="Heading4"/>
    <w:next w:val="BodyText"/>
    <w:link w:val="Heading5Char"/>
    <w:qFormat/>
    <w:rsid w:val="00034490"/>
    <w:pPr>
      <w:outlineLvl w:val="4"/>
    </w:pPr>
    <w:rPr>
      <w:i/>
      <w:sz w:val="22"/>
    </w:rPr>
  </w:style>
  <w:style w:type="paragraph" w:styleId="Heading6">
    <w:name w:val="heading 6"/>
    <w:basedOn w:val="BodyText"/>
    <w:next w:val="BodyText"/>
    <w:link w:val="Heading6Char"/>
    <w:rsid w:val="00034490"/>
    <w:pPr>
      <w:spacing w:after="60"/>
      <w:jc w:val="left"/>
      <w:outlineLvl w:val="5"/>
    </w:pPr>
    <w:rPr>
      <w:i/>
      <w:sz w:val="22"/>
    </w:rPr>
  </w:style>
  <w:style w:type="paragraph" w:styleId="Heading7">
    <w:name w:val="heading 7"/>
    <w:basedOn w:val="BodyText"/>
    <w:next w:val="BodyText"/>
    <w:link w:val="Heading7Char"/>
    <w:rsid w:val="00034490"/>
    <w:pPr>
      <w:spacing w:after="60" w:line="240" w:lineRule="auto"/>
      <w:jc w:val="left"/>
      <w:outlineLvl w:val="6"/>
    </w:pPr>
    <w:rPr>
      <w:rFonts w:ascii="Arial" w:hAnsi="Arial"/>
      <w:sz w:val="20"/>
    </w:rPr>
  </w:style>
  <w:style w:type="paragraph" w:styleId="Heading8">
    <w:name w:val="heading 8"/>
    <w:basedOn w:val="BodyText"/>
    <w:next w:val="BodyText"/>
    <w:link w:val="Heading8Char"/>
    <w:rsid w:val="00034490"/>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034490"/>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0344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4490"/>
  </w:style>
  <w:style w:type="paragraph" w:styleId="BodyText">
    <w:name w:val="Body Text"/>
    <w:link w:val="BodyTextChar"/>
    <w:qFormat/>
    <w:rsid w:val="00034490"/>
    <w:pPr>
      <w:spacing w:before="240" w:line="300" w:lineRule="atLeast"/>
      <w:jc w:val="both"/>
    </w:pPr>
    <w:rPr>
      <w:sz w:val="24"/>
    </w:rPr>
  </w:style>
  <w:style w:type="paragraph" w:styleId="Footer">
    <w:name w:val="footer"/>
    <w:basedOn w:val="BodyText"/>
    <w:link w:val="FooterChar"/>
    <w:rsid w:val="00034490"/>
    <w:pPr>
      <w:spacing w:before="80" w:line="200" w:lineRule="exact"/>
      <w:ind w:right="6"/>
      <w:jc w:val="left"/>
    </w:pPr>
    <w:rPr>
      <w:rFonts w:ascii="Arial" w:hAnsi="Arial"/>
      <w:caps/>
      <w:spacing w:val="-4"/>
      <w:sz w:val="16"/>
    </w:rPr>
  </w:style>
  <w:style w:type="paragraph" w:customStyle="1" w:styleId="FooterEnd">
    <w:name w:val="Footer End"/>
    <w:basedOn w:val="Footer"/>
    <w:link w:val="FooterEndChar"/>
    <w:rsid w:val="00034490"/>
    <w:pPr>
      <w:spacing w:before="0" w:line="20" w:lineRule="exact"/>
    </w:pPr>
  </w:style>
  <w:style w:type="paragraph" w:styleId="Header">
    <w:name w:val="header"/>
    <w:basedOn w:val="BodyText"/>
    <w:link w:val="HeaderChar"/>
    <w:rsid w:val="00034490"/>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034490"/>
    <w:pPr>
      <w:spacing w:line="20" w:lineRule="exact"/>
    </w:pPr>
    <w:rPr>
      <w:sz w:val="16"/>
    </w:rPr>
  </w:style>
  <w:style w:type="paragraph" w:customStyle="1" w:styleId="HeaderEven">
    <w:name w:val="Header Even"/>
    <w:basedOn w:val="Header"/>
    <w:semiHidden/>
    <w:rsid w:val="00034490"/>
  </w:style>
  <w:style w:type="paragraph" w:customStyle="1" w:styleId="HeaderOdd">
    <w:name w:val="Header Odd"/>
    <w:basedOn w:val="Header"/>
    <w:semiHidden/>
    <w:rsid w:val="00034490"/>
  </w:style>
  <w:style w:type="character" w:styleId="PageNumber">
    <w:name w:val="page number"/>
    <w:basedOn w:val="DefaultParagraphFont"/>
    <w:rsid w:val="00034490"/>
    <w:rPr>
      <w:rFonts w:ascii="Arial" w:hAnsi="Arial"/>
      <w:b/>
      <w:sz w:val="16"/>
    </w:rPr>
  </w:style>
  <w:style w:type="paragraph" w:customStyle="1" w:styleId="Abbreviation">
    <w:name w:val="Abbreviation"/>
    <w:basedOn w:val="BodyText"/>
    <w:rsid w:val="00034490"/>
    <w:pPr>
      <w:spacing w:before="120"/>
      <w:ind w:left="2381" w:hanging="2381"/>
      <w:jc w:val="left"/>
    </w:pPr>
  </w:style>
  <w:style w:type="paragraph" w:customStyle="1" w:styleId="Box">
    <w:name w:val="Box"/>
    <w:basedOn w:val="BodyText"/>
    <w:link w:val="BoxChar"/>
    <w:qFormat/>
    <w:rsid w:val="00034490"/>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034490"/>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034490"/>
    <w:pPr>
      <w:keepNext/>
      <w:spacing w:before="200" w:line="280" w:lineRule="atLeast"/>
    </w:pPr>
    <w:rPr>
      <w:rFonts w:ascii="Arial" w:hAnsi="Arial"/>
      <w:b/>
      <w:sz w:val="22"/>
    </w:rPr>
  </w:style>
  <w:style w:type="paragraph" w:customStyle="1" w:styleId="BoxHeading2">
    <w:name w:val="Box Heading 2"/>
    <w:basedOn w:val="BoxHeading1"/>
    <w:next w:val="Normal"/>
    <w:rsid w:val="00034490"/>
    <w:rPr>
      <w:b w:val="0"/>
      <w:i/>
    </w:rPr>
  </w:style>
  <w:style w:type="paragraph" w:customStyle="1" w:styleId="BoxListBullet">
    <w:name w:val="Box List Bullet"/>
    <w:basedOn w:val="BodyText"/>
    <w:link w:val="BoxListBulletChar"/>
    <w:rsid w:val="00034490"/>
    <w:pPr>
      <w:keepNext/>
      <w:numPr>
        <w:numId w:val="1"/>
      </w:numPr>
      <w:spacing w:before="100" w:line="260" w:lineRule="atLeast"/>
    </w:pPr>
    <w:rPr>
      <w:rFonts w:ascii="Arial" w:hAnsi="Arial"/>
      <w:sz w:val="20"/>
    </w:rPr>
  </w:style>
  <w:style w:type="paragraph" w:customStyle="1" w:styleId="BoxListBullet2">
    <w:name w:val="Box List Bullet 2"/>
    <w:basedOn w:val="BoxListBullet"/>
    <w:link w:val="BoxListBullet2Char"/>
    <w:rsid w:val="00034490"/>
    <w:pPr>
      <w:numPr>
        <w:numId w:val="2"/>
      </w:numPr>
      <w:ind w:left="568" w:hanging="284"/>
    </w:pPr>
  </w:style>
  <w:style w:type="paragraph" w:customStyle="1" w:styleId="BoxListNumber">
    <w:name w:val="Box List Number"/>
    <w:basedOn w:val="BodyText"/>
    <w:rsid w:val="00034490"/>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034490"/>
    <w:pPr>
      <w:numPr>
        <w:ilvl w:val="1"/>
      </w:numPr>
      <w:ind w:left="681" w:hanging="397"/>
    </w:pPr>
  </w:style>
  <w:style w:type="paragraph" w:customStyle="1" w:styleId="BoxQuote">
    <w:name w:val="Box Quote"/>
    <w:basedOn w:val="BodyText"/>
    <w:next w:val="Box"/>
    <w:link w:val="BoxQuoteChar"/>
    <w:qFormat/>
    <w:rsid w:val="00034490"/>
    <w:pPr>
      <w:keepNext/>
      <w:spacing w:before="60" w:line="240" w:lineRule="exact"/>
      <w:ind w:left="284"/>
    </w:pPr>
    <w:rPr>
      <w:rFonts w:ascii="Arial" w:hAnsi="Arial"/>
      <w:sz w:val="18"/>
    </w:rPr>
  </w:style>
  <w:style w:type="paragraph" w:customStyle="1" w:styleId="Note">
    <w:name w:val="Note"/>
    <w:basedOn w:val="BodyText"/>
    <w:next w:val="BodyText"/>
    <w:link w:val="NoteChar"/>
    <w:rsid w:val="00034490"/>
    <w:pPr>
      <w:keepLines/>
      <w:spacing w:before="80" w:line="220" w:lineRule="exact"/>
    </w:pPr>
    <w:rPr>
      <w:rFonts w:ascii="Arial" w:hAnsi="Arial"/>
      <w:sz w:val="18"/>
    </w:rPr>
  </w:style>
  <w:style w:type="paragraph" w:customStyle="1" w:styleId="Source">
    <w:name w:val="Source"/>
    <w:basedOn w:val="Normal"/>
    <w:next w:val="BodyText"/>
    <w:link w:val="SourceChar"/>
    <w:rsid w:val="00034490"/>
    <w:pPr>
      <w:keepLines/>
      <w:spacing w:before="80" w:line="220" w:lineRule="exact"/>
      <w:jc w:val="both"/>
    </w:pPr>
    <w:rPr>
      <w:rFonts w:ascii="Arial" w:hAnsi="Arial"/>
      <w:sz w:val="18"/>
      <w:szCs w:val="20"/>
    </w:rPr>
  </w:style>
  <w:style w:type="paragraph" w:customStyle="1" w:styleId="BoxSource">
    <w:name w:val="Box Source"/>
    <w:basedOn w:val="Source"/>
    <w:next w:val="BodyText"/>
    <w:rsid w:val="00034490"/>
    <w:pPr>
      <w:spacing w:before="120"/>
    </w:pPr>
  </w:style>
  <w:style w:type="paragraph" w:customStyle="1" w:styleId="BoxSpaceAbove">
    <w:name w:val="Box Space Above"/>
    <w:basedOn w:val="BodyText"/>
    <w:rsid w:val="00034490"/>
    <w:pPr>
      <w:keepNext/>
      <w:spacing w:before="360" w:line="80" w:lineRule="exact"/>
      <w:jc w:val="left"/>
    </w:pPr>
  </w:style>
  <w:style w:type="paragraph" w:styleId="Caption">
    <w:name w:val="caption"/>
    <w:basedOn w:val="Normal"/>
    <w:next w:val="BodyText"/>
    <w:rsid w:val="00034490"/>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034490"/>
    <w:pPr>
      <w:spacing w:before="120" w:after="0"/>
    </w:pPr>
  </w:style>
  <w:style w:type="paragraph" w:customStyle="1" w:styleId="BoxSubtitle">
    <w:name w:val="Box Subtitle"/>
    <w:basedOn w:val="BoxTitle"/>
    <w:next w:val="Normal"/>
    <w:rsid w:val="00034490"/>
    <w:pPr>
      <w:spacing w:after="80" w:line="200" w:lineRule="exact"/>
      <w:ind w:firstLine="0"/>
    </w:pPr>
    <w:rPr>
      <w:b w:val="0"/>
      <w:sz w:val="20"/>
    </w:rPr>
  </w:style>
  <w:style w:type="paragraph" w:customStyle="1" w:styleId="Chapter">
    <w:name w:val="Chapter"/>
    <w:basedOn w:val="Heading1"/>
    <w:next w:val="BodyText"/>
    <w:semiHidden/>
    <w:rsid w:val="00034490"/>
    <w:pPr>
      <w:ind w:left="0" w:firstLine="0"/>
      <w:outlineLvl w:val="9"/>
    </w:pPr>
  </w:style>
  <w:style w:type="paragraph" w:customStyle="1" w:styleId="ChapterSummary">
    <w:name w:val="Chapter Summary"/>
    <w:basedOn w:val="BodyText"/>
    <w:rsid w:val="00034490"/>
    <w:pPr>
      <w:spacing w:line="280" w:lineRule="atLeast"/>
      <w:ind w:left="907"/>
    </w:pPr>
    <w:rPr>
      <w:rFonts w:ascii="Arial" w:hAnsi="Arial"/>
      <w:b/>
      <w:sz w:val="20"/>
    </w:rPr>
  </w:style>
  <w:style w:type="character" w:styleId="CommentReference">
    <w:name w:val="annotation reference"/>
    <w:basedOn w:val="DefaultParagraphFont"/>
    <w:rsid w:val="00034490"/>
    <w:rPr>
      <w:b/>
      <w:vanish/>
      <w:color w:val="FF00FF"/>
      <w:sz w:val="20"/>
    </w:rPr>
  </w:style>
  <w:style w:type="paragraph" w:styleId="CommentText">
    <w:name w:val="annotation text"/>
    <w:basedOn w:val="Normal"/>
    <w:link w:val="CommentTextChar1"/>
    <w:semiHidden/>
    <w:rsid w:val="00034490"/>
    <w:pPr>
      <w:spacing w:before="120" w:line="240" w:lineRule="atLeast"/>
      <w:ind w:left="567" w:hanging="567"/>
    </w:pPr>
    <w:rPr>
      <w:sz w:val="20"/>
    </w:rPr>
  </w:style>
  <w:style w:type="paragraph" w:customStyle="1" w:styleId="Continued">
    <w:name w:val="Continued"/>
    <w:basedOn w:val="BoxContinued"/>
    <w:next w:val="BodyText"/>
    <w:link w:val="ContinuedChar"/>
    <w:rsid w:val="00034490"/>
  </w:style>
  <w:style w:type="character" w:customStyle="1" w:styleId="DocumentInfo">
    <w:name w:val="Document Info"/>
    <w:basedOn w:val="DefaultParagraphFont"/>
    <w:semiHidden/>
    <w:rsid w:val="00034490"/>
    <w:rPr>
      <w:rFonts w:ascii="Arial" w:hAnsi="Arial"/>
      <w:sz w:val="14"/>
    </w:rPr>
  </w:style>
  <w:style w:type="character" w:customStyle="1" w:styleId="DraftingNote">
    <w:name w:val="Drafting Note"/>
    <w:basedOn w:val="DefaultParagraphFont"/>
    <w:rsid w:val="00034490"/>
    <w:rPr>
      <w:b/>
      <w:color w:val="FF0000"/>
      <w:sz w:val="24"/>
      <w:u w:val="dotted"/>
    </w:rPr>
  </w:style>
  <w:style w:type="paragraph" w:customStyle="1" w:styleId="Figure">
    <w:name w:val="Figure"/>
    <w:basedOn w:val="BodyText"/>
    <w:link w:val="FigureChar"/>
    <w:rsid w:val="00034490"/>
    <w:pPr>
      <w:keepNext/>
      <w:spacing w:before="120" w:after="120" w:line="240" w:lineRule="atLeast"/>
      <w:jc w:val="center"/>
    </w:pPr>
  </w:style>
  <w:style w:type="paragraph" w:customStyle="1" w:styleId="FigureTitle">
    <w:name w:val="Figure Title"/>
    <w:basedOn w:val="Caption"/>
    <w:next w:val="Subtitle"/>
    <w:link w:val="FigureTitleChar"/>
    <w:rsid w:val="00034490"/>
    <w:pPr>
      <w:spacing w:before="120"/>
    </w:pPr>
  </w:style>
  <w:style w:type="paragraph" w:styleId="Subtitle">
    <w:name w:val="Subtitle"/>
    <w:basedOn w:val="Caption"/>
    <w:link w:val="SubtitleChar"/>
    <w:qFormat/>
    <w:rsid w:val="00034490"/>
    <w:pPr>
      <w:spacing w:before="0" w:line="200" w:lineRule="exact"/>
      <w:ind w:firstLine="0"/>
    </w:pPr>
    <w:rPr>
      <w:b w:val="0"/>
      <w:sz w:val="20"/>
    </w:rPr>
  </w:style>
  <w:style w:type="paragraph" w:customStyle="1" w:styleId="Finding">
    <w:name w:val="Finding"/>
    <w:basedOn w:val="BodyText"/>
    <w:rsid w:val="00034490"/>
    <w:pPr>
      <w:keepLines/>
      <w:spacing w:before="120" w:line="280" w:lineRule="atLeast"/>
    </w:pPr>
    <w:rPr>
      <w:rFonts w:ascii="Arial" w:hAnsi="Arial"/>
      <w:sz w:val="22"/>
    </w:rPr>
  </w:style>
  <w:style w:type="paragraph" w:customStyle="1" w:styleId="FindingBullet">
    <w:name w:val="Finding Bullet"/>
    <w:basedOn w:val="Finding"/>
    <w:rsid w:val="00034490"/>
    <w:pPr>
      <w:numPr>
        <w:numId w:val="3"/>
      </w:numPr>
      <w:spacing w:before="80"/>
    </w:pPr>
  </w:style>
  <w:style w:type="paragraph" w:customStyle="1" w:styleId="FindingNoTitle">
    <w:name w:val="Finding NoTitle"/>
    <w:basedOn w:val="Finding"/>
    <w:rsid w:val="00034490"/>
    <w:pPr>
      <w:spacing w:before="240"/>
    </w:pPr>
  </w:style>
  <w:style w:type="paragraph" w:customStyle="1" w:styleId="RecTitle">
    <w:name w:val="Rec Title"/>
    <w:basedOn w:val="BodyText"/>
    <w:next w:val="Rec"/>
    <w:qFormat/>
    <w:rsid w:val="00034490"/>
    <w:pPr>
      <w:keepNext/>
      <w:keepLines/>
      <w:spacing w:line="280" w:lineRule="atLeast"/>
    </w:pPr>
    <w:rPr>
      <w:rFonts w:ascii="Arial" w:hAnsi="Arial"/>
      <w:caps/>
      <w:sz w:val="18"/>
    </w:rPr>
  </w:style>
  <w:style w:type="paragraph" w:customStyle="1" w:styleId="FindingTitle">
    <w:name w:val="Finding Title"/>
    <w:basedOn w:val="RecTitle"/>
    <w:next w:val="Finding"/>
    <w:rsid w:val="00034490"/>
  </w:style>
  <w:style w:type="character" w:styleId="FootnoteReference">
    <w:name w:val="footnote reference"/>
    <w:basedOn w:val="DefaultParagraphFont"/>
    <w:semiHidden/>
    <w:rsid w:val="00034490"/>
    <w:rPr>
      <w:rFonts w:ascii="Times New Roman" w:hAnsi="Times New Roman"/>
      <w:position w:val="6"/>
      <w:sz w:val="20"/>
      <w:vertAlign w:val="baseline"/>
    </w:rPr>
  </w:style>
  <w:style w:type="paragraph" w:styleId="FootnoteText">
    <w:name w:val="footnote text"/>
    <w:basedOn w:val="BodyText"/>
    <w:link w:val="FootnoteTextChar"/>
    <w:rsid w:val="00034490"/>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034490"/>
    <w:rPr>
      <w:i/>
    </w:rPr>
  </w:style>
  <w:style w:type="paragraph" w:customStyle="1" w:styleId="Jurisdictioncommentsbodytext">
    <w:name w:val="Jurisdiction comments body text"/>
    <w:link w:val="JurisdictioncommentsbodytextChar"/>
    <w:rsid w:val="00034490"/>
    <w:pPr>
      <w:spacing w:after="140"/>
      <w:jc w:val="both"/>
    </w:pPr>
    <w:rPr>
      <w:rFonts w:ascii="Arial" w:hAnsi="Arial"/>
      <w:sz w:val="24"/>
      <w:lang w:eastAsia="en-US"/>
    </w:rPr>
  </w:style>
  <w:style w:type="paragraph" w:customStyle="1" w:styleId="Jurisdictioncommentsheading">
    <w:name w:val="Jurisdiction comments heading"/>
    <w:rsid w:val="00034490"/>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034490"/>
    <w:pPr>
      <w:numPr>
        <w:numId w:val="4"/>
      </w:numPr>
      <w:spacing w:after="140"/>
      <w:jc w:val="both"/>
    </w:pPr>
    <w:rPr>
      <w:rFonts w:ascii="Arial" w:hAnsi="Arial"/>
      <w:sz w:val="24"/>
      <w:lang w:eastAsia="en-US"/>
    </w:rPr>
  </w:style>
  <w:style w:type="paragraph" w:styleId="ListBullet">
    <w:name w:val="List Bullet"/>
    <w:aliases w:val="List Bullet1,List Bullet Char1,List Bullet Char Char,List Bullet Char1 Char Char"/>
    <w:basedOn w:val="BodyText"/>
    <w:link w:val="ListBulletChar"/>
    <w:rsid w:val="00034490"/>
    <w:pPr>
      <w:numPr>
        <w:numId w:val="5"/>
      </w:numPr>
      <w:spacing w:before="120"/>
    </w:pPr>
  </w:style>
  <w:style w:type="paragraph" w:styleId="ListBullet2">
    <w:name w:val="List Bullet 2"/>
    <w:basedOn w:val="BodyText"/>
    <w:link w:val="ListBullet2Char"/>
    <w:rsid w:val="00034490"/>
    <w:pPr>
      <w:numPr>
        <w:numId w:val="6"/>
      </w:numPr>
      <w:spacing w:before="120"/>
    </w:pPr>
  </w:style>
  <w:style w:type="paragraph" w:styleId="ListBullet3">
    <w:name w:val="List Bullet 3"/>
    <w:basedOn w:val="BodyText"/>
    <w:rsid w:val="00034490"/>
    <w:pPr>
      <w:numPr>
        <w:numId w:val="7"/>
      </w:numPr>
      <w:spacing w:before="120"/>
      <w:ind w:left="1020" w:hanging="340"/>
    </w:pPr>
  </w:style>
  <w:style w:type="paragraph" w:styleId="ListNumber">
    <w:name w:val="List Number"/>
    <w:basedOn w:val="BodyText"/>
    <w:rsid w:val="00034490"/>
    <w:pPr>
      <w:numPr>
        <w:numId w:val="13"/>
      </w:numPr>
      <w:spacing w:before="120"/>
    </w:pPr>
  </w:style>
  <w:style w:type="paragraph" w:styleId="ListNumber2">
    <w:name w:val="List Number 2"/>
    <w:basedOn w:val="ListNumber"/>
    <w:rsid w:val="00034490"/>
    <w:pPr>
      <w:numPr>
        <w:ilvl w:val="1"/>
      </w:numPr>
    </w:pPr>
  </w:style>
  <w:style w:type="paragraph" w:styleId="ListNumber3">
    <w:name w:val="List Number 3"/>
    <w:basedOn w:val="ListNumber2"/>
    <w:rsid w:val="00034490"/>
    <w:pPr>
      <w:numPr>
        <w:ilvl w:val="2"/>
      </w:numPr>
    </w:pPr>
  </w:style>
  <w:style w:type="character" w:customStyle="1" w:styleId="NoteLabel">
    <w:name w:val="Note Label"/>
    <w:basedOn w:val="DefaultParagraphFont"/>
    <w:rsid w:val="00034490"/>
    <w:rPr>
      <w:rFonts w:ascii="Arial" w:hAnsi="Arial"/>
      <w:b/>
      <w:position w:val="6"/>
      <w:sz w:val="18"/>
    </w:rPr>
  </w:style>
  <w:style w:type="paragraph" w:customStyle="1" w:styleId="PartDivider">
    <w:name w:val="Part Divider"/>
    <w:basedOn w:val="BodyText"/>
    <w:next w:val="BodyText"/>
    <w:semiHidden/>
    <w:rsid w:val="00034490"/>
    <w:pPr>
      <w:spacing w:before="0" w:line="40" w:lineRule="exact"/>
      <w:jc w:val="right"/>
    </w:pPr>
    <w:rPr>
      <w:smallCaps/>
      <w:sz w:val="16"/>
    </w:rPr>
  </w:style>
  <w:style w:type="paragraph" w:customStyle="1" w:styleId="PartNumber">
    <w:name w:val="Part Number"/>
    <w:basedOn w:val="BodyText"/>
    <w:next w:val="BodyText"/>
    <w:semiHidden/>
    <w:rsid w:val="00034490"/>
    <w:pPr>
      <w:spacing w:before="4000" w:line="320" w:lineRule="exact"/>
      <w:ind w:left="6634"/>
      <w:jc w:val="right"/>
    </w:pPr>
    <w:rPr>
      <w:smallCaps/>
      <w:spacing w:val="60"/>
      <w:sz w:val="32"/>
    </w:rPr>
  </w:style>
  <w:style w:type="paragraph" w:customStyle="1" w:styleId="PartTitle">
    <w:name w:val="Part Title"/>
    <w:basedOn w:val="BodyText"/>
    <w:semiHidden/>
    <w:rsid w:val="00034490"/>
    <w:pPr>
      <w:spacing w:before="160" w:after="1360" w:line="520" w:lineRule="exact"/>
      <w:ind w:right="2381"/>
      <w:jc w:val="right"/>
    </w:pPr>
    <w:rPr>
      <w:smallCaps/>
      <w:sz w:val="52"/>
    </w:rPr>
  </w:style>
  <w:style w:type="paragraph" w:styleId="Quote">
    <w:name w:val="Quote"/>
    <w:basedOn w:val="BodyText"/>
    <w:next w:val="BodyText"/>
    <w:link w:val="QuoteChar"/>
    <w:qFormat/>
    <w:rsid w:val="00034490"/>
    <w:pPr>
      <w:spacing w:before="120" w:line="280" w:lineRule="exact"/>
      <w:ind w:left="340"/>
    </w:pPr>
    <w:rPr>
      <w:sz w:val="22"/>
    </w:rPr>
  </w:style>
  <w:style w:type="paragraph" w:customStyle="1" w:styleId="QuoteBullet">
    <w:name w:val="Quote Bullet"/>
    <w:basedOn w:val="Quote"/>
    <w:rsid w:val="00034490"/>
    <w:pPr>
      <w:numPr>
        <w:numId w:val="8"/>
      </w:numPr>
    </w:pPr>
  </w:style>
  <w:style w:type="paragraph" w:customStyle="1" w:styleId="Rec">
    <w:name w:val="Rec"/>
    <w:basedOn w:val="BodyText"/>
    <w:qFormat/>
    <w:rsid w:val="00034490"/>
    <w:pPr>
      <w:keepLines/>
      <w:spacing w:before="120" w:line="280" w:lineRule="atLeast"/>
    </w:pPr>
    <w:rPr>
      <w:rFonts w:ascii="Arial" w:hAnsi="Arial"/>
      <w:sz w:val="22"/>
    </w:rPr>
  </w:style>
  <w:style w:type="paragraph" w:customStyle="1" w:styleId="RecBullet">
    <w:name w:val="Rec Bullet"/>
    <w:basedOn w:val="Rec"/>
    <w:rsid w:val="00034490"/>
    <w:pPr>
      <w:numPr>
        <w:numId w:val="9"/>
      </w:numPr>
      <w:spacing w:before="80"/>
    </w:pPr>
  </w:style>
  <w:style w:type="paragraph" w:customStyle="1" w:styleId="RecB">
    <w:name w:val="RecB"/>
    <w:basedOn w:val="Normal"/>
    <w:rsid w:val="00034490"/>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034490"/>
    <w:pPr>
      <w:numPr>
        <w:numId w:val="10"/>
      </w:numPr>
      <w:spacing w:before="80"/>
    </w:pPr>
  </w:style>
  <w:style w:type="paragraph" w:customStyle="1" w:styleId="RecBNoTitle">
    <w:name w:val="RecB NoTitle"/>
    <w:basedOn w:val="RecB"/>
    <w:rsid w:val="00034490"/>
    <w:pPr>
      <w:spacing w:before="240"/>
    </w:pPr>
  </w:style>
  <w:style w:type="paragraph" w:customStyle="1" w:styleId="Reference">
    <w:name w:val="Reference"/>
    <w:basedOn w:val="BodyText"/>
    <w:link w:val="ReferenceChar"/>
    <w:rsid w:val="00034490"/>
    <w:pPr>
      <w:spacing w:before="120"/>
      <w:ind w:left="340" w:hanging="340"/>
    </w:pPr>
  </w:style>
  <w:style w:type="paragraph" w:customStyle="1" w:styleId="SequenceInfo">
    <w:name w:val="Sequence Info"/>
    <w:basedOn w:val="BodyText"/>
    <w:semiHidden/>
    <w:rsid w:val="00034490"/>
    <w:rPr>
      <w:vanish/>
      <w:sz w:val="16"/>
    </w:rPr>
  </w:style>
  <w:style w:type="paragraph" w:customStyle="1" w:styleId="SideNote">
    <w:name w:val="Side Note"/>
    <w:basedOn w:val="BodyText"/>
    <w:next w:val="BodyText"/>
    <w:semiHidden/>
    <w:rsid w:val="00034490"/>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034490"/>
    <w:pPr>
      <w:framePr w:wrap="around"/>
      <w:numPr>
        <w:numId w:val="11"/>
      </w:numPr>
      <w:tabs>
        <w:tab w:val="left" w:pos="227"/>
      </w:tabs>
    </w:pPr>
  </w:style>
  <w:style w:type="paragraph" w:customStyle="1" w:styleId="SideNoteGraphic">
    <w:name w:val="Side Note Graphic"/>
    <w:basedOn w:val="SideNote"/>
    <w:next w:val="BodyText"/>
    <w:semiHidden/>
    <w:rsid w:val="00034490"/>
    <w:pPr>
      <w:framePr w:wrap="around"/>
    </w:pPr>
  </w:style>
  <w:style w:type="paragraph" w:customStyle="1" w:styleId="TableBodyText">
    <w:name w:val="Table Body Text"/>
    <w:basedOn w:val="BodyText"/>
    <w:link w:val="TableBodyTextChar"/>
    <w:rsid w:val="00034490"/>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034490"/>
    <w:pPr>
      <w:numPr>
        <w:numId w:val="12"/>
      </w:numPr>
      <w:jc w:val="left"/>
    </w:pPr>
  </w:style>
  <w:style w:type="paragraph" w:customStyle="1" w:styleId="TableColumnHeading">
    <w:name w:val="Table Column Heading"/>
    <w:basedOn w:val="TableBodyText"/>
    <w:rsid w:val="00034490"/>
    <w:pPr>
      <w:spacing w:before="80" w:after="80"/>
    </w:pPr>
    <w:rPr>
      <w:i/>
    </w:rPr>
  </w:style>
  <w:style w:type="paragraph" w:styleId="TOC2">
    <w:name w:val="toc 2"/>
    <w:basedOn w:val="TOC1"/>
    <w:rsid w:val="00034490"/>
    <w:pPr>
      <w:ind w:left="1134" w:hanging="624"/>
    </w:pPr>
    <w:rPr>
      <w:b w:val="0"/>
    </w:rPr>
  </w:style>
  <w:style w:type="paragraph" w:styleId="TOC3">
    <w:name w:val="toc 3"/>
    <w:basedOn w:val="TOC2"/>
    <w:rsid w:val="00034490"/>
    <w:pPr>
      <w:spacing w:before="60"/>
      <w:ind w:left="1190" w:hanging="680"/>
    </w:pPr>
  </w:style>
  <w:style w:type="paragraph" w:styleId="TableofFigures">
    <w:name w:val="table of figures"/>
    <w:basedOn w:val="TOC3"/>
    <w:next w:val="BodyText"/>
    <w:semiHidden/>
    <w:rsid w:val="00034490"/>
    <w:pPr>
      <w:ind w:left="737" w:hanging="737"/>
    </w:pPr>
  </w:style>
  <w:style w:type="paragraph" w:customStyle="1" w:styleId="TableTitle">
    <w:name w:val="Table Title"/>
    <w:basedOn w:val="Caption"/>
    <w:next w:val="Subtitle"/>
    <w:link w:val="TableTitleChar"/>
    <w:qFormat/>
    <w:rsid w:val="00034490"/>
    <w:pPr>
      <w:spacing w:before="120"/>
    </w:pPr>
  </w:style>
  <w:style w:type="paragraph" w:customStyle="1" w:styleId="TableUnitsRow">
    <w:name w:val="Table Units Row"/>
    <w:basedOn w:val="TableBodyText"/>
    <w:rsid w:val="00034490"/>
    <w:pPr>
      <w:spacing w:before="40"/>
    </w:pPr>
  </w:style>
  <w:style w:type="paragraph" w:styleId="TOC1">
    <w:name w:val="toc 1"/>
    <w:basedOn w:val="Normal"/>
    <w:next w:val="TOC2"/>
    <w:link w:val="TOC1Char"/>
    <w:rsid w:val="00034490"/>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034490"/>
    <w:pPr>
      <w:ind w:left="1191" w:firstLine="0"/>
    </w:pPr>
  </w:style>
  <w:style w:type="paragraph" w:customStyle="1" w:styleId="RecBBullet2">
    <w:name w:val="RecB Bullet 2"/>
    <w:basedOn w:val="ListBullet2"/>
    <w:rsid w:val="00034490"/>
    <w:pPr>
      <w:pBdr>
        <w:left w:val="single" w:sz="24" w:space="29" w:color="C0C0C0"/>
      </w:pBdr>
    </w:pPr>
    <w:rPr>
      <w:b/>
      <w:i/>
    </w:rPr>
  </w:style>
  <w:style w:type="paragraph" w:styleId="BalloonText">
    <w:name w:val="Balloon Text"/>
    <w:basedOn w:val="Normal"/>
    <w:link w:val="BalloonTextChar"/>
    <w:rsid w:val="00034490"/>
    <w:rPr>
      <w:rFonts w:ascii="Tahoma" w:hAnsi="Tahoma" w:cs="Tahoma"/>
      <w:sz w:val="16"/>
      <w:szCs w:val="16"/>
    </w:rPr>
  </w:style>
  <w:style w:type="character" w:customStyle="1" w:styleId="BalloonTextChar">
    <w:name w:val="Balloon Text Char"/>
    <w:basedOn w:val="DefaultParagraphFont"/>
    <w:link w:val="BalloonText"/>
    <w:rsid w:val="00034490"/>
    <w:rPr>
      <w:rFonts w:ascii="Tahoma" w:hAnsi="Tahoma" w:cs="Tahoma"/>
      <w:sz w:val="16"/>
      <w:szCs w:val="16"/>
    </w:rPr>
  </w:style>
  <w:style w:type="character" w:customStyle="1" w:styleId="SubtitleChar">
    <w:name w:val="Subtitle Char"/>
    <w:basedOn w:val="DefaultParagraphFont"/>
    <w:link w:val="Subtitle"/>
    <w:rsid w:val="00034490"/>
    <w:rPr>
      <w:rFonts w:ascii="Arial" w:hAnsi="Arial"/>
      <w:szCs w:val="24"/>
    </w:rPr>
  </w:style>
  <w:style w:type="paragraph" w:customStyle="1" w:styleId="BoxListBullet3">
    <w:name w:val="Box List Bullet 3"/>
    <w:basedOn w:val="ListBullet3"/>
    <w:rsid w:val="00034490"/>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034490"/>
    <w:rPr>
      <w:i/>
      <w:iCs/>
    </w:rPr>
  </w:style>
  <w:style w:type="paragraph" w:customStyle="1" w:styleId="BoxQuoteBullet">
    <w:name w:val="Box Quote Bullet"/>
    <w:basedOn w:val="BoxQuote"/>
    <w:next w:val="Box"/>
    <w:rsid w:val="00034490"/>
    <w:pPr>
      <w:numPr>
        <w:numId w:val="16"/>
      </w:numPr>
      <w:ind w:left="568" w:hanging="284"/>
    </w:pPr>
  </w:style>
  <w:style w:type="paragraph" w:customStyle="1" w:styleId="InformationRequestBullet">
    <w:name w:val="Information Request Bullet"/>
    <w:basedOn w:val="ListBullet"/>
    <w:next w:val="BodyText"/>
    <w:rsid w:val="00034490"/>
    <w:pPr>
      <w:numPr>
        <w:numId w:val="17"/>
      </w:numPr>
      <w:spacing w:before="80" w:line="280" w:lineRule="atLeast"/>
      <w:ind w:left="357" w:hanging="357"/>
    </w:pPr>
    <w:rPr>
      <w:rFonts w:ascii="Arial" w:hAnsi="Arial"/>
      <w:i/>
      <w:sz w:val="22"/>
    </w:rPr>
  </w:style>
  <w:style w:type="paragraph" w:customStyle="1" w:styleId="BoxSpaceBelow">
    <w:name w:val="Box Space Below"/>
    <w:basedOn w:val="Box"/>
    <w:rsid w:val="00034490"/>
    <w:pPr>
      <w:keepNext w:val="0"/>
      <w:spacing w:before="60" w:after="60" w:line="80" w:lineRule="exact"/>
    </w:pPr>
    <w:rPr>
      <w:sz w:val="14"/>
    </w:rPr>
  </w:style>
  <w:style w:type="character" w:customStyle="1" w:styleId="Heading1Char">
    <w:name w:val="Heading 1 Char"/>
    <w:basedOn w:val="DefaultParagraphFont"/>
    <w:link w:val="Heading1"/>
    <w:rsid w:val="00FF51E1"/>
    <w:rPr>
      <w:sz w:val="52"/>
    </w:rPr>
  </w:style>
  <w:style w:type="character" w:customStyle="1" w:styleId="Heading2Char">
    <w:name w:val="Heading 2 Char"/>
    <w:basedOn w:val="DefaultParagraphFont"/>
    <w:link w:val="Heading2"/>
    <w:rsid w:val="00FF51E1"/>
    <w:rPr>
      <w:rFonts w:ascii="Arial" w:hAnsi="Arial"/>
      <w:b/>
      <w:sz w:val="32"/>
    </w:rPr>
  </w:style>
  <w:style w:type="character" w:customStyle="1" w:styleId="Heading3Char">
    <w:name w:val="Heading 3 Char"/>
    <w:basedOn w:val="DefaultParagraphFont"/>
    <w:link w:val="Heading3"/>
    <w:rsid w:val="00FF51E1"/>
    <w:rPr>
      <w:rFonts w:ascii="Arial" w:hAnsi="Arial"/>
      <w:b/>
      <w:sz w:val="26"/>
    </w:rPr>
  </w:style>
  <w:style w:type="character" w:customStyle="1" w:styleId="Heading4Char">
    <w:name w:val="Heading 4 Char"/>
    <w:basedOn w:val="DefaultParagraphFont"/>
    <w:link w:val="Heading4"/>
    <w:rsid w:val="00FF51E1"/>
    <w:rPr>
      <w:rFonts w:ascii="Arial" w:hAnsi="Arial"/>
      <w:sz w:val="24"/>
    </w:rPr>
  </w:style>
  <w:style w:type="character" w:customStyle="1" w:styleId="Heading5Char">
    <w:name w:val="Heading 5 Char"/>
    <w:basedOn w:val="DefaultParagraphFont"/>
    <w:link w:val="Heading5"/>
    <w:rsid w:val="00034490"/>
    <w:rPr>
      <w:rFonts w:ascii="Arial" w:hAnsi="Arial"/>
      <w:i/>
      <w:sz w:val="22"/>
    </w:rPr>
  </w:style>
  <w:style w:type="character" w:customStyle="1" w:styleId="Heading6Char">
    <w:name w:val="Heading 6 Char"/>
    <w:basedOn w:val="DefaultParagraphFont"/>
    <w:link w:val="Heading6"/>
    <w:rsid w:val="00FF51E1"/>
    <w:rPr>
      <w:i/>
      <w:sz w:val="22"/>
    </w:rPr>
  </w:style>
  <w:style w:type="character" w:customStyle="1" w:styleId="Heading7Char">
    <w:name w:val="Heading 7 Char"/>
    <w:basedOn w:val="DefaultParagraphFont"/>
    <w:link w:val="Heading7"/>
    <w:rsid w:val="00FF51E1"/>
    <w:rPr>
      <w:rFonts w:ascii="Arial" w:hAnsi="Arial"/>
    </w:rPr>
  </w:style>
  <w:style w:type="character" w:customStyle="1" w:styleId="Heading8Char">
    <w:name w:val="Heading 8 Char"/>
    <w:basedOn w:val="DefaultParagraphFont"/>
    <w:link w:val="Heading8"/>
    <w:rsid w:val="00FF51E1"/>
    <w:rPr>
      <w:rFonts w:ascii="Arial" w:hAnsi="Arial"/>
      <w:i/>
    </w:rPr>
  </w:style>
  <w:style w:type="character" w:customStyle="1" w:styleId="Heading9Char">
    <w:name w:val="Heading 9 Char"/>
    <w:basedOn w:val="DefaultParagraphFont"/>
    <w:link w:val="Heading9"/>
    <w:rsid w:val="00FF51E1"/>
    <w:rPr>
      <w:rFonts w:ascii="Arial" w:hAnsi="Arial"/>
      <w:b/>
      <w:i/>
      <w:sz w:val="18"/>
    </w:rPr>
  </w:style>
  <w:style w:type="character" w:customStyle="1" w:styleId="BodyTextChar">
    <w:name w:val="Body Text Char"/>
    <w:basedOn w:val="DefaultParagraphFont"/>
    <w:link w:val="BodyText"/>
    <w:rsid w:val="00034490"/>
    <w:rPr>
      <w:sz w:val="24"/>
    </w:rPr>
  </w:style>
  <w:style w:type="character" w:customStyle="1" w:styleId="FooterChar">
    <w:name w:val="Footer Char"/>
    <w:basedOn w:val="BodyTextChar"/>
    <w:link w:val="Footer"/>
    <w:rsid w:val="00034490"/>
    <w:rPr>
      <w:rFonts w:ascii="Arial" w:hAnsi="Arial"/>
      <w:caps/>
      <w:spacing w:val="-4"/>
      <w:sz w:val="16"/>
    </w:rPr>
  </w:style>
  <w:style w:type="character" w:customStyle="1" w:styleId="HeaderChar">
    <w:name w:val="Header Char"/>
    <w:basedOn w:val="DefaultParagraphFont"/>
    <w:link w:val="Header"/>
    <w:rsid w:val="00FF51E1"/>
    <w:rPr>
      <w:rFonts w:ascii="Arial" w:hAnsi="Arial"/>
      <w:caps/>
      <w:sz w:val="24"/>
    </w:rPr>
  </w:style>
  <w:style w:type="character" w:customStyle="1" w:styleId="CommentTextChar">
    <w:name w:val="Comment Text Char"/>
    <w:basedOn w:val="DefaultParagraphFont"/>
    <w:semiHidden/>
    <w:rsid w:val="00FF51E1"/>
    <w:rPr>
      <w:szCs w:val="24"/>
    </w:rPr>
  </w:style>
  <w:style w:type="character" w:customStyle="1" w:styleId="FootnoteTextChar">
    <w:name w:val="Footnote Text Char"/>
    <w:basedOn w:val="DefaultParagraphFont"/>
    <w:link w:val="FootnoteText"/>
    <w:rsid w:val="00FF51E1"/>
  </w:style>
  <w:style w:type="character" w:customStyle="1" w:styleId="QuoteChar">
    <w:name w:val="Quote Char"/>
    <w:basedOn w:val="DefaultParagraphFont"/>
    <w:link w:val="Quote"/>
    <w:rsid w:val="00FF51E1"/>
    <w:rPr>
      <w:sz w:val="22"/>
    </w:rPr>
  </w:style>
  <w:style w:type="paragraph" w:customStyle="1" w:styleId="BoxSpace">
    <w:name w:val="Box Space"/>
    <w:basedOn w:val="BodyText"/>
    <w:rsid w:val="00FF51E1"/>
    <w:pPr>
      <w:keepNext/>
      <w:spacing w:before="360" w:line="80" w:lineRule="exact"/>
      <w:jc w:val="left"/>
    </w:pPr>
  </w:style>
  <w:style w:type="character" w:styleId="Hyperlink">
    <w:name w:val="Hyperlink"/>
    <w:uiPriority w:val="99"/>
    <w:rsid w:val="00FF51E1"/>
    <w:rPr>
      <w:color w:val="0000FF"/>
      <w:u w:val="single"/>
    </w:rPr>
  </w:style>
  <w:style w:type="paragraph" w:customStyle="1" w:styleId="SOC">
    <w:name w:val="SOC"/>
    <w:basedOn w:val="BodyText"/>
    <w:rsid w:val="00FF51E1"/>
    <w:pPr>
      <w:spacing w:before="0" w:after="140" w:line="240" w:lineRule="auto"/>
    </w:pPr>
    <w:rPr>
      <w:rFonts w:ascii="Arial" w:hAnsi="Arial"/>
    </w:rPr>
  </w:style>
  <w:style w:type="character" w:styleId="FollowedHyperlink">
    <w:name w:val="FollowedHyperlink"/>
    <w:rsid w:val="00FF51E1"/>
    <w:rPr>
      <w:color w:val="800080"/>
      <w:u w:val="single"/>
    </w:rPr>
  </w:style>
  <w:style w:type="paragraph" w:styleId="DocumentMap">
    <w:name w:val="Document Map"/>
    <w:basedOn w:val="Normal"/>
    <w:link w:val="DocumentMapChar"/>
    <w:rsid w:val="00FF51E1"/>
    <w:pPr>
      <w:shd w:val="clear" w:color="auto" w:fill="000080"/>
    </w:pPr>
    <w:rPr>
      <w:rFonts w:ascii="Tahoma" w:hAnsi="Tahoma" w:cs="Tahoma"/>
      <w:sz w:val="20"/>
    </w:rPr>
  </w:style>
  <w:style w:type="character" w:customStyle="1" w:styleId="DocumentMapChar">
    <w:name w:val="Document Map Char"/>
    <w:basedOn w:val="DefaultParagraphFont"/>
    <w:link w:val="DocumentMap"/>
    <w:rsid w:val="00FF51E1"/>
    <w:rPr>
      <w:rFonts w:ascii="Tahoma" w:hAnsi="Tahoma" w:cs="Tahoma"/>
      <w:szCs w:val="24"/>
      <w:shd w:val="clear" w:color="auto" w:fill="000080"/>
    </w:rPr>
  </w:style>
  <w:style w:type="paragraph" w:styleId="CommentSubject">
    <w:name w:val="annotation subject"/>
    <w:basedOn w:val="CommentText"/>
    <w:next w:val="CommentText"/>
    <w:link w:val="CommentSubjectChar"/>
    <w:rsid w:val="00FF51E1"/>
    <w:pPr>
      <w:spacing w:before="0" w:line="240" w:lineRule="auto"/>
      <w:ind w:left="0" w:firstLine="0"/>
    </w:pPr>
    <w:rPr>
      <w:b/>
      <w:bCs/>
    </w:rPr>
  </w:style>
  <w:style w:type="character" w:customStyle="1" w:styleId="CommentTextChar1">
    <w:name w:val="Comment Text Char1"/>
    <w:basedOn w:val="DefaultParagraphFont"/>
    <w:link w:val="CommentText"/>
    <w:semiHidden/>
    <w:rsid w:val="00FF51E1"/>
    <w:rPr>
      <w:szCs w:val="24"/>
    </w:rPr>
  </w:style>
  <w:style w:type="character" w:customStyle="1" w:styleId="CommentSubjectChar">
    <w:name w:val="Comment Subject Char"/>
    <w:basedOn w:val="CommentTextChar1"/>
    <w:link w:val="CommentSubject"/>
    <w:rsid w:val="00FF51E1"/>
    <w:rPr>
      <w:b/>
      <w:bCs/>
      <w:szCs w:val="24"/>
    </w:rPr>
  </w:style>
  <w:style w:type="table" w:styleId="TableGrid">
    <w:name w:val="Table Grid"/>
    <w:basedOn w:val="TableNormal"/>
    <w:rsid w:val="000344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
    <w:basedOn w:val="TableTitle"/>
    <w:rsid w:val="00FF51E1"/>
  </w:style>
  <w:style w:type="paragraph" w:customStyle="1" w:styleId="DocInfo">
    <w:name w:val="Doc Info"/>
    <w:basedOn w:val="Normal"/>
    <w:next w:val="Normal"/>
    <w:rsid w:val="00FF51E1"/>
    <w:pPr>
      <w:jc w:val="center"/>
    </w:pPr>
    <w:rPr>
      <w:rFonts w:ascii="Arial" w:hAnsi="Arial"/>
      <w:sz w:val="14"/>
    </w:rPr>
  </w:style>
  <w:style w:type="paragraph" w:customStyle="1" w:styleId="Heading2NotTOC">
    <w:name w:val="Heading 2 Not TOC"/>
    <w:basedOn w:val="Heading2"/>
    <w:next w:val="BodyText"/>
    <w:rsid w:val="00FF51E1"/>
    <w:pPr>
      <w:outlineLvl w:val="9"/>
    </w:pPr>
  </w:style>
  <w:style w:type="character" w:customStyle="1" w:styleId="FooterEndChar">
    <w:name w:val="Footer End Char"/>
    <w:link w:val="FooterEnd"/>
    <w:rsid w:val="00FF51E1"/>
    <w:rPr>
      <w:rFonts w:ascii="Arial" w:hAnsi="Arial"/>
      <w:caps/>
      <w:spacing w:val="-4"/>
      <w:sz w:val="16"/>
    </w:rPr>
  </w:style>
  <w:style w:type="character" w:styleId="Strong">
    <w:name w:val="Strong"/>
    <w:qFormat/>
    <w:rsid w:val="00FF51E1"/>
    <w:rPr>
      <w:b/>
      <w:bCs/>
    </w:rPr>
  </w:style>
  <w:style w:type="paragraph" w:styleId="TOCHeading">
    <w:name w:val="TOC Heading"/>
    <w:basedOn w:val="Heading1"/>
    <w:next w:val="Normal"/>
    <w:uiPriority w:val="39"/>
    <w:unhideWhenUsed/>
    <w:qFormat/>
    <w:rsid w:val="00FF51E1"/>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PlainText">
    <w:name w:val="Plain Text"/>
    <w:basedOn w:val="Normal"/>
    <w:link w:val="PlainTextChar"/>
    <w:unhideWhenUsed/>
    <w:rsid w:val="00FF51E1"/>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rsid w:val="00FF51E1"/>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FF51E1"/>
    <w:rPr>
      <w:sz w:val="24"/>
    </w:rPr>
  </w:style>
  <w:style w:type="paragraph" w:customStyle="1" w:styleId="KeyPointsListBullet">
    <w:name w:val="Key Points List Bullet"/>
    <w:basedOn w:val="Normal"/>
    <w:qFormat/>
    <w:rsid w:val="00034490"/>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034490"/>
    <w:pPr>
      <w:numPr>
        <w:numId w:val="21"/>
      </w:numPr>
      <w:ind w:left="568" w:hanging="284"/>
    </w:pPr>
  </w:style>
  <w:style w:type="paragraph" w:customStyle="1" w:styleId="InformationRequestTitle">
    <w:name w:val="Information Request Title"/>
    <w:basedOn w:val="FindingTitle"/>
    <w:next w:val="InformationRequest"/>
    <w:rsid w:val="00034490"/>
    <w:rPr>
      <w:i/>
    </w:rPr>
  </w:style>
  <w:style w:type="paragraph" w:customStyle="1" w:styleId="Space">
    <w:name w:val="Space"/>
    <w:basedOn w:val="Normal"/>
    <w:rsid w:val="00034490"/>
    <w:pPr>
      <w:keepNext/>
      <w:spacing w:line="120" w:lineRule="exact"/>
      <w:jc w:val="both"/>
    </w:pPr>
    <w:rPr>
      <w:rFonts w:ascii="Arial" w:hAnsi="Arial"/>
      <w:sz w:val="20"/>
      <w:szCs w:val="20"/>
    </w:rPr>
  </w:style>
  <w:style w:type="paragraph" w:customStyle="1" w:styleId="Heading1nochapterno">
    <w:name w:val="Heading 1 (no chapter no.)"/>
    <w:basedOn w:val="Heading1"/>
    <w:rsid w:val="00034490"/>
    <w:pPr>
      <w:spacing w:before="0"/>
      <w:ind w:left="0" w:firstLine="0"/>
    </w:pPr>
  </w:style>
  <w:style w:type="paragraph" w:customStyle="1" w:styleId="Heading2nosectionno">
    <w:name w:val="Heading 2 (no section no.)"/>
    <w:basedOn w:val="Heading2"/>
    <w:rsid w:val="00034490"/>
    <w:pPr>
      <w:ind w:left="0" w:firstLine="0"/>
    </w:pPr>
  </w:style>
  <w:style w:type="paragraph" w:customStyle="1" w:styleId="Figurespace">
    <w:name w:val="Figure space"/>
    <w:basedOn w:val="Box"/>
    <w:rsid w:val="00034490"/>
    <w:pPr>
      <w:spacing w:before="0" w:line="120" w:lineRule="exact"/>
    </w:pPr>
  </w:style>
  <w:style w:type="paragraph" w:customStyle="1" w:styleId="FooterDraftReport">
    <w:name w:val="FooterDraftReport"/>
    <w:basedOn w:val="Footer"/>
    <w:link w:val="FooterDraftReportChar"/>
    <w:rsid w:val="00034490"/>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034490"/>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034490"/>
    <w:rPr>
      <w:rFonts w:ascii="Arial" w:hAnsi="Arial"/>
      <w:b/>
      <w:sz w:val="26"/>
      <w:szCs w:val="26"/>
      <w:lang w:eastAsia="en-US"/>
    </w:rPr>
  </w:style>
  <w:style w:type="paragraph" w:customStyle="1" w:styleId="Heading1NotTOC">
    <w:name w:val="Heading 1 Not TOC"/>
    <w:basedOn w:val="Heading1"/>
    <w:next w:val="BodyText"/>
    <w:rsid w:val="001E414C"/>
    <w:rPr>
      <w:kern w:val="28"/>
      <w:szCs w:val="26"/>
      <w:lang w:eastAsia="en-US"/>
    </w:rPr>
  </w:style>
  <w:style w:type="character" w:customStyle="1" w:styleId="BoxContinuedChar">
    <w:name w:val="Box Continued Char"/>
    <w:link w:val="BoxContinued"/>
    <w:semiHidden/>
    <w:locked/>
    <w:rsid w:val="004D5D4F"/>
    <w:rPr>
      <w:rFonts w:ascii="Arial" w:hAnsi="Arial"/>
      <w:sz w:val="18"/>
    </w:rPr>
  </w:style>
  <w:style w:type="character" w:customStyle="1" w:styleId="NoteChar">
    <w:name w:val="Note Char"/>
    <w:link w:val="Note"/>
    <w:locked/>
    <w:rsid w:val="004D5D4F"/>
    <w:rPr>
      <w:rFonts w:ascii="Arial" w:hAnsi="Arial"/>
      <w:sz w:val="18"/>
    </w:rPr>
  </w:style>
  <w:style w:type="character" w:customStyle="1" w:styleId="ListBulletChar">
    <w:name w:val="List Bullet Char"/>
    <w:aliases w:val="List Bullet1 Char,List Bullet Char1 Char,List Bullet Char Char Char,List Bullet Char1 Char Char Char"/>
    <w:link w:val="ListBullet"/>
    <w:locked/>
    <w:rsid w:val="004D5D4F"/>
    <w:rPr>
      <w:sz w:val="24"/>
    </w:rPr>
  </w:style>
  <w:style w:type="character" w:customStyle="1" w:styleId="ListBullet2Char">
    <w:name w:val="List Bullet 2 Char"/>
    <w:link w:val="ListBullet2"/>
    <w:locked/>
    <w:rsid w:val="004D5D4F"/>
    <w:rPr>
      <w:sz w:val="24"/>
    </w:rPr>
  </w:style>
  <w:style w:type="character" w:customStyle="1" w:styleId="TableTitleChar">
    <w:name w:val="Table Title Char"/>
    <w:link w:val="TableTitle"/>
    <w:locked/>
    <w:rsid w:val="004D5D4F"/>
    <w:rPr>
      <w:rFonts w:ascii="Arial" w:hAnsi="Arial"/>
      <w:b/>
      <w:sz w:val="24"/>
      <w:szCs w:val="24"/>
    </w:rPr>
  </w:style>
  <w:style w:type="paragraph" w:customStyle="1" w:styleId="Bullet">
    <w:name w:val="Bullet"/>
    <w:basedOn w:val="Normal"/>
    <w:link w:val="BulletChar"/>
    <w:rsid w:val="004D5D4F"/>
    <w:pPr>
      <w:numPr>
        <w:ilvl w:val="2"/>
        <w:numId w:val="25"/>
      </w:numPr>
      <w:tabs>
        <w:tab w:val="clear" w:pos="850"/>
        <w:tab w:val="num" w:pos="283"/>
      </w:tabs>
      <w:spacing w:after="240" w:line="260" w:lineRule="exact"/>
      <w:ind w:left="283"/>
      <w:jc w:val="both"/>
    </w:pPr>
    <w:rPr>
      <w:rFonts w:ascii="Corbel" w:hAnsi="Corbel"/>
      <w:color w:val="000000"/>
      <w:sz w:val="23"/>
      <w:szCs w:val="20"/>
    </w:rPr>
  </w:style>
  <w:style w:type="character" w:customStyle="1" w:styleId="BulletChar">
    <w:name w:val="Bullet Char"/>
    <w:link w:val="Bullet"/>
    <w:locked/>
    <w:rsid w:val="004D5D4F"/>
    <w:rPr>
      <w:rFonts w:ascii="Corbel" w:hAnsi="Corbel"/>
      <w:color w:val="000000"/>
      <w:sz w:val="23"/>
    </w:rPr>
  </w:style>
  <w:style w:type="paragraph" w:customStyle="1" w:styleId="Dash">
    <w:name w:val="Dash"/>
    <w:basedOn w:val="Normal"/>
    <w:rsid w:val="004D5D4F"/>
    <w:pPr>
      <w:numPr>
        <w:ilvl w:val="1"/>
        <w:numId w:val="25"/>
      </w:numPr>
      <w:spacing w:after="240" w:line="260" w:lineRule="exact"/>
      <w:jc w:val="both"/>
    </w:pPr>
    <w:rPr>
      <w:rFonts w:ascii="Corbel" w:hAnsi="Corbel"/>
      <w:color w:val="000000"/>
      <w:sz w:val="23"/>
      <w:szCs w:val="20"/>
    </w:rPr>
  </w:style>
  <w:style w:type="paragraph" w:customStyle="1" w:styleId="DoubleDot">
    <w:name w:val="Double Dot"/>
    <w:basedOn w:val="Normal"/>
    <w:rsid w:val="004D5D4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4D5D4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4D5D4F"/>
    <w:rPr>
      <w:rFonts w:ascii="Verdana" w:hAnsi="Verdana" w:cs="Times New Roman"/>
      <w:b/>
      <w:bCs/>
      <w:color w:val="663366"/>
      <w:sz w:val="36"/>
      <w:szCs w:val="36"/>
      <w:u w:val="none"/>
      <w:effect w:val="none"/>
    </w:rPr>
  </w:style>
  <w:style w:type="character" w:customStyle="1" w:styleId="organisation-logo">
    <w:name w:val="organisation-logo"/>
    <w:basedOn w:val="DefaultParagraphFont"/>
    <w:rsid w:val="004D5D4F"/>
  </w:style>
  <w:style w:type="paragraph" w:styleId="NormalWeb">
    <w:name w:val="Normal (Web)"/>
    <w:basedOn w:val="Normal"/>
    <w:link w:val="NormalWebChar"/>
    <w:rsid w:val="004D5D4F"/>
    <w:pPr>
      <w:spacing w:before="100" w:beforeAutospacing="1" w:after="180"/>
    </w:pPr>
    <w:rPr>
      <w:rFonts w:ascii="Verdana" w:hAnsi="Verdana"/>
      <w:color w:val="000000"/>
    </w:rPr>
  </w:style>
  <w:style w:type="character" w:customStyle="1" w:styleId="papertitle">
    <w:name w:val="papertitle"/>
    <w:basedOn w:val="DefaultParagraphFont"/>
    <w:rsid w:val="004D5D4F"/>
  </w:style>
  <w:style w:type="paragraph" w:customStyle="1" w:styleId="Default">
    <w:name w:val="Default"/>
    <w:rsid w:val="004D5D4F"/>
    <w:pPr>
      <w:autoSpaceDE w:val="0"/>
      <w:autoSpaceDN w:val="0"/>
      <w:adjustRightInd w:val="0"/>
    </w:pPr>
    <w:rPr>
      <w:color w:val="000000"/>
      <w:sz w:val="24"/>
      <w:szCs w:val="24"/>
    </w:rPr>
  </w:style>
  <w:style w:type="paragraph" w:styleId="Revision">
    <w:name w:val="Revision"/>
    <w:hidden/>
    <w:uiPriority w:val="99"/>
    <w:semiHidden/>
    <w:rsid w:val="004D5D4F"/>
    <w:rPr>
      <w:sz w:val="26"/>
      <w:szCs w:val="24"/>
    </w:rPr>
  </w:style>
  <w:style w:type="paragraph" w:styleId="ListParagraph">
    <w:name w:val="List Paragraph"/>
    <w:basedOn w:val="Normal"/>
    <w:uiPriority w:val="34"/>
    <w:qFormat/>
    <w:rsid w:val="00271323"/>
    <w:pPr>
      <w:ind w:left="720"/>
      <w:contextualSpacing/>
    </w:pPr>
  </w:style>
  <w:style w:type="paragraph" w:customStyle="1" w:styleId="Table">
    <w:name w:val="Table"/>
    <w:basedOn w:val="Normal"/>
    <w:semiHidden/>
    <w:rsid w:val="002D3A3F"/>
    <w:rPr>
      <w:rFonts w:ascii="Book Antiqua" w:hAnsi="Book Antiqua"/>
      <w:sz w:val="20"/>
      <w:szCs w:val="20"/>
      <w:lang w:eastAsia="en-US"/>
    </w:rPr>
  </w:style>
  <w:style w:type="character" w:customStyle="1" w:styleId="BoxQuoteChar">
    <w:name w:val="Box Quote Char"/>
    <w:link w:val="BoxQuote"/>
    <w:rsid w:val="002D3A3F"/>
    <w:rPr>
      <w:rFonts w:ascii="Arial" w:hAnsi="Arial"/>
      <w:sz w:val="18"/>
    </w:rPr>
  </w:style>
  <w:style w:type="character" w:customStyle="1" w:styleId="SourceChar">
    <w:name w:val="Source Char"/>
    <w:basedOn w:val="NoteChar"/>
    <w:link w:val="Source"/>
    <w:rsid w:val="002D3A3F"/>
    <w:rPr>
      <w:rFonts w:ascii="Arial" w:hAnsi="Arial"/>
      <w:sz w:val="18"/>
    </w:rPr>
  </w:style>
  <w:style w:type="character" w:customStyle="1" w:styleId="FigureChar">
    <w:name w:val="Figure Char"/>
    <w:basedOn w:val="BodyTextChar"/>
    <w:link w:val="Figure"/>
    <w:rsid w:val="002D3A3F"/>
    <w:rPr>
      <w:sz w:val="24"/>
    </w:rPr>
  </w:style>
  <w:style w:type="character" w:customStyle="1" w:styleId="NormalWebChar">
    <w:name w:val="Normal (Web) Char"/>
    <w:link w:val="NormalWeb"/>
    <w:rsid w:val="002D3A3F"/>
    <w:rPr>
      <w:rFonts w:ascii="Verdana" w:hAnsi="Verdana"/>
      <w:color w:val="000000"/>
      <w:sz w:val="24"/>
      <w:szCs w:val="24"/>
    </w:rPr>
  </w:style>
  <w:style w:type="character" w:customStyle="1" w:styleId="BoxChar">
    <w:name w:val="Box Char"/>
    <w:link w:val="Box"/>
    <w:rsid w:val="002D3A3F"/>
    <w:rPr>
      <w:rFonts w:ascii="Arial" w:hAnsi="Arial"/>
    </w:rPr>
  </w:style>
  <w:style w:type="character" w:customStyle="1" w:styleId="JurisdictioncommentslistbulletChar">
    <w:name w:val="Jurisdiction comments list bullet Char"/>
    <w:link w:val="Jurisdictioncommentslistbullet"/>
    <w:rsid w:val="002D3A3F"/>
    <w:rPr>
      <w:rFonts w:ascii="Arial" w:hAnsi="Arial"/>
      <w:sz w:val="24"/>
      <w:lang w:eastAsia="en-US"/>
    </w:rPr>
  </w:style>
  <w:style w:type="character" w:customStyle="1" w:styleId="ContinuedChar">
    <w:name w:val="Continued Char"/>
    <w:basedOn w:val="BoxContinuedChar"/>
    <w:link w:val="Continued"/>
    <w:rsid w:val="002D3A3F"/>
    <w:rPr>
      <w:rFonts w:ascii="Arial" w:hAnsi="Arial"/>
      <w:sz w:val="18"/>
    </w:rPr>
  </w:style>
  <w:style w:type="character" w:customStyle="1" w:styleId="JurisdictioncommentsbodytextChar">
    <w:name w:val="Jurisdiction comments body text Char"/>
    <w:link w:val="Jurisdictioncommentsbodytext"/>
    <w:rsid w:val="002D3A3F"/>
    <w:rPr>
      <w:rFonts w:ascii="Arial" w:hAnsi="Arial"/>
      <w:sz w:val="24"/>
      <w:lang w:eastAsia="en-US"/>
    </w:rPr>
  </w:style>
  <w:style w:type="character" w:customStyle="1" w:styleId="BoxTitleChar">
    <w:name w:val="Box Title Char"/>
    <w:link w:val="BoxTitle"/>
    <w:rsid w:val="002D3A3F"/>
    <w:rPr>
      <w:rFonts w:ascii="Arial" w:hAnsi="Arial"/>
      <w:b/>
      <w:sz w:val="24"/>
      <w:szCs w:val="24"/>
    </w:rPr>
  </w:style>
  <w:style w:type="character" w:customStyle="1" w:styleId="BoxHeading1Char">
    <w:name w:val="Box Heading 1 Char"/>
    <w:link w:val="BoxHeading1"/>
    <w:rsid w:val="002D3A3F"/>
    <w:rPr>
      <w:rFonts w:ascii="Arial" w:hAnsi="Arial"/>
      <w:b/>
      <w:sz w:val="22"/>
    </w:rPr>
  </w:style>
  <w:style w:type="character" w:customStyle="1" w:styleId="FigureTitleChar">
    <w:name w:val="Figure Title Char"/>
    <w:link w:val="FigureTitle"/>
    <w:rsid w:val="00133B84"/>
    <w:rPr>
      <w:rFonts w:ascii="Arial" w:hAnsi="Arial"/>
      <w:b/>
      <w:sz w:val="24"/>
      <w:szCs w:val="24"/>
    </w:rPr>
  </w:style>
  <w:style w:type="character" w:customStyle="1" w:styleId="BoxListBullet2Char">
    <w:name w:val="Box List Bullet 2 Char"/>
    <w:basedOn w:val="BoxChar"/>
    <w:link w:val="BoxListBullet2"/>
    <w:rsid w:val="00133B84"/>
    <w:rPr>
      <w:rFonts w:ascii="Arial" w:hAnsi="Arial"/>
    </w:rPr>
  </w:style>
  <w:style w:type="character" w:customStyle="1" w:styleId="BoxListBulletChar">
    <w:name w:val="Box List Bullet Char"/>
    <w:basedOn w:val="BoxChar"/>
    <w:link w:val="BoxListBullet"/>
    <w:rsid w:val="00133B84"/>
    <w:rPr>
      <w:rFonts w:ascii="Arial" w:hAnsi="Arial"/>
    </w:rPr>
  </w:style>
  <w:style w:type="character" w:customStyle="1" w:styleId="TableBodyTextChar">
    <w:name w:val="Table Body Text Char"/>
    <w:link w:val="TableBodyText"/>
    <w:rsid w:val="00133B84"/>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52909">
      <w:bodyDiv w:val="1"/>
      <w:marLeft w:val="0"/>
      <w:marRight w:val="0"/>
      <w:marTop w:val="0"/>
      <w:marBottom w:val="0"/>
      <w:divBdr>
        <w:top w:val="none" w:sz="0" w:space="0" w:color="auto"/>
        <w:left w:val="none" w:sz="0" w:space="0" w:color="auto"/>
        <w:bottom w:val="none" w:sz="0" w:space="0" w:color="auto"/>
        <w:right w:val="none" w:sz="0" w:space="0" w:color="auto"/>
      </w:divBdr>
    </w:div>
    <w:div w:id="101074658">
      <w:bodyDiv w:val="1"/>
      <w:marLeft w:val="0"/>
      <w:marRight w:val="0"/>
      <w:marTop w:val="0"/>
      <w:marBottom w:val="0"/>
      <w:divBdr>
        <w:top w:val="none" w:sz="0" w:space="0" w:color="auto"/>
        <w:left w:val="none" w:sz="0" w:space="0" w:color="auto"/>
        <w:bottom w:val="none" w:sz="0" w:space="0" w:color="auto"/>
        <w:right w:val="none" w:sz="0" w:space="0" w:color="auto"/>
      </w:divBdr>
    </w:div>
    <w:div w:id="110246092">
      <w:bodyDiv w:val="1"/>
      <w:marLeft w:val="0"/>
      <w:marRight w:val="0"/>
      <w:marTop w:val="0"/>
      <w:marBottom w:val="0"/>
      <w:divBdr>
        <w:top w:val="none" w:sz="0" w:space="0" w:color="auto"/>
        <w:left w:val="none" w:sz="0" w:space="0" w:color="auto"/>
        <w:bottom w:val="none" w:sz="0" w:space="0" w:color="auto"/>
        <w:right w:val="none" w:sz="0" w:space="0" w:color="auto"/>
      </w:divBdr>
    </w:div>
    <w:div w:id="115833150">
      <w:bodyDiv w:val="1"/>
      <w:marLeft w:val="0"/>
      <w:marRight w:val="0"/>
      <w:marTop w:val="0"/>
      <w:marBottom w:val="0"/>
      <w:divBdr>
        <w:top w:val="none" w:sz="0" w:space="0" w:color="auto"/>
        <w:left w:val="none" w:sz="0" w:space="0" w:color="auto"/>
        <w:bottom w:val="none" w:sz="0" w:space="0" w:color="auto"/>
        <w:right w:val="none" w:sz="0" w:space="0" w:color="auto"/>
      </w:divBdr>
    </w:div>
    <w:div w:id="348871124">
      <w:bodyDiv w:val="1"/>
      <w:marLeft w:val="0"/>
      <w:marRight w:val="0"/>
      <w:marTop w:val="0"/>
      <w:marBottom w:val="0"/>
      <w:divBdr>
        <w:top w:val="none" w:sz="0" w:space="0" w:color="auto"/>
        <w:left w:val="none" w:sz="0" w:space="0" w:color="auto"/>
        <w:bottom w:val="none" w:sz="0" w:space="0" w:color="auto"/>
        <w:right w:val="none" w:sz="0" w:space="0" w:color="auto"/>
      </w:divBdr>
    </w:div>
    <w:div w:id="460392297">
      <w:bodyDiv w:val="1"/>
      <w:marLeft w:val="0"/>
      <w:marRight w:val="0"/>
      <w:marTop w:val="0"/>
      <w:marBottom w:val="0"/>
      <w:divBdr>
        <w:top w:val="none" w:sz="0" w:space="0" w:color="auto"/>
        <w:left w:val="none" w:sz="0" w:space="0" w:color="auto"/>
        <w:bottom w:val="none" w:sz="0" w:space="0" w:color="auto"/>
        <w:right w:val="none" w:sz="0" w:space="0" w:color="auto"/>
      </w:divBdr>
    </w:div>
    <w:div w:id="463159360">
      <w:bodyDiv w:val="1"/>
      <w:marLeft w:val="0"/>
      <w:marRight w:val="0"/>
      <w:marTop w:val="0"/>
      <w:marBottom w:val="0"/>
      <w:divBdr>
        <w:top w:val="none" w:sz="0" w:space="0" w:color="auto"/>
        <w:left w:val="none" w:sz="0" w:space="0" w:color="auto"/>
        <w:bottom w:val="none" w:sz="0" w:space="0" w:color="auto"/>
        <w:right w:val="none" w:sz="0" w:space="0" w:color="auto"/>
      </w:divBdr>
    </w:div>
    <w:div w:id="510216307">
      <w:bodyDiv w:val="1"/>
      <w:marLeft w:val="0"/>
      <w:marRight w:val="0"/>
      <w:marTop w:val="0"/>
      <w:marBottom w:val="0"/>
      <w:divBdr>
        <w:top w:val="none" w:sz="0" w:space="0" w:color="auto"/>
        <w:left w:val="none" w:sz="0" w:space="0" w:color="auto"/>
        <w:bottom w:val="none" w:sz="0" w:space="0" w:color="auto"/>
        <w:right w:val="none" w:sz="0" w:space="0" w:color="auto"/>
      </w:divBdr>
    </w:div>
    <w:div w:id="535773022">
      <w:bodyDiv w:val="1"/>
      <w:marLeft w:val="0"/>
      <w:marRight w:val="0"/>
      <w:marTop w:val="0"/>
      <w:marBottom w:val="0"/>
      <w:divBdr>
        <w:top w:val="none" w:sz="0" w:space="0" w:color="auto"/>
        <w:left w:val="none" w:sz="0" w:space="0" w:color="auto"/>
        <w:bottom w:val="none" w:sz="0" w:space="0" w:color="auto"/>
        <w:right w:val="none" w:sz="0" w:space="0" w:color="auto"/>
      </w:divBdr>
    </w:div>
    <w:div w:id="604847541">
      <w:bodyDiv w:val="1"/>
      <w:marLeft w:val="0"/>
      <w:marRight w:val="0"/>
      <w:marTop w:val="0"/>
      <w:marBottom w:val="0"/>
      <w:divBdr>
        <w:top w:val="none" w:sz="0" w:space="0" w:color="auto"/>
        <w:left w:val="none" w:sz="0" w:space="0" w:color="auto"/>
        <w:bottom w:val="none" w:sz="0" w:space="0" w:color="auto"/>
        <w:right w:val="none" w:sz="0" w:space="0" w:color="auto"/>
      </w:divBdr>
    </w:div>
    <w:div w:id="619185232">
      <w:bodyDiv w:val="1"/>
      <w:marLeft w:val="0"/>
      <w:marRight w:val="0"/>
      <w:marTop w:val="0"/>
      <w:marBottom w:val="0"/>
      <w:divBdr>
        <w:top w:val="none" w:sz="0" w:space="0" w:color="auto"/>
        <w:left w:val="none" w:sz="0" w:space="0" w:color="auto"/>
        <w:bottom w:val="none" w:sz="0" w:space="0" w:color="auto"/>
        <w:right w:val="none" w:sz="0" w:space="0" w:color="auto"/>
      </w:divBdr>
    </w:div>
    <w:div w:id="675881253">
      <w:bodyDiv w:val="1"/>
      <w:marLeft w:val="0"/>
      <w:marRight w:val="0"/>
      <w:marTop w:val="0"/>
      <w:marBottom w:val="0"/>
      <w:divBdr>
        <w:top w:val="none" w:sz="0" w:space="0" w:color="auto"/>
        <w:left w:val="none" w:sz="0" w:space="0" w:color="auto"/>
        <w:bottom w:val="none" w:sz="0" w:space="0" w:color="auto"/>
        <w:right w:val="none" w:sz="0" w:space="0" w:color="auto"/>
      </w:divBdr>
    </w:div>
    <w:div w:id="899368598">
      <w:bodyDiv w:val="1"/>
      <w:marLeft w:val="0"/>
      <w:marRight w:val="0"/>
      <w:marTop w:val="0"/>
      <w:marBottom w:val="0"/>
      <w:divBdr>
        <w:top w:val="none" w:sz="0" w:space="0" w:color="auto"/>
        <w:left w:val="none" w:sz="0" w:space="0" w:color="auto"/>
        <w:bottom w:val="none" w:sz="0" w:space="0" w:color="auto"/>
        <w:right w:val="none" w:sz="0" w:space="0" w:color="auto"/>
      </w:divBdr>
    </w:div>
    <w:div w:id="927153877">
      <w:bodyDiv w:val="1"/>
      <w:marLeft w:val="0"/>
      <w:marRight w:val="0"/>
      <w:marTop w:val="0"/>
      <w:marBottom w:val="0"/>
      <w:divBdr>
        <w:top w:val="none" w:sz="0" w:space="0" w:color="auto"/>
        <w:left w:val="none" w:sz="0" w:space="0" w:color="auto"/>
        <w:bottom w:val="none" w:sz="0" w:space="0" w:color="auto"/>
        <w:right w:val="none" w:sz="0" w:space="0" w:color="auto"/>
      </w:divBdr>
    </w:div>
    <w:div w:id="1079213246">
      <w:bodyDiv w:val="1"/>
      <w:marLeft w:val="0"/>
      <w:marRight w:val="0"/>
      <w:marTop w:val="0"/>
      <w:marBottom w:val="0"/>
      <w:divBdr>
        <w:top w:val="none" w:sz="0" w:space="0" w:color="auto"/>
        <w:left w:val="none" w:sz="0" w:space="0" w:color="auto"/>
        <w:bottom w:val="none" w:sz="0" w:space="0" w:color="auto"/>
        <w:right w:val="none" w:sz="0" w:space="0" w:color="auto"/>
      </w:divBdr>
    </w:div>
    <w:div w:id="1085225936">
      <w:bodyDiv w:val="1"/>
      <w:marLeft w:val="0"/>
      <w:marRight w:val="0"/>
      <w:marTop w:val="0"/>
      <w:marBottom w:val="0"/>
      <w:divBdr>
        <w:top w:val="none" w:sz="0" w:space="0" w:color="auto"/>
        <w:left w:val="none" w:sz="0" w:space="0" w:color="auto"/>
        <w:bottom w:val="none" w:sz="0" w:space="0" w:color="auto"/>
        <w:right w:val="none" w:sz="0" w:space="0" w:color="auto"/>
      </w:divBdr>
    </w:div>
    <w:div w:id="1228686183">
      <w:bodyDiv w:val="1"/>
      <w:marLeft w:val="0"/>
      <w:marRight w:val="0"/>
      <w:marTop w:val="0"/>
      <w:marBottom w:val="0"/>
      <w:divBdr>
        <w:top w:val="none" w:sz="0" w:space="0" w:color="auto"/>
        <w:left w:val="none" w:sz="0" w:space="0" w:color="auto"/>
        <w:bottom w:val="none" w:sz="0" w:space="0" w:color="auto"/>
        <w:right w:val="none" w:sz="0" w:space="0" w:color="auto"/>
      </w:divBdr>
    </w:div>
    <w:div w:id="1276250341">
      <w:bodyDiv w:val="1"/>
      <w:marLeft w:val="0"/>
      <w:marRight w:val="0"/>
      <w:marTop w:val="0"/>
      <w:marBottom w:val="0"/>
      <w:divBdr>
        <w:top w:val="none" w:sz="0" w:space="0" w:color="auto"/>
        <w:left w:val="none" w:sz="0" w:space="0" w:color="auto"/>
        <w:bottom w:val="none" w:sz="0" w:space="0" w:color="auto"/>
        <w:right w:val="none" w:sz="0" w:space="0" w:color="auto"/>
      </w:divBdr>
    </w:div>
    <w:div w:id="1482968446">
      <w:bodyDiv w:val="1"/>
      <w:marLeft w:val="0"/>
      <w:marRight w:val="0"/>
      <w:marTop w:val="0"/>
      <w:marBottom w:val="0"/>
      <w:divBdr>
        <w:top w:val="none" w:sz="0" w:space="0" w:color="auto"/>
        <w:left w:val="none" w:sz="0" w:space="0" w:color="auto"/>
        <w:bottom w:val="none" w:sz="0" w:space="0" w:color="auto"/>
        <w:right w:val="none" w:sz="0" w:space="0" w:color="auto"/>
      </w:divBdr>
    </w:div>
    <w:div w:id="1515922086">
      <w:bodyDiv w:val="1"/>
      <w:marLeft w:val="0"/>
      <w:marRight w:val="0"/>
      <w:marTop w:val="0"/>
      <w:marBottom w:val="0"/>
      <w:divBdr>
        <w:top w:val="none" w:sz="0" w:space="0" w:color="auto"/>
        <w:left w:val="none" w:sz="0" w:space="0" w:color="auto"/>
        <w:bottom w:val="none" w:sz="0" w:space="0" w:color="auto"/>
        <w:right w:val="none" w:sz="0" w:space="0" w:color="auto"/>
      </w:divBdr>
    </w:div>
    <w:div w:id="1538005810">
      <w:bodyDiv w:val="1"/>
      <w:marLeft w:val="0"/>
      <w:marRight w:val="0"/>
      <w:marTop w:val="0"/>
      <w:marBottom w:val="0"/>
      <w:divBdr>
        <w:top w:val="none" w:sz="0" w:space="0" w:color="auto"/>
        <w:left w:val="none" w:sz="0" w:space="0" w:color="auto"/>
        <w:bottom w:val="none" w:sz="0" w:space="0" w:color="auto"/>
        <w:right w:val="none" w:sz="0" w:space="0" w:color="auto"/>
      </w:divBdr>
    </w:div>
    <w:div w:id="1564826982">
      <w:bodyDiv w:val="1"/>
      <w:marLeft w:val="0"/>
      <w:marRight w:val="0"/>
      <w:marTop w:val="0"/>
      <w:marBottom w:val="0"/>
      <w:divBdr>
        <w:top w:val="none" w:sz="0" w:space="0" w:color="auto"/>
        <w:left w:val="none" w:sz="0" w:space="0" w:color="auto"/>
        <w:bottom w:val="none" w:sz="0" w:space="0" w:color="auto"/>
        <w:right w:val="none" w:sz="0" w:space="0" w:color="auto"/>
      </w:divBdr>
    </w:div>
    <w:div w:id="1709573011">
      <w:bodyDiv w:val="1"/>
      <w:marLeft w:val="0"/>
      <w:marRight w:val="0"/>
      <w:marTop w:val="0"/>
      <w:marBottom w:val="0"/>
      <w:divBdr>
        <w:top w:val="none" w:sz="0" w:space="0" w:color="auto"/>
        <w:left w:val="none" w:sz="0" w:space="0" w:color="auto"/>
        <w:bottom w:val="none" w:sz="0" w:space="0" w:color="auto"/>
        <w:right w:val="none" w:sz="0" w:space="0" w:color="auto"/>
      </w:divBdr>
    </w:div>
    <w:div w:id="1719939315">
      <w:bodyDiv w:val="1"/>
      <w:marLeft w:val="0"/>
      <w:marRight w:val="0"/>
      <w:marTop w:val="0"/>
      <w:marBottom w:val="0"/>
      <w:divBdr>
        <w:top w:val="none" w:sz="0" w:space="0" w:color="auto"/>
        <w:left w:val="none" w:sz="0" w:space="0" w:color="auto"/>
        <w:bottom w:val="none" w:sz="0" w:space="0" w:color="auto"/>
        <w:right w:val="none" w:sz="0" w:space="0" w:color="auto"/>
      </w:divBdr>
    </w:div>
    <w:div w:id="1770346422">
      <w:bodyDiv w:val="1"/>
      <w:marLeft w:val="0"/>
      <w:marRight w:val="0"/>
      <w:marTop w:val="0"/>
      <w:marBottom w:val="0"/>
      <w:divBdr>
        <w:top w:val="none" w:sz="0" w:space="0" w:color="auto"/>
        <w:left w:val="none" w:sz="0" w:space="0" w:color="auto"/>
        <w:bottom w:val="none" w:sz="0" w:space="0" w:color="auto"/>
        <w:right w:val="none" w:sz="0" w:space="0" w:color="auto"/>
      </w:divBdr>
    </w:div>
    <w:div w:id="1832796508">
      <w:bodyDiv w:val="1"/>
      <w:marLeft w:val="0"/>
      <w:marRight w:val="0"/>
      <w:marTop w:val="0"/>
      <w:marBottom w:val="0"/>
      <w:divBdr>
        <w:top w:val="none" w:sz="0" w:space="0" w:color="auto"/>
        <w:left w:val="none" w:sz="0" w:space="0" w:color="auto"/>
        <w:bottom w:val="none" w:sz="0" w:space="0" w:color="auto"/>
        <w:right w:val="none" w:sz="0" w:space="0" w:color="auto"/>
      </w:divBdr>
    </w:div>
    <w:div w:id="1864787296">
      <w:bodyDiv w:val="1"/>
      <w:marLeft w:val="0"/>
      <w:marRight w:val="0"/>
      <w:marTop w:val="0"/>
      <w:marBottom w:val="0"/>
      <w:divBdr>
        <w:top w:val="none" w:sz="0" w:space="0" w:color="auto"/>
        <w:left w:val="none" w:sz="0" w:space="0" w:color="auto"/>
        <w:bottom w:val="none" w:sz="0" w:space="0" w:color="auto"/>
        <w:right w:val="none" w:sz="0" w:space="0" w:color="auto"/>
      </w:divBdr>
    </w:div>
    <w:div w:id="1866021603">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43566917">
      <w:bodyDiv w:val="1"/>
      <w:marLeft w:val="0"/>
      <w:marRight w:val="0"/>
      <w:marTop w:val="0"/>
      <w:marBottom w:val="0"/>
      <w:divBdr>
        <w:top w:val="none" w:sz="0" w:space="0" w:color="auto"/>
        <w:left w:val="none" w:sz="0" w:space="0" w:color="auto"/>
        <w:bottom w:val="none" w:sz="0" w:space="0" w:color="auto"/>
        <w:right w:val="none" w:sz="0" w:space="0" w:color="auto"/>
      </w:divBdr>
    </w:div>
    <w:div w:id="1971352377">
      <w:bodyDiv w:val="1"/>
      <w:marLeft w:val="0"/>
      <w:marRight w:val="0"/>
      <w:marTop w:val="0"/>
      <w:marBottom w:val="0"/>
      <w:divBdr>
        <w:top w:val="none" w:sz="0" w:space="0" w:color="auto"/>
        <w:left w:val="none" w:sz="0" w:space="0" w:color="auto"/>
        <w:bottom w:val="none" w:sz="0" w:space="0" w:color="auto"/>
        <w:right w:val="none" w:sz="0" w:space="0" w:color="auto"/>
      </w:divBdr>
    </w:div>
    <w:div w:id="2026007540">
      <w:bodyDiv w:val="1"/>
      <w:marLeft w:val="0"/>
      <w:marRight w:val="0"/>
      <w:marTop w:val="0"/>
      <w:marBottom w:val="0"/>
      <w:divBdr>
        <w:top w:val="none" w:sz="0" w:space="0" w:color="auto"/>
        <w:left w:val="none" w:sz="0" w:space="0" w:color="auto"/>
        <w:bottom w:val="none" w:sz="0" w:space="0" w:color="auto"/>
        <w:right w:val="none" w:sz="0" w:space="0" w:color="auto"/>
      </w:divBdr>
    </w:div>
    <w:div w:id="2049790425">
      <w:bodyDiv w:val="1"/>
      <w:marLeft w:val="0"/>
      <w:marRight w:val="0"/>
      <w:marTop w:val="0"/>
      <w:marBottom w:val="0"/>
      <w:divBdr>
        <w:top w:val="none" w:sz="0" w:space="0" w:color="auto"/>
        <w:left w:val="none" w:sz="0" w:space="0" w:color="auto"/>
        <w:bottom w:val="none" w:sz="0" w:space="0" w:color="auto"/>
        <w:right w:val="none" w:sz="0" w:space="0" w:color="auto"/>
      </w:divBdr>
    </w:div>
    <w:div w:id="2065593814">
      <w:bodyDiv w:val="1"/>
      <w:marLeft w:val="0"/>
      <w:marRight w:val="0"/>
      <w:marTop w:val="0"/>
      <w:marBottom w:val="0"/>
      <w:divBdr>
        <w:top w:val="none" w:sz="0" w:space="0" w:color="auto"/>
        <w:left w:val="none" w:sz="0" w:space="0" w:color="auto"/>
        <w:bottom w:val="none" w:sz="0" w:space="0" w:color="auto"/>
        <w:right w:val="none" w:sz="0" w:space="0" w:color="auto"/>
      </w:divBdr>
    </w:div>
    <w:div w:id="2071994099">
      <w:bodyDiv w:val="1"/>
      <w:marLeft w:val="0"/>
      <w:marRight w:val="0"/>
      <w:marTop w:val="0"/>
      <w:marBottom w:val="0"/>
      <w:divBdr>
        <w:top w:val="none" w:sz="0" w:space="0" w:color="auto"/>
        <w:left w:val="none" w:sz="0" w:space="0" w:color="auto"/>
        <w:bottom w:val="none" w:sz="0" w:space="0" w:color="auto"/>
        <w:right w:val="none" w:sz="0" w:space="0" w:color="auto"/>
      </w:divBdr>
    </w:div>
    <w:div w:id="2103256822">
      <w:bodyDiv w:val="1"/>
      <w:marLeft w:val="0"/>
      <w:marRight w:val="0"/>
      <w:marTop w:val="0"/>
      <w:marBottom w:val="0"/>
      <w:divBdr>
        <w:top w:val="none" w:sz="0" w:space="0" w:color="auto"/>
        <w:left w:val="none" w:sz="0" w:space="0" w:color="auto"/>
        <w:bottom w:val="none" w:sz="0" w:space="0" w:color="auto"/>
        <w:right w:val="none" w:sz="0" w:space="0" w:color="auto"/>
      </w:divBdr>
    </w:div>
    <w:div w:id="2112897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image" Target="media/image31.emf"/><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emf"/><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image" Target="media/image32.emf"/><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4"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11EB5D-0D2E-4AB4-A7B4-BF8BB831A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68</TotalTime>
  <Pages>40</Pages>
  <Words>10216</Words>
  <Characters>57749</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Chapter 5 Vocational education and training - Indigenous Compendium 2015</vt:lpstr>
    </vt:vector>
  </TitlesOfParts>
  <Company>Productivity Commission</Company>
  <LinksUpToDate>false</LinksUpToDate>
  <CharactersWithSpaces>67830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5 Vocational education and training - Indigenous Compendium 2015</dc:title>
  <dc:subject/>
  <dc:creator>Steering Committee for the Review of Government Service Provision</dc:creator>
  <dc:description>5.</dc:description>
  <cp:lastModifiedBy>Frech, Tanya</cp:lastModifiedBy>
  <cp:revision>23</cp:revision>
  <cp:lastPrinted>2014-09-30T06:40:00Z</cp:lastPrinted>
  <dcterms:created xsi:type="dcterms:W3CDTF">2015-03-26T04:13:00Z</dcterms:created>
  <dcterms:modified xsi:type="dcterms:W3CDTF">2015-04-07T22:25:00Z</dcterms:modified>
</cp:coreProperties>
</file>