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A848F2" w:rsidRDefault="009E799F" w:rsidP="009E799F">
      <w:pPr>
        <w:pStyle w:val="Heading1"/>
      </w:pPr>
      <w:bookmarkStart w:id="0" w:name="ChapterNumber"/>
      <w:r w:rsidRPr="00A848F2">
        <w:t>C</w:t>
      </w:r>
      <w:bookmarkEnd w:id="0"/>
      <w:r w:rsidRPr="00A848F2">
        <w:tab/>
      </w:r>
      <w:bookmarkStart w:id="1" w:name="_Appendix"/>
      <w:bookmarkStart w:id="2" w:name="ChapterTitle"/>
      <w:bookmarkEnd w:id="1"/>
      <w:r w:rsidRPr="00A848F2">
        <w:t>Justice sector overview</w:t>
      </w:r>
      <w:bookmarkEnd w:id="2"/>
    </w:p>
    <w:bookmarkStart w:id="3" w:name="begin" w:displacedByCustomXml="next"/>
    <w:bookmarkEnd w:id="3" w:displacedByCustomXml="next"/>
    <w:sdt>
      <w:sdtPr>
        <w:rPr>
          <w:rFonts w:ascii="Arial" w:hAnsi="Arial"/>
          <w:sz w:val="26"/>
          <w:szCs w:val="26"/>
          <w:lang w:eastAsia="en-US"/>
        </w:rPr>
        <w:id w:val="802118961"/>
        <w:docPartObj>
          <w:docPartGallery w:val="Table of Contents"/>
          <w:docPartUnique/>
        </w:docPartObj>
      </w:sdtPr>
      <w:sdtEndPr>
        <w:rPr>
          <w:rStyle w:val="Hyperlink"/>
          <w:color w:val="0000FF"/>
          <w:u w:val="single"/>
        </w:rPr>
      </w:sdtEndPr>
      <w:sdtContent>
        <w:p w:rsidR="00972B15" w:rsidRPr="00A848F2" w:rsidRDefault="00972B15" w:rsidP="00972B15">
          <w:pPr>
            <w:tabs>
              <w:tab w:val="right" w:pos="8789"/>
            </w:tabs>
            <w:spacing w:before="120" w:line="320" w:lineRule="exact"/>
            <w:ind w:left="510" w:right="851" w:hanging="510"/>
            <w:rPr>
              <w:rFonts w:ascii="Arial" w:hAnsi="Arial"/>
              <w:b/>
              <w:noProof/>
              <w:szCs w:val="26"/>
              <w:lang w:eastAsia="en-US"/>
            </w:rPr>
          </w:pPr>
          <w:r w:rsidRPr="00A848F2">
            <w:rPr>
              <w:rFonts w:ascii="Arial" w:hAnsi="Arial"/>
              <w:b/>
              <w:noProof/>
              <w:szCs w:val="26"/>
              <w:lang w:eastAsia="en-US"/>
            </w:rPr>
            <w:t>CONTENTS</w:t>
          </w:r>
        </w:p>
        <w:p w:rsidR="00972B15" w:rsidRPr="00A848F2" w:rsidRDefault="00972B15">
          <w:pPr>
            <w:pStyle w:val="TOC3"/>
            <w:rPr>
              <w:rStyle w:val="Hyperlink"/>
              <w:noProof/>
            </w:rPr>
          </w:pPr>
          <w:r w:rsidRPr="003F1919">
            <w:rPr>
              <w:noProof/>
            </w:rPr>
            <w:t>Sector scope</w:t>
          </w:r>
          <w:r w:rsidRPr="003F1919">
            <w:rPr>
              <w:noProof/>
              <w:webHidden/>
            </w:rPr>
            <w:tab/>
            <w:t>C.</w:t>
          </w:r>
          <w:r w:rsidR="00A848F2" w:rsidRPr="003F1919">
            <w:rPr>
              <w:noProof/>
              <w:webHidden/>
            </w:rPr>
            <w:t>2</w:t>
          </w:r>
        </w:p>
        <w:p w:rsidR="00972B15" w:rsidRPr="00A848F2" w:rsidRDefault="00972B15">
          <w:pPr>
            <w:pStyle w:val="TOC3"/>
            <w:rPr>
              <w:rStyle w:val="Hyperlink"/>
              <w:noProof/>
            </w:rPr>
          </w:pPr>
          <w:r w:rsidRPr="003F1919">
            <w:rPr>
              <w:noProof/>
            </w:rPr>
            <w:t>Profile of the Justice sector</w:t>
          </w:r>
          <w:r w:rsidRPr="003F1919">
            <w:rPr>
              <w:noProof/>
              <w:webHidden/>
            </w:rPr>
            <w:tab/>
            <w:t>C.</w:t>
          </w:r>
          <w:r w:rsidR="00A848F2" w:rsidRPr="003F1919">
            <w:rPr>
              <w:noProof/>
              <w:webHidden/>
            </w:rPr>
            <w:t>3</w:t>
          </w:r>
        </w:p>
        <w:p w:rsidR="00972B15" w:rsidRPr="00A848F2" w:rsidRDefault="00972B15">
          <w:pPr>
            <w:pStyle w:val="TOC3"/>
            <w:rPr>
              <w:rStyle w:val="Hyperlink"/>
              <w:noProof/>
            </w:rPr>
          </w:pPr>
          <w:r w:rsidRPr="003F1919">
            <w:rPr>
              <w:noProof/>
            </w:rPr>
            <w:t>Social and economic factors affecting demand for services</w:t>
          </w:r>
          <w:r w:rsidRPr="003F1919">
            <w:rPr>
              <w:noProof/>
              <w:webHidden/>
            </w:rPr>
            <w:tab/>
            <w:t>C.</w:t>
          </w:r>
          <w:r w:rsidR="00A848F2" w:rsidRPr="003F1919">
            <w:rPr>
              <w:noProof/>
              <w:webHidden/>
            </w:rPr>
            <w:t>7</w:t>
          </w:r>
        </w:p>
        <w:p w:rsidR="00972B15" w:rsidRPr="00A848F2" w:rsidRDefault="00972B15">
          <w:pPr>
            <w:pStyle w:val="TOC3"/>
            <w:rPr>
              <w:rStyle w:val="Hyperlink"/>
              <w:noProof/>
            </w:rPr>
          </w:pPr>
          <w:r w:rsidRPr="003F1919">
            <w:rPr>
              <w:noProof/>
            </w:rPr>
            <w:t>Cross-cutting and interface issues</w:t>
          </w:r>
          <w:r w:rsidRPr="003F1919">
            <w:rPr>
              <w:noProof/>
              <w:webHidden/>
            </w:rPr>
            <w:tab/>
            <w:t>C.</w:t>
          </w:r>
          <w:r w:rsidR="00A848F2" w:rsidRPr="003F1919">
            <w:rPr>
              <w:noProof/>
              <w:webHidden/>
            </w:rPr>
            <w:t>7</w:t>
          </w:r>
        </w:p>
        <w:p w:rsidR="00972B15" w:rsidRPr="00A848F2" w:rsidRDefault="00427DF8">
          <w:pPr>
            <w:pStyle w:val="TOC3"/>
            <w:rPr>
              <w:rStyle w:val="Hyperlink"/>
              <w:noProof/>
            </w:rPr>
          </w:pPr>
          <w:r>
            <w:t>Aboriginal and Torres Strait Islander</w:t>
          </w:r>
          <w:r w:rsidR="00972B15" w:rsidRPr="003F1919">
            <w:rPr>
              <w:noProof/>
            </w:rPr>
            <w:t xml:space="preserve"> data in the Justice sector overview</w:t>
          </w:r>
          <w:r w:rsidR="00972B15" w:rsidRPr="003F1919">
            <w:rPr>
              <w:noProof/>
              <w:webHidden/>
            </w:rPr>
            <w:tab/>
            <w:t>C.</w:t>
          </w:r>
          <w:r w:rsidR="00A848F2" w:rsidRPr="003F1919">
            <w:rPr>
              <w:noProof/>
              <w:webHidden/>
            </w:rPr>
            <w:t>9</w:t>
          </w:r>
        </w:p>
        <w:p w:rsidR="00972B15" w:rsidRPr="00A848F2" w:rsidRDefault="00972B15" w:rsidP="00972B15">
          <w:pPr>
            <w:pStyle w:val="TOC3"/>
            <w:rPr>
              <w:rStyle w:val="Hyperlink"/>
            </w:rPr>
          </w:pPr>
          <w:r w:rsidRPr="003F1919">
            <w:rPr>
              <w:noProof/>
            </w:rPr>
            <w:t>References</w:t>
          </w:r>
          <w:r w:rsidRPr="003F1919">
            <w:rPr>
              <w:noProof/>
              <w:webHidden/>
            </w:rPr>
            <w:tab/>
            <w:t>C.</w:t>
          </w:r>
          <w:r w:rsidR="00A848F2" w:rsidRPr="003F1919">
            <w:rPr>
              <w:noProof/>
              <w:webHidden/>
            </w:rPr>
            <w:t>9</w:t>
          </w:r>
        </w:p>
      </w:sdtContent>
    </w:sdt>
    <w:p w:rsidR="00D51212" w:rsidRPr="00A848F2"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A848F2" w:rsidTr="009A1E3B">
        <w:tc>
          <w:tcPr>
            <w:tcW w:w="8771" w:type="dxa"/>
            <w:tcBorders>
              <w:top w:val="single" w:sz="6" w:space="0" w:color="78A22F"/>
              <w:left w:val="nil"/>
              <w:bottom w:val="nil"/>
              <w:right w:val="nil"/>
            </w:tcBorders>
            <w:shd w:val="clear" w:color="auto" w:fill="F2F2F2"/>
          </w:tcPr>
          <w:p w:rsidR="00D51212" w:rsidRPr="00A848F2" w:rsidRDefault="00D51212" w:rsidP="009A1E3B">
            <w:pPr>
              <w:pStyle w:val="BoxTitle"/>
            </w:pPr>
            <w:r w:rsidRPr="00A848F2">
              <w:t>Attachment tables</w:t>
            </w:r>
          </w:p>
        </w:tc>
      </w:tr>
      <w:tr w:rsidR="00D51212" w:rsidRPr="00A848F2" w:rsidTr="009A1E3B">
        <w:trPr>
          <w:cantSplit/>
        </w:trPr>
        <w:tc>
          <w:tcPr>
            <w:tcW w:w="8771" w:type="dxa"/>
            <w:tcBorders>
              <w:top w:val="nil"/>
              <w:left w:val="nil"/>
              <w:bottom w:val="nil"/>
              <w:right w:val="nil"/>
            </w:tcBorders>
            <w:shd w:val="clear" w:color="auto" w:fill="F2F2F2"/>
          </w:tcPr>
          <w:p w:rsidR="00D51212" w:rsidRPr="00A848F2" w:rsidRDefault="00F10397" w:rsidP="009A1E3B">
            <w:pPr>
              <w:pStyle w:val="Box"/>
            </w:pPr>
            <w:r w:rsidRPr="00A848F2">
              <w:t>There are no Justice sector overview attachment tables throughout this Indigenous Compendium.</w:t>
            </w:r>
          </w:p>
        </w:tc>
      </w:tr>
      <w:tr w:rsidR="00D51212" w:rsidRPr="00A848F2" w:rsidTr="009A1E3B">
        <w:trPr>
          <w:cantSplit/>
        </w:trPr>
        <w:tc>
          <w:tcPr>
            <w:tcW w:w="8771" w:type="dxa"/>
            <w:tcBorders>
              <w:top w:val="nil"/>
              <w:left w:val="nil"/>
              <w:bottom w:val="single" w:sz="6" w:space="0" w:color="78A22F"/>
              <w:right w:val="nil"/>
            </w:tcBorders>
            <w:shd w:val="clear" w:color="auto" w:fill="F2F2F2"/>
          </w:tcPr>
          <w:p w:rsidR="00D51212" w:rsidRPr="00A848F2" w:rsidRDefault="00D51212" w:rsidP="009A1E3B">
            <w:pPr>
              <w:pStyle w:val="Box"/>
              <w:spacing w:before="0" w:line="120" w:lineRule="exact"/>
            </w:pPr>
          </w:p>
        </w:tc>
      </w:tr>
      <w:tr w:rsidR="00D51212" w:rsidRPr="00A848F2" w:rsidTr="009A1E3B">
        <w:tc>
          <w:tcPr>
            <w:tcW w:w="8771" w:type="dxa"/>
            <w:tcBorders>
              <w:top w:val="single" w:sz="6" w:space="0" w:color="78A22F"/>
              <w:left w:val="nil"/>
              <w:bottom w:val="nil"/>
              <w:right w:val="nil"/>
            </w:tcBorders>
          </w:tcPr>
          <w:p w:rsidR="00D51212" w:rsidRPr="00A848F2" w:rsidRDefault="00D51212" w:rsidP="009A1E3B">
            <w:pPr>
              <w:pStyle w:val="BoxSpaceBelow"/>
            </w:pPr>
          </w:p>
        </w:tc>
      </w:tr>
    </w:tbl>
    <w:p w:rsidR="00F10397" w:rsidRPr="00A848F2" w:rsidRDefault="00F10397" w:rsidP="00F10397">
      <w:pPr>
        <w:pStyle w:val="BodyText"/>
      </w:pPr>
      <w:bookmarkStart w:id="4" w:name="_Toc404865398"/>
      <w:bookmarkStart w:id="5" w:name="_Toc410122156"/>
      <w:r w:rsidRPr="00A848F2">
        <w:t xml:space="preserve">The Justice sector overview in the </w:t>
      </w:r>
      <w:r w:rsidRPr="00A848F2">
        <w:rPr>
          <w:i/>
        </w:rPr>
        <w:t>Report on Government Services 201</w:t>
      </w:r>
      <w:r w:rsidR="00A848F2" w:rsidRPr="00A848F2">
        <w:rPr>
          <w:i/>
        </w:rPr>
        <w:t>5</w:t>
      </w:r>
      <w:r w:rsidRPr="00A848F2">
        <w:t xml:space="preserve"> </w:t>
      </w:r>
      <w:r w:rsidRPr="00A848F2">
        <w:br/>
        <w:t>(201</w:t>
      </w:r>
      <w:r w:rsidR="00DC5788" w:rsidRPr="00A848F2">
        <w:t>5</w:t>
      </w:r>
      <w:r w:rsidRPr="00A848F2">
        <w:t xml:space="preserve"> Report) provides contextual and cross-sector information relating to justice services in </w:t>
      </w:r>
      <w:smartTag w:uri="urn:schemas-microsoft-com:office:smarttags" w:element="place">
        <w:smartTag w:uri="urn:schemas-microsoft-com:office:smarttags" w:element="country-region">
          <w:r w:rsidRPr="00A848F2">
            <w:t>Australia</w:t>
          </w:r>
        </w:smartTag>
      </w:smartTag>
      <w:r w:rsidRPr="00A848F2">
        <w:t>.</w:t>
      </w:r>
    </w:p>
    <w:p w:rsidR="00F10397" w:rsidRPr="00A848F2" w:rsidRDefault="00F10397" w:rsidP="00F10397">
      <w:pPr>
        <w:pStyle w:val="BodyText"/>
        <w:rPr>
          <w:lang w:val="en-US" w:eastAsia="en-US"/>
        </w:rPr>
      </w:pPr>
      <w:r w:rsidRPr="00A848F2">
        <w:rPr>
          <w:lang w:val="en-US" w:eastAsia="en-US"/>
        </w:rPr>
        <w:t>This sector overview provides an introduction to justice services, comprising police services (chapter 6), civil and criminal courts’ administration (chapter 7) and adult corrective services (chapter 8). It provides an overview of the justice sector, presenting both contextual information and high</w:t>
      </w:r>
      <w:r w:rsidR="00DC5788" w:rsidRPr="00A848F2">
        <w:rPr>
          <w:lang w:val="en-US" w:eastAsia="en-US"/>
        </w:rPr>
        <w:t>-level performance information.</w:t>
      </w:r>
    </w:p>
    <w:bookmarkEnd w:id="4"/>
    <w:bookmarkEnd w:id="5"/>
    <w:p w:rsidR="006925D6" w:rsidRPr="00A848F2" w:rsidRDefault="006925D6" w:rsidP="00AB7E72">
      <w:pPr>
        <w:pStyle w:val="BodyText"/>
        <w:rPr>
          <w:lang w:val="en"/>
        </w:rPr>
      </w:pPr>
      <w:r w:rsidRPr="00A848F2">
        <w:t xml:space="preserve">The justice </w:t>
      </w:r>
      <w:r w:rsidRPr="00A848F2">
        <w:rPr>
          <w:lang w:val="en-US" w:eastAsia="en-US"/>
        </w:rPr>
        <w:t>system</w:t>
      </w:r>
      <w:r w:rsidRPr="00A848F2">
        <w:t xml:space="preserve"> is usually divided into criminal and civil justice. </w:t>
      </w:r>
      <w:r w:rsidRPr="00A848F2">
        <w:rPr>
          <w:lang w:val="en"/>
        </w:rPr>
        <w:t xml:space="preserve">Under the federal system of government in Australia, the States and Territories assume responsibility for the administration of criminal justice within each individual State and Territory and, as a result, there is no single criminal justice system operating across Australia. The eight States and Territories have separate and independent systems of police, courts, prisons, community corrections systems and juvenile justice </w:t>
      </w:r>
      <w:proofErr w:type="spellStart"/>
      <w:r w:rsidRPr="00A848F2">
        <w:rPr>
          <w:lang w:val="en"/>
        </w:rPr>
        <w:t>centres</w:t>
      </w:r>
      <w:proofErr w:type="spellEnd"/>
      <w:r w:rsidRPr="00A848F2">
        <w:rPr>
          <w:lang w:val="en"/>
        </w:rPr>
        <w:t>. There are also some criminal justice services that operate at national level, for example, the Australian Federal Police has jurisdiction for certain offences regardless of whether these are committed in a particular State or Territory. National law enforcement functions are also provided by other Commonwealth agencies, such as the Australian Crime Commission (</w:t>
      </w:r>
      <w:proofErr w:type="spellStart"/>
      <w:r w:rsidRPr="00A848F2">
        <w:rPr>
          <w:lang w:val="en"/>
        </w:rPr>
        <w:t>ACC</w:t>
      </w:r>
      <w:proofErr w:type="spellEnd"/>
      <w:r w:rsidRPr="00A848F2">
        <w:rPr>
          <w:lang w:val="en"/>
        </w:rPr>
        <w:t>). There are also federal courts and tribunals with national jurisdiction for both civil and criminal</w:t>
      </w:r>
      <w:r w:rsidRPr="00A848F2">
        <w:rPr>
          <w:color w:val="FF0000"/>
          <w:lang w:val="en"/>
        </w:rPr>
        <w:t xml:space="preserve"> </w:t>
      </w:r>
      <w:r w:rsidRPr="00A848F2">
        <w:rPr>
          <w:lang w:val="en"/>
        </w:rPr>
        <w:t xml:space="preserve">matters, </w:t>
      </w:r>
      <w:r w:rsidRPr="00A848F2">
        <w:rPr>
          <w:lang w:val="en"/>
        </w:rPr>
        <w:lastRenderedPageBreak/>
        <w:t>however, the majority of court and law enforcement matters are dealt with by services administered at State and Territory government level.</w:t>
      </w:r>
    </w:p>
    <w:p w:rsidR="006925D6" w:rsidRPr="00A848F2" w:rsidRDefault="006925D6" w:rsidP="00AB7E72">
      <w:pPr>
        <w:pStyle w:val="BodyText"/>
        <w:rPr>
          <w:lang w:val="en"/>
        </w:rPr>
      </w:pPr>
      <w:r w:rsidRPr="00A848F2">
        <w:rPr>
          <w:lang w:val="en"/>
        </w:rPr>
        <w:t>Civil justice services are provided at State and Territory government levels, as well as at the federal level. There is a wide variety of services available for civil dispute resolution and the vast majority of civil matters are resolved outside of courts. Most States and Territories now have an overarching civil and administrative tribunal which processes many matters which would once have been dealt with through the courts. Tribunals a</w:t>
      </w:r>
      <w:r w:rsidR="00A848F2" w:rsidRPr="00A848F2">
        <w:rPr>
          <w:lang w:val="en"/>
        </w:rPr>
        <w:t>re not currently included in this Report</w:t>
      </w:r>
      <w:r w:rsidRPr="00A848F2">
        <w:rPr>
          <w:lang w:val="en"/>
        </w:rPr>
        <w:t xml:space="preserve"> but nevertheless constitute an important component of the justice system. Both courts and tribunals have the power to resolve disputes by making legally binding decisions. Many matters are also resolved through alternative dispute resolution (</w:t>
      </w:r>
      <w:proofErr w:type="spellStart"/>
      <w:r w:rsidRPr="00A848F2">
        <w:rPr>
          <w:lang w:val="en"/>
        </w:rPr>
        <w:t>ADR</w:t>
      </w:r>
      <w:proofErr w:type="spellEnd"/>
      <w:r w:rsidRPr="00A848F2">
        <w:rPr>
          <w:lang w:val="en"/>
        </w:rPr>
        <w:t>) processes, by which a neutral third party assists disputing parties to reach a resolution without a formal decision by a court or tribunal.</w:t>
      </w:r>
    </w:p>
    <w:p w:rsidR="006925D6" w:rsidRPr="00A848F2" w:rsidRDefault="006925D6" w:rsidP="00AB7E72">
      <w:pPr>
        <w:pStyle w:val="BodyText"/>
      </w:pPr>
      <w:r w:rsidRPr="00A848F2">
        <w:t>The operations of the civil and criminal justice systems require the provision of government services for crime prevention, detection and investigation, judicial processes and dispute resolution, prisoner and offender management, and rehabilitation services.</w:t>
      </w:r>
      <w:r w:rsidRPr="00A848F2">
        <w:rPr>
          <w:color w:val="800080"/>
        </w:rPr>
        <w:t xml:space="preserve"> </w:t>
      </w:r>
      <w:r w:rsidRPr="00A848F2">
        <w:t>These are largely delivered through the three service delivery agency types that are reported in this Report — police services, courts and corrective services — however it is acknowledged that not all of the above justice-related operations are included in this Report. Other agencies also deliver some of these functions, although more restricted in scope. For example, government departments may investigate and prosecute particular offences directly, as in the case of social security fraud or tax evasion. Public prosecutions are an important link between charges being laid by police and cases going to court.</w:t>
      </w:r>
    </w:p>
    <w:p w:rsidR="006925D6" w:rsidRPr="00A848F2" w:rsidRDefault="006925D6" w:rsidP="006925D6">
      <w:pPr>
        <w:keepNext/>
        <w:spacing w:before="560" w:line="320" w:lineRule="exact"/>
        <w:outlineLvl w:val="2"/>
        <w:rPr>
          <w:rFonts w:ascii="Arial" w:hAnsi="Arial"/>
          <w:b/>
          <w:sz w:val="26"/>
          <w:szCs w:val="20"/>
        </w:rPr>
      </w:pPr>
      <w:bookmarkStart w:id="6" w:name="_Toc300668510"/>
      <w:bookmarkStart w:id="7" w:name="_Toc410737116"/>
      <w:r w:rsidRPr="00A848F2">
        <w:rPr>
          <w:rFonts w:ascii="Arial" w:hAnsi="Arial"/>
          <w:b/>
          <w:sz w:val="26"/>
          <w:szCs w:val="20"/>
        </w:rPr>
        <w:t>Sector scope</w:t>
      </w:r>
      <w:bookmarkEnd w:id="6"/>
      <w:bookmarkEnd w:id="7"/>
    </w:p>
    <w:p w:rsidR="006925D6" w:rsidRPr="00A848F2" w:rsidRDefault="006925D6" w:rsidP="00AB7E72">
      <w:pPr>
        <w:pStyle w:val="BodyText"/>
      </w:pPr>
      <w:r w:rsidRPr="00A848F2">
        <w:t xml:space="preserve">The justice sector services covered in this Report (box </w:t>
      </w:r>
      <w:proofErr w:type="spellStart"/>
      <w:r w:rsidRPr="00A848F2">
        <w:t>C.1</w:t>
      </w:r>
      <w:proofErr w:type="spellEnd"/>
      <w:r w:rsidRPr="00A848F2">
        <w:t>) comprise both criminal and civil jurisdictions. Services in the criminal jurisdiction are delivered by police, courts and corrective services. In the civil jurisdiction, police deliver services for infringements, and courts deal with civil law matters</w:t>
      </w:r>
      <w:r w:rsidR="00DC5788" w:rsidRPr="00A848F2">
        <w:t>.</w:t>
      </w:r>
    </w:p>
    <w:p w:rsidR="00EE5C8D" w:rsidRPr="00A848F2" w:rsidRDefault="00EE5C8D" w:rsidP="00EE5C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C8D" w:rsidRPr="00A848F2" w:rsidTr="009A1E3B">
        <w:tc>
          <w:tcPr>
            <w:tcW w:w="8771" w:type="dxa"/>
            <w:tcBorders>
              <w:top w:val="single" w:sz="6" w:space="0" w:color="78A22F"/>
              <w:left w:val="nil"/>
              <w:bottom w:val="nil"/>
              <w:right w:val="nil"/>
            </w:tcBorders>
            <w:shd w:val="clear" w:color="auto" w:fill="F2F2F2" w:themeFill="background1" w:themeFillShade="F2"/>
          </w:tcPr>
          <w:p w:rsidR="00EE5C8D" w:rsidRPr="00A848F2" w:rsidRDefault="00EE5C8D" w:rsidP="009A1E3B">
            <w:pPr>
              <w:pStyle w:val="BoxTitle"/>
            </w:pPr>
            <w:r w:rsidRPr="00A848F2">
              <w:rPr>
                <w:b w:val="0"/>
              </w:rPr>
              <w:t xml:space="preserve">Box </w:t>
            </w:r>
            <w:proofErr w:type="spellStart"/>
            <w:r w:rsidRPr="00A848F2">
              <w:rPr>
                <w:b w:val="0"/>
              </w:rPr>
              <w:t>C.</w:t>
            </w:r>
            <w:r w:rsidRPr="00A848F2">
              <w:rPr>
                <w:b w:val="0"/>
                <w:noProof/>
              </w:rPr>
              <w:t>1</w:t>
            </w:r>
            <w:proofErr w:type="spellEnd"/>
            <w:r w:rsidRPr="00A848F2">
              <w:tab/>
            </w:r>
            <w:r w:rsidRPr="00A848F2">
              <w:rPr>
                <w:sz w:val="26"/>
                <w:szCs w:val="26"/>
              </w:rPr>
              <w:t>Justice sector services covered in this Report</w:t>
            </w:r>
          </w:p>
        </w:tc>
      </w:tr>
      <w:tr w:rsidR="00EE5C8D" w:rsidRPr="00A848F2" w:rsidTr="009A1E3B">
        <w:trPr>
          <w:cantSplit/>
        </w:trPr>
        <w:tc>
          <w:tcPr>
            <w:tcW w:w="8771" w:type="dxa"/>
            <w:tcBorders>
              <w:top w:val="nil"/>
              <w:left w:val="nil"/>
              <w:bottom w:val="nil"/>
              <w:right w:val="nil"/>
            </w:tcBorders>
            <w:shd w:val="clear" w:color="auto" w:fill="F2F2F2" w:themeFill="background1" w:themeFillShade="F2"/>
          </w:tcPr>
          <w:p w:rsidR="00EE5C8D" w:rsidRPr="00A848F2" w:rsidRDefault="00EE5C8D" w:rsidP="009A1E3B">
            <w:pPr>
              <w:pStyle w:val="BoxHeading1"/>
              <w:rPr>
                <w:b w:val="0"/>
              </w:rPr>
            </w:pPr>
            <w:r w:rsidRPr="00A848F2">
              <w:rPr>
                <w:b w:val="0"/>
              </w:rPr>
              <w:t>In this Report:</w:t>
            </w:r>
          </w:p>
          <w:p w:rsidR="00EE5C8D" w:rsidRPr="00A848F2" w:rsidRDefault="00EE5C8D" w:rsidP="009A1E3B">
            <w:pPr>
              <w:pStyle w:val="BoxListBullet"/>
            </w:pPr>
            <w:r w:rsidRPr="00A848F2">
              <w:rPr>
                <w:rFonts w:cs="Arial"/>
              </w:rPr>
              <w:t>Police reporting covers the operations of police agencies of each State and Territory government but excludes the national policing function delivered by the Australian Federa</w:t>
            </w:r>
            <w:r w:rsidRPr="00A848F2">
              <w:t>l Police and other national non-police law enforcement bodies such as the Aus</w:t>
            </w:r>
            <w:r w:rsidR="00312086" w:rsidRPr="00A848F2">
              <w:t>tralian Crime Commission (</w:t>
            </w:r>
            <w:proofErr w:type="spellStart"/>
            <w:r w:rsidR="00312086" w:rsidRPr="00A848F2">
              <w:t>ACC</w:t>
            </w:r>
            <w:proofErr w:type="spellEnd"/>
            <w:r w:rsidR="00312086" w:rsidRPr="00A848F2">
              <w:t>).</w:t>
            </w:r>
          </w:p>
          <w:p w:rsidR="00EE5C8D" w:rsidRPr="00A848F2" w:rsidRDefault="00EE5C8D" w:rsidP="009A1E3B">
            <w:pPr>
              <w:pStyle w:val="BoxListBullet"/>
            </w:pPr>
            <w:r w:rsidRPr="00A848F2">
              <w:rPr>
                <w:rFonts w:cs="Arial"/>
              </w:rPr>
              <w:t>Courts reporting covers service delivery in the State and Territory supreme, district/county and magistrates’ courts (including children’s courts, coroner’s courts an</w:t>
            </w:r>
            <w:r w:rsidRPr="00A848F2">
              <w:t>d probate registries). The Federal Court of Australia, Family Court of Australia, Family Court of WA and the Federal Circuit Court of Australia are included, but the High Court of Australia and tribunals and specialist jurisdiction courts such as Indigenous courts, circle sentencing courts and drug courts operating at State and Territory level are excluded.</w:t>
            </w:r>
          </w:p>
          <w:p w:rsidR="00EE5C8D" w:rsidRPr="00A848F2" w:rsidRDefault="00EE5C8D" w:rsidP="009A1E3B">
            <w:pPr>
              <w:pStyle w:val="BoxListBullet"/>
            </w:pPr>
            <w:r w:rsidRPr="00A848F2">
              <w:rPr>
                <w:rFonts w:cs="Arial"/>
              </w:rPr>
              <w:t xml:space="preserve">Corrective services reports on adult custodial facilities and community corrections, including prison services provided through </w:t>
            </w:r>
            <w:proofErr w:type="spellStart"/>
            <w:r w:rsidRPr="00A848F2">
              <w:rPr>
                <w:rFonts w:cs="Arial"/>
              </w:rPr>
              <w:t>contractual</w:t>
            </w:r>
            <w:proofErr w:type="spellEnd"/>
            <w:r w:rsidRPr="00A848F2">
              <w:rPr>
                <w:rFonts w:cs="Arial"/>
              </w:rPr>
              <w:t xml:space="preserve"> arrangem</w:t>
            </w:r>
            <w:r w:rsidRPr="00A848F2">
              <w:t>ents with private providers.</w:t>
            </w:r>
          </w:p>
        </w:tc>
      </w:tr>
      <w:tr w:rsidR="0025782A" w:rsidRPr="00A848F2" w:rsidTr="00613C27">
        <w:trPr>
          <w:cantSplit/>
        </w:trPr>
        <w:tc>
          <w:tcPr>
            <w:tcW w:w="8771" w:type="dxa"/>
            <w:tcBorders>
              <w:top w:val="nil"/>
              <w:left w:val="nil"/>
              <w:bottom w:val="single" w:sz="6" w:space="0" w:color="78A22F"/>
              <w:right w:val="nil"/>
            </w:tcBorders>
            <w:shd w:val="clear" w:color="auto" w:fill="F2F2F2"/>
          </w:tcPr>
          <w:p w:rsidR="0025782A" w:rsidRPr="00A848F2" w:rsidRDefault="0025782A" w:rsidP="00613C27">
            <w:pPr>
              <w:pStyle w:val="Box"/>
              <w:spacing w:before="0" w:line="120" w:lineRule="exact"/>
            </w:pPr>
          </w:p>
        </w:tc>
      </w:tr>
      <w:tr w:rsidR="0025782A" w:rsidRPr="00A848F2" w:rsidTr="00613C27">
        <w:tc>
          <w:tcPr>
            <w:tcW w:w="8771" w:type="dxa"/>
            <w:tcBorders>
              <w:top w:val="single" w:sz="6" w:space="0" w:color="78A22F"/>
              <w:left w:val="nil"/>
              <w:bottom w:val="nil"/>
              <w:right w:val="nil"/>
            </w:tcBorders>
          </w:tcPr>
          <w:p w:rsidR="0025782A" w:rsidRPr="00A848F2" w:rsidRDefault="0025782A" w:rsidP="00613C27">
            <w:pPr>
              <w:pStyle w:val="BoxSpaceBelow"/>
            </w:pPr>
          </w:p>
        </w:tc>
      </w:tr>
    </w:tbl>
    <w:p w:rsidR="00EE5C8D" w:rsidRPr="00A848F2" w:rsidRDefault="00EE5C8D" w:rsidP="00EE5C8D">
      <w:pPr>
        <w:pStyle w:val="Heading3"/>
      </w:pPr>
      <w:bookmarkStart w:id="8" w:name="_Toc300668512"/>
      <w:bookmarkStart w:id="9" w:name="_Toc410737117"/>
      <w:r w:rsidRPr="00A848F2">
        <w:t>Profile</w:t>
      </w:r>
      <w:bookmarkEnd w:id="8"/>
      <w:r w:rsidRPr="00A848F2">
        <w:t xml:space="preserve"> of the Justice sector</w:t>
      </w:r>
      <w:bookmarkEnd w:id="9"/>
    </w:p>
    <w:p w:rsidR="00EE5C8D" w:rsidRPr="00A848F2" w:rsidRDefault="00EE5C8D" w:rsidP="00EE5C8D">
      <w:pPr>
        <w:pStyle w:val="BodyText"/>
        <w:rPr>
          <w:szCs w:val="26"/>
          <w:lang w:val="en-US" w:eastAsia="en-US"/>
        </w:rPr>
      </w:pPr>
      <w:r w:rsidRPr="00A848F2">
        <w:rPr>
          <w:szCs w:val="26"/>
          <w:lang w:val="en-US" w:eastAsia="en-US"/>
        </w:rPr>
        <w:t xml:space="preserve">Detailed profiles for each of the three services comprising the justice sector in this Report are reported in chapters 6, 7 and 8 and cover: </w:t>
      </w:r>
    </w:p>
    <w:p w:rsidR="00EE5C8D" w:rsidRPr="00A848F2" w:rsidRDefault="00EE5C8D" w:rsidP="00EE5C8D">
      <w:pPr>
        <w:pStyle w:val="ListBullet"/>
        <w:rPr>
          <w:lang w:val="en-US" w:eastAsia="en-US"/>
        </w:rPr>
      </w:pPr>
      <w:r w:rsidRPr="00A848F2">
        <w:rPr>
          <w:lang w:val="en-US" w:eastAsia="en-US"/>
        </w:rPr>
        <w:t>size and scope of the individual service types</w:t>
      </w:r>
    </w:p>
    <w:p w:rsidR="00EE5C8D" w:rsidRPr="00A848F2" w:rsidRDefault="00EE5C8D" w:rsidP="00EE5C8D">
      <w:pPr>
        <w:pStyle w:val="ListBullet"/>
        <w:rPr>
          <w:lang w:val="en-US" w:eastAsia="en-US"/>
        </w:rPr>
      </w:pPr>
      <w:r w:rsidRPr="00A848F2">
        <w:rPr>
          <w:lang w:val="en-US" w:eastAsia="en-US"/>
        </w:rPr>
        <w:t>roles and responsibilities of each level of government</w:t>
      </w:r>
    </w:p>
    <w:p w:rsidR="00EE5C8D" w:rsidRPr="00A848F2" w:rsidRDefault="00EE5C8D" w:rsidP="00EE5C8D">
      <w:pPr>
        <w:pStyle w:val="ListBullet"/>
        <w:rPr>
          <w:lang w:val="en-US" w:eastAsia="en-US"/>
        </w:rPr>
      </w:pPr>
      <w:r w:rsidRPr="00A848F2">
        <w:rPr>
          <w:lang w:val="en-US" w:eastAsia="en-US"/>
        </w:rPr>
        <w:t>funding and expenditure.</w:t>
      </w:r>
    </w:p>
    <w:p w:rsidR="00EE5C8D" w:rsidRPr="00A848F2" w:rsidRDefault="00EE5C8D" w:rsidP="00EE5C8D">
      <w:pPr>
        <w:pStyle w:val="Heading4"/>
      </w:pPr>
      <w:r w:rsidRPr="00A848F2">
        <w:t>Overview of the criminal justice system</w:t>
      </w:r>
    </w:p>
    <w:p w:rsidR="00EE5C8D" w:rsidRPr="00A848F2" w:rsidRDefault="00EE5C8D" w:rsidP="00EE5C8D">
      <w:pPr>
        <w:pStyle w:val="BodyText"/>
      </w:pPr>
      <w:r w:rsidRPr="00A848F2">
        <w:rPr>
          <w:bCs/>
          <w:szCs w:val="26"/>
        </w:rPr>
        <w:t>The criminal justice system involves the interaction of many entities and their processes and practices are aimed at providing protection for the rights and freedoms of all people.</w:t>
      </w:r>
      <w:r w:rsidRPr="00A848F2">
        <w:t xml:space="preserve"> </w:t>
      </w:r>
      <w:r w:rsidRPr="00A848F2">
        <w:rPr>
          <w:bCs/>
          <w:szCs w:val="26"/>
        </w:rPr>
        <w:t>For most people who come into contact with it, the criminal justice system is a sequentially structured process</w:t>
      </w:r>
      <w:r w:rsidRPr="00A848F2">
        <w:t>.</w:t>
      </w:r>
    </w:p>
    <w:p w:rsidR="00EE5C8D" w:rsidRPr="00A848F2" w:rsidRDefault="00EE5C8D" w:rsidP="00EE5C8D">
      <w:pPr>
        <w:pStyle w:val="BodyText"/>
      </w:pPr>
      <w:r w:rsidRPr="00A848F2">
        <w:t xml:space="preserve">Figure </w:t>
      </w:r>
      <w:proofErr w:type="spellStart"/>
      <w:r w:rsidRPr="00A848F2">
        <w:t>C.1</w:t>
      </w:r>
      <w:proofErr w:type="spellEnd"/>
      <w:r w:rsidRPr="00A848F2">
        <w:t xml:space="preserve"> shows the typical flow of events in the criminal justice system. The roles of police, courts and corrective services, and the sequencing of their involvement, are clearly shown. This depiction is broadly indicative and, for brevity and clarity, does not seek to capture all the complexities of the criminal justice system or variations across jurisdictions.</w:t>
      </w:r>
    </w:p>
    <w:p w:rsidR="00EE5C8D" w:rsidRPr="00A848F2" w:rsidRDefault="00EE5C8D" w:rsidP="00EE5C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C8D" w:rsidRPr="00A848F2" w:rsidTr="009A1E3B">
        <w:tc>
          <w:tcPr>
            <w:tcW w:w="8771" w:type="dxa"/>
            <w:tcBorders>
              <w:top w:val="single" w:sz="6" w:space="0" w:color="78A22F"/>
              <w:left w:val="nil"/>
              <w:bottom w:val="nil"/>
              <w:right w:val="nil"/>
            </w:tcBorders>
            <w:shd w:val="clear" w:color="auto" w:fill="auto"/>
          </w:tcPr>
          <w:p w:rsidR="00EE5C8D" w:rsidRPr="00A848F2" w:rsidRDefault="00EE5C8D" w:rsidP="009A1E3B">
            <w:pPr>
              <w:pStyle w:val="FigureTitle"/>
            </w:pPr>
            <w:r w:rsidRPr="00A848F2">
              <w:rPr>
                <w:b w:val="0"/>
              </w:rPr>
              <w:t xml:space="preserve">Figure </w:t>
            </w:r>
            <w:proofErr w:type="spellStart"/>
            <w:r w:rsidRPr="00A848F2">
              <w:rPr>
                <w:b w:val="0"/>
              </w:rPr>
              <w:t>C.</w:t>
            </w:r>
            <w:r w:rsidRPr="00A848F2">
              <w:rPr>
                <w:b w:val="0"/>
                <w:noProof/>
              </w:rPr>
              <w:t>1</w:t>
            </w:r>
            <w:proofErr w:type="spellEnd"/>
            <w:r w:rsidRPr="00A848F2">
              <w:tab/>
              <w:t>Flows through the criminal justice system</w:t>
            </w:r>
            <w:r w:rsidRPr="00A848F2">
              <w:rPr>
                <w:rStyle w:val="NoteLabel"/>
                <w:b/>
              </w:rPr>
              <w:t>a, b, c</w:t>
            </w:r>
          </w:p>
        </w:tc>
      </w:tr>
      <w:tr w:rsidR="00EE5C8D" w:rsidRPr="00A848F2" w:rsidTr="009A1E3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E5C8D" w:rsidRPr="00A848F2" w:rsidTr="009A1E3B">
              <w:tc>
                <w:tcPr>
                  <w:tcW w:w="5000" w:type="pct"/>
                  <w:tcBorders>
                    <w:top w:val="nil"/>
                    <w:bottom w:val="nil"/>
                  </w:tcBorders>
                </w:tcPr>
                <w:p w:rsidR="00EE5C8D" w:rsidRPr="00A848F2" w:rsidRDefault="00EE5C8D" w:rsidP="009A1E3B">
                  <w:pPr>
                    <w:pStyle w:val="Figure"/>
                    <w:spacing w:before="60" w:after="60"/>
                  </w:pPr>
                  <w:r w:rsidRPr="00A848F2">
                    <w:rPr>
                      <w:noProof/>
                    </w:rPr>
                    <w:drawing>
                      <wp:inline distT="0" distB="0" distL="0" distR="0" wp14:anchorId="5E0BEE8B" wp14:editId="0ACB41C9">
                        <wp:extent cx="5057775" cy="6457950"/>
                        <wp:effectExtent l="0" t="0" r="0" b="0"/>
                        <wp:docPr id="7" name="Picture 7" descr="Figure C.1 Flows through the criminal justice system&#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7775" cy="6457950"/>
                                </a:xfrm>
                                <a:prstGeom prst="rect">
                                  <a:avLst/>
                                </a:prstGeom>
                                <a:noFill/>
                                <a:ln>
                                  <a:noFill/>
                                </a:ln>
                              </pic:spPr>
                            </pic:pic>
                          </a:graphicData>
                        </a:graphic>
                      </wp:inline>
                    </w:drawing>
                  </w:r>
                </w:p>
              </w:tc>
            </w:tr>
          </w:tbl>
          <w:p w:rsidR="00EE5C8D" w:rsidRPr="00A848F2" w:rsidRDefault="00EE5C8D" w:rsidP="009A1E3B">
            <w:pPr>
              <w:pStyle w:val="Figure"/>
            </w:pPr>
          </w:p>
        </w:tc>
      </w:tr>
      <w:tr w:rsidR="00EE5C8D" w:rsidRPr="00A848F2" w:rsidTr="009A1E3B">
        <w:tc>
          <w:tcPr>
            <w:tcW w:w="8771" w:type="dxa"/>
            <w:tcBorders>
              <w:top w:val="nil"/>
              <w:left w:val="nil"/>
              <w:bottom w:val="nil"/>
              <w:right w:val="nil"/>
            </w:tcBorders>
            <w:shd w:val="clear" w:color="auto" w:fill="auto"/>
          </w:tcPr>
          <w:p w:rsidR="00EE5C8D" w:rsidRPr="00A848F2" w:rsidRDefault="00EE5C8D" w:rsidP="009A1E3B">
            <w:pPr>
              <w:pStyle w:val="Note"/>
            </w:pPr>
            <w:proofErr w:type="spellStart"/>
            <w:r w:rsidRPr="00A848F2">
              <w:rPr>
                <w:rStyle w:val="NoteLabel"/>
              </w:rPr>
              <w:t>a</w:t>
            </w:r>
            <w:proofErr w:type="spellEnd"/>
            <w:r w:rsidRPr="00A848F2">
              <w:t xml:space="preserve"> Does not account for all variations across Australian, State and Territory governments’ criminal justice systems. </w:t>
            </w:r>
            <w:r w:rsidRPr="00A848F2">
              <w:rPr>
                <w:rStyle w:val="NoteLabel"/>
              </w:rPr>
              <w:t>b</w:t>
            </w:r>
            <w:r w:rsidRPr="00A848F2">
              <w:t xml:space="preserve"> The flow diagram is indicative and does not seek to include all the complexities of the criminal justice system. </w:t>
            </w:r>
            <w:r w:rsidRPr="00A848F2">
              <w:rPr>
                <w:rStyle w:val="NoteLabel"/>
              </w:rPr>
              <w:t>c</w:t>
            </w:r>
            <w:r w:rsidRPr="00A848F2">
              <w:t xml:space="preserve"> Youth justice is covered in chapter 16.</w:t>
            </w:r>
          </w:p>
        </w:tc>
      </w:tr>
      <w:tr w:rsidR="00EE5C8D" w:rsidRPr="00A848F2" w:rsidTr="009A1E3B">
        <w:tc>
          <w:tcPr>
            <w:tcW w:w="8771" w:type="dxa"/>
            <w:tcBorders>
              <w:top w:val="single" w:sz="6" w:space="0" w:color="78A22F"/>
              <w:left w:val="nil"/>
              <w:bottom w:val="nil"/>
              <w:right w:val="nil"/>
            </w:tcBorders>
          </w:tcPr>
          <w:p w:rsidR="00EE5C8D" w:rsidRPr="00A848F2" w:rsidRDefault="00EE5C8D" w:rsidP="009A1E3B">
            <w:pPr>
              <w:pStyle w:val="BoxSpaceBelow"/>
            </w:pPr>
          </w:p>
        </w:tc>
      </w:tr>
    </w:tbl>
    <w:p w:rsidR="00EE5C8D" w:rsidRPr="00A848F2" w:rsidRDefault="00EE5C8D" w:rsidP="00EE5C8D">
      <w:pPr>
        <w:keepLines/>
        <w:spacing w:before="80" w:after="120" w:line="220" w:lineRule="exact"/>
        <w:jc w:val="both"/>
        <w:rPr>
          <w:rFonts w:ascii="Arial" w:hAnsi="Arial"/>
          <w:sz w:val="18"/>
          <w:szCs w:val="20"/>
        </w:rPr>
      </w:pPr>
      <w:r w:rsidRPr="00A848F2">
        <w:rPr>
          <w:rFonts w:ascii="Arial" w:hAnsi="Arial"/>
          <w:i/>
          <w:sz w:val="18"/>
          <w:szCs w:val="20"/>
        </w:rPr>
        <w:t>Source</w:t>
      </w:r>
      <w:r w:rsidRPr="00A848F2">
        <w:rPr>
          <w:rFonts w:ascii="Arial" w:hAnsi="Arial"/>
          <w:sz w:val="18"/>
          <w:szCs w:val="20"/>
        </w:rPr>
        <w:t xml:space="preserve">: 2015 Report, figure </w:t>
      </w:r>
      <w:proofErr w:type="spellStart"/>
      <w:r w:rsidRPr="00A848F2">
        <w:rPr>
          <w:rFonts w:ascii="Arial" w:hAnsi="Arial"/>
          <w:sz w:val="18"/>
          <w:szCs w:val="20"/>
        </w:rPr>
        <w:t>C.1</w:t>
      </w:r>
      <w:proofErr w:type="spellEnd"/>
      <w:r w:rsidRPr="00A848F2">
        <w:rPr>
          <w:rFonts w:ascii="Arial" w:hAnsi="Arial"/>
          <w:sz w:val="18"/>
          <w:szCs w:val="20"/>
        </w:rPr>
        <w:t xml:space="preserve">, p. </w:t>
      </w:r>
      <w:proofErr w:type="spellStart"/>
      <w:r w:rsidRPr="00A848F2">
        <w:rPr>
          <w:rFonts w:ascii="Arial" w:hAnsi="Arial"/>
          <w:sz w:val="18"/>
          <w:szCs w:val="20"/>
        </w:rPr>
        <w:t>C.5</w:t>
      </w:r>
      <w:proofErr w:type="spellEnd"/>
      <w:r w:rsidRPr="00A848F2">
        <w:rPr>
          <w:rFonts w:ascii="Arial" w:hAnsi="Arial"/>
          <w:sz w:val="18"/>
          <w:szCs w:val="20"/>
        </w:rPr>
        <w:t>.</w:t>
      </w:r>
    </w:p>
    <w:p w:rsidR="006925D6" w:rsidRPr="00A848F2" w:rsidRDefault="006925D6" w:rsidP="00AB7E72">
      <w:pPr>
        <w:pStyle w:val="Heading4"/>
      </w:pPr>
      <w:r w:rsidRPr="00A848F2">
        <w:lastRenderedPageBreak/>
        <w:t>Overview of the civil justice system</w:t>
      </w:r>
    </w:p>
    <w:p w:rsidR="006925D6" w:rsidRPr="00A848F2" w:rsidRDefault="006925D6" w:rsidP="00AB7E72">
      <w:pPr>
        <w:pStyle w:val="BodyText"/>
      </w:pPr>
      <w:r w:rsidRPr="00A848F2">
        <w:t>In the civil justice system, courts deal with civil law matters. The civil justice system involves the interaction of a number of practices, procedures and case management processes aimed at achieving fair, accessible and effectiv</w:t>
      </w:r>
      <w:r w:rsidR="00EE5C8D" w:rsidRPr="00A848F2">
        <w:t>e dispute resolution.</w:t>
      </w:r>
    </w:p>
    <w:p w:rsidR="006925D6" w:rsidRPr="00A848F2" w:rsidRDefault="006925D6" w:rsidP="00AB7E72">
      <w:pPr>
        <w:pStyle w:val="BodyText"/>
      </w:pPr>
      <w:r w:rsidRPr="00A848F2">
        <w:t>Courts are not the primary means by which people resolve their disputes. The vast majority of disputes are settled outside of the formal court system. Methods of resolution can include legal advice and help, internal complaint mechanisms, external dispute resolution and ombudsmen, tribunals, family dispute resolution services, and alternative dispute resolution processes such as mediation, negotiation and arbitration (Australian Government Attorney-General’s Department 2009).</w:t>
      </w:r>
    </w:p>
    <w:p w:rsidR="006925D6" w:rsidRDefault="006925D6" w:rsidP="00AB7E72">
      <w:pPr>
        <w:pStyle w:val="BodyText"/>
      </w:pPr>
      <w:r w:rsidRPr="00A848F2">
        <w:t xml:space="preserve">Figure </w:t>
      </w:r>
      <w:proofErr w:type="spellStart"/>
      <w:r w:rsidRPr="00A848F2">
        <w:t>C.2</w:t>
      </w:r>
      <w:proofErr w:type="spellEnd"/>
      <w:r w:rsidRPr="00A848F2">
        <w:t xml:space="preserve"> is an indicative model of the flows through the civil justice system; it has been simplified because specific steps are complex, vary between jurisdictions, and cannot all be captured in a single figure. While the emphasis in figure </w:t>
      </w:r>
      <w:proofErr w:type="spellStart"/>
      <w:r w:rsidRPr="00A848F2">
        <w:t>C.2</w:t>
      </w:r>
      <w:proofErr w:type="spellEnd"/>
      <w:r w:rsidRPr="00A848F2">
        <w:t xml:space="preserve"> is on the flow of disputes which proceed to court, the role of alternative dispute resolution processes is considerable in civil justice.</w:t>
      </w:r>
    </w:p>
    <w:p w:rsidR="007947A7" w:rsidRDefault="007947A7"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47A7" w:rsidTr="00F95957">
        <w:tc>
          <w:tcPr>
            <w:tcW w:w="8771" w:type="dxa"/>
            <w:tcBorders>
              <w:top w:val="single" w:sz="6" w:space="0" w:color="78A22F"/>
              <w:left w:val="nil"/>
              <w:bottom w:val="nil"/>
              <w:right w:val="nil"/>
            </w:tcBorders>
            <w:shd w:val="clear" w:color="auto" w:fill="auto"/>
          </w:tcPr>
          <w:p w:rsidR="007947A7" w:rsidRPr="00176D3F" w:rsidRDefault="007947A7" w:rsidP="007947A7">
            <w:pPr>
              <w:pStyle w:val="FigureTitle"/>
            </w:pPr>
            <w:r w:rsidRPr="00784A05">
              <w:rPr>
                <w:b w:val="0"/>
              </w:rPr>
              <w:t xml:space="preserve">Figure </w:t>
            </w:r>
            <w:proofErr w:type="spellStart"/>
            <w:r>
              <w:rPr>
                <w:b w:val="0"/>
              </w:rPr>
              <w:t>C.2</w:t>
            </w:r>
            <w:proofErr w:type="spellEnd"/>
            <w:r>
              <w:tab/>
            </w:r>
            <w:r w:rsidRPr="00A848F2">
              <w:t>Flows through the civil justice system</w:t>
            </w:r>
            <w:r w:rsidRPr="00A848F2">
              <w:rPr>
                <w:position w:val="6"/>
                <w:sz w:val="18"/>
              </w:rPr>
              <w:t>a, b</w:t>
            </w:r>
          </w:p>
        </w:tc>
      </w:tr>
      <w:tr w:rsidR="007947A7"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947A7" w:rsidTr="00D27860">
              <w:trPr>
                <w:jc w:val="center"/>
              </w:trPr>
              <w:tc>
                <w:tcPr>
                  <w:tcW w:w="5000" w:type="pct"/>
                  <w:tcBorders>
                    <w:top w:val="nil"/>
                    <w:bottom w:val="nil"/>
                  </w:tcBorders>
                </w:tcPr>
                <w:p w:rsidR="007947A7" w:rsidRDefault="007947A7" w:rsidP="007C17A6">
                  <w:pPr>
                    <w:pStyle w:val="Figure"/>
                    <w:spacing w:before="60" w:after="60"/>
                  </w:pPr>
                  <w:r w:rsidRPr="00A848F2">
                    <w:rPr>
                      <w:noProof/>
                    </w:rPr>
                    <w:drawing>
                      <wp:inline distT="0" distB="0" distL="0" distR="0" wp14:anchorId="1D0BD0F8" wp14:editId="695C8DF0">
                        <wp:extent cx="5391150" cy="5962650"/>
                        <wp:effectExtent l="0" t="0" r="0" b="0"/>
                        <wp:docPr id="1" name="Picture 1"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tc>
            </w:tr>
          </w:tbl>
          <w:p w:rsidR="007947A7" w:rsidRDefault="007947A7" w:rsidP="00176D3F">
            <w:pPr>
              <w:pStyle w:val="Figure"/>
            </w:pPr>
          </w:p>
        </w:tc>
      </w:tr>
      <w:tr w:rsidR="007947A7" w:rsidRPr="00176D3F" w:rsidTr="00F95957">
        <w:tc>
          <w:tcPr>
            <w:tcW w:w="8771" w:type="dxa"/>
            <w:tcBorders>
              <w:top w:val="nil"/>
              <w:left w:val="nil"/>
              <w:bottom w:val="nil"/>
              <w:right w:val="nil"/>
            </w:tcBorders>
            <w:shd w:val="clear" w:color="auto" w:fill="auto"/>
          </w:tcPr>
          <w:p w:rsidR="007947A7" w:rsidRPr="00176D3F" w:rsidRDefault="007947A7" w:rsidP="007947A7">
            <w:pPr>
              <w:pStyle w:val="Note"/>
            </w:pPr>
            <w:proofErr w:type="spellStart"/>
            <w:r w:rsidRPr="00A848F2">
              <w:rPr>
                <w:b/>
                <w:position w:val="6"/>
              </w:rPr>
              <w:t>a</w:t>
            </w:r>
            <w:proofErr w:type="spellEnd"/>
            <w:r w:rsidRPr="00A848F2">
              <w:rPr>
                <w:b/>
                <w:position w:val="6"/>
              </w:rPr>
              <w:t xml:space="preserve"> </w:t>
            </w:r>
            <w:r w:rsidRPr="00A848F2">
              <w:t xml:space="preserve">Does not account for all variations across Australian, State and Territory governments’ civil justice systems. </w:t>
            </w:r>
            <w:r w:rsidRPr="00A848F2">
              <w:rPr>
                <w:rStyle w:val="NoteLabel"/>
              </w:rPr>
              <w:t>b</w:t>
            </w:r>
            <w:r w:rsidRPr="00A848F2">
              <w:rPr>
                <w:b/>
                <w:position w:val="6"/>
              </w:rPr>
              <w:t xml:space="preserve"> </w:t>
            </w:r>
            <w:r w:rsidRPr="00A848F2">
              <w:t>The flow diagram is indicative and does not seek to include all the complexities of the civil justice system.</w:t>
            </w:r>
          </w:p>
        </w:tc>
      </w:tr>
      <w:tr w:rsidR="007947A7" w:rsidRPr="00176D3F" w:rsidTr="00F95957">
        <w:tc>
          <w:tcPr>
            <w:tcW w:w="8771" w:type="dxa"/>
            <w:tcBorders>
              <w:top w:val="nil"/>
              <w:left w:val="nil"/>
              <w:bottom w:val="nil"/>
              <w:right w:val="nil"/>
            </w:tcBorders>
            <w:shd w:val="clear" w:color="auto" w:fill="auto"/>
          </w:tcPr>
          <w:p w:rsidR="007947A7" w:rsidRPr="00176D3F" w:rsidRDefault="007947A7" w:rsidP="007947A7">
            <w:pPr>
              <w:pStyle w:val="Source"/>
            </w:pPr>
            <w:r>
              <w:rPr>
                <w:i/>
              </w:rPr>
              <w:t>S</w:t>
            </w:r>
            <w:r w:rsidRPr="00784A05">
              <w:rPr>
                <w:i/>
              </w:rPr>
              <w:t>ource</w:t>
            </w:r>
            <w:r w:rsidRPr="00176D3F">
              <w:t xml:space="preserve">: </w:t>
            </w:r>
            <w:r w:rsidRPr="00A848F2">
              <w:t xml:space="preserve">2015 Report, figure </w:t>
            </w:r>
            <w:proofErr w:type="spellStart"/>
            <w:r w:rsidRPr="00A848F2">
              <w:t>C.2</w:t>
            </w:r>
            <w:proofErr w:type="spellEnd"/>
            <w:r w:rsidRPr="00A848F2">
              <w:t xml:space="preserve">, p. </w:t>
            </w:r>
            <w:proofErr w:type="spellStart"/>
            <w:r w:rsidRPr="00A848F2">
              <w:t>C.7</w:t>
            </w:r>
            <w:proofErr w:type="spellEnd"/>
            <w:r w:rsidRPr="00A848F2">
              <w:t>.</w:t>
            </w:r>
          </w:p>
        </w:tc>
      </w:tr>
      <w:tr w:rsidR="007947A7" w:rsidTr="00F95957">
        <w:tc>
          <w:tcPr>
            <w:tcW w:w="8771" w:type="dxa"/>
            <w:tcBorders>
              <w:top w:val="nil"/>
              <w:left w:val="nil"/>
              <w:bottom w:val="single" w:sz="6" w:space="0" w:color="78A22F"/>
              <w:right w:val="nil"/>
            </w:tcBorders>
            <w:shd w:val="clear" w:color="auto" w:fill="auto"/>
          </w:tcPr>
          <w:p w:rsidR="007947A7" w:rsidRDefault="007947A7" w:rsidP="00176D3F">
            <w:pPr>
              <w:pStyle w:val="Figurespace"/>
            </w:pPr>
          </w:p>
        </w:tc>
      </w:tr>
      <w:tr w:rsidR="007947A7" w:rsidRPr="000863A5" w:rsidTr="00215A8A">
        <w:tc>
          <w:tcPr>
            <w:tcW w:w="8771" w:type="dxa"/>
            <w:tcBorders>
              <w:top w:val="single" w:sz="6" w:space="0" w:color="78A22F"/>
              <w:left w:val="nil"/>
              <w:bottom w:val="nil"/>
              <w:right w:val="nil"/>
            </w:tcBorders>
          </w:tcPr>
          <w:p w:rsidR="007947A7" w:rsidRPr="00626D32" w:rsidRDefault="007947A7" w:rsidP="00176D3F">
            <w:pPr>
              <w:pStyle w:val="BoxSpaceBelow"/>
            </w:pPr>
          </w:p>
        </w:tc>
      </w:tr>
    </w:tbl>
    <w:p w:rsidR="006925D6" w:rsidRPr="00A848F2" w:rsidRDefault="006925D6" w:rsidP="00AB7E72">
      <w:pPr>
        <w:pStyle w:val="Heading3"/>
      </w:pPr>
      <w:bookmarkStart w:id="10" w:name="_Toc300668511"/>
      <w:bookmarkStart w:id="11" w:name="_Toc410737118"/>
      <w:bookmarkStart w:id="12" w:name="_GoBack"/>
      <w:bookmarkEnd w:id="12"/>
      <w:r w:rsidRPr="00A848F2">
        <w:lastRenderedPageBreak/>
        <w:t>Social and economic factors affecting demand for services</w:t>
      </w:r>
      <w:bookmarkEnd w:id="10"/>
      <w:bookmarkEnd w:id="11"/>
    </w:p>
    <w:p w:rsidR="006925D6" w:rsidRPr="00A848F2" w:rsidRDefault="006925D6" w:rsidP="00AB7E72">
      <w:pPr>
        <w:pStyle w:val="Heading4"/>
      </w:pPr>
      <w:r w:rsidRPr="00A848F2">
        <w:t>Civil jurisdiction</w:t>
      </w:r>
    </w:p>
    <w:p w:rsidR="006925D6" w:rsidRPr="00A848F2" w:rsidRDefault="006925D6" w:rsidP="00AB7E72">
      <w:pPr>
        <w:pStyle w:val="BodyText"/>
      </w:pPr>
      <w:r w:rsidRPr="00A848F2">
        <w:t>Demand for civil justice services is influenced by the types of legal issues people experience, which in turn are influenced by social and economic factors. Demand also varies with the way in which people respond to legal issues — do nothing, deal with the issue independently or seek advice or legal assistance (Australian Government Attorney-General’s Department 2009). A survey of legal needs undertaken in New South Wales in 2003 (Law and Justice Foundation 2006) found that in disadvantaged areas, legal needs for civil issues were generally higher for people with chronic illness or disability. Age, Indigenous status and personal income also had varying influences on both the type of legal issue experienced and whether people chose to seek assistance.</w:t>
      </w:r>
    </w:p>
    <w:p w:rsidR="006925D6" w:rsidRPr="00A848F2" w:rsidRDefault="006925D6" w:rsidP="00AB7E72">
      <w:pPr>
        <w:pStyle w:val="BodyText"/>
      </w:pPr>
      <w:r w:rsidRPr="00A848F2">
        <w:t>In addition to expenditure by State and Territory governments on civil justice, the Australian Government contributes substantially to the federal civil justice system. In 2007-08 over $1 billion was spent on federal civil courts, tribunals, legal aid, programs for Aboriginal and Torres Strait Islander Austral</w:t>
      </w:r>
      <w:r w:rsidR="00A848F2" w:rsidRPr="00A848F2">
        <w:t>ians, community legal centres, C</w:t>
      </w:r>
      <w:r w:rsidRPr="00A848F2">
        <w:t>ommo</w:t>
      </w:r>
      <w:r w:rsidR="00A848F2" w:rsidRPr="00A848F2">
        <w:t>nwealth O</w:t>
      </w:r>
      <w:r w:rsidRPr="00A848F2">
        <w:t>mbudsman, and insolvency and trustee services (Australian Government Attorney-General’s Department 2009). Expenditure on the federal courts (the High Court, the Federal Court of Australia, the Family Court and the Federal Circuit Court) comprised just over a quarter of the total federal gross expenditure on civil justice.</w:t>
      </w:r>
    </w:p>
    <w:p w:rsidR="006925D6" w:rsidRPr="00A848F2" w:rsidRDefault="006925D6" w:rsidP="00AB7E72">
      <w:pPr>
        <w:pStyle w:val="BodyText"/>
      </w:pPr>
      <w:r w:rsidRPr="00A848F2">
        <w:t>Courts are not the primary means by which people resolve disputes and in many cases courts are not the appropriate avenue to do so. The Australian Government is committed to improving access to justice for civil litigants by making the federal civil justice system less complex and more accessible. The Attorney-General’s Department is responsible for coordinating government policy and projects that will improve access to justice for all Australians.</w:t>
      </w:r>
    </w:p>
    <w:p w:rsidR="006925D6" w:rsidRPr="00A848F2" w:rsidRDefault="006925D6" w:rsidP="00AB7E72">
      <w:pPr>
        <w:pStyle w:val="Heading3"/>
        <w:rPr>
          <w:sz w:val="32"/>
        </w:rPr>
      </w:pPr>
      <w:bookmarkStart w:id="13" w:name="_Toc300668517"/>
      <w:bookmarkStart w:id="14" w:name="_Toc306118724"/>
      <w:bookmarkStart w:id="15" w:name="_Toc410737119"/>
      <w:r w:rsidRPr="00A848F2">
        <w:t>Cross-cutting and interface issues</w:t>
      </w:r>
      <w:bookmarkEnd w:id="13"/>
      <w:bookmarkEnd w:id="14"/>
      <w:bookmarkEnd w:id="15"/>
    </w:p>
    <w:p w:rsidR="006925D6" w:rsidRPr="00A848F2" w:rsidRDefault="006925D6" w:rsidP="00AB7E72">
      <w:pPr>
        <w:pStyle w:val="BodyText"/>
      </w:pPr>
      <w:r w:rsidRPr="00A848F2">
        <w:t>Although service areas are represented in separate chapters in this Report, performance results are to some extent inter</w:t>
      </w:r>
      <w:r w:rsidR="00A848F2" w:rsidRPr="00A848F2">
        <w:t>-</w:t>
      </w:r>
      <w:r w:rsidRPr="00A848F2">
        <w:t>dependent. Changes to the functions and operations of each element of the justice system can affect the other parts of the system, for example, the effect of:</w:t>
      </w:r>
    </w:p>
    <w:p w:rsidR="006925D6" w:rsidRPr="00A848F2" w:rsidRDefault="006925D6" w:rsidP="002B76B2">
      <w:pPr>
        <w:pStyle w:val="ListBullet"/>
        <w:rPr>
          <w:lang w:val="en-US" w:eastAsia="en-US"/>
        </w:rPr>
      </w:pPr>
      <w:r w:rsidRPr="00A848F2">
        <w:rPr>
          <w:lang w:val="en-US" w:eastAsia="en-US"/>
        </w:rPr>
        <w:t>police services on the courts through the implementation of initiatives such as police cautions and other diversionary strategies</w:t>
      </w:r>
    </w:p>
    <w:p w:rsidR="006925D6" w:rsidRPr="00A848F2" w:rsidRDefault="006925D6" w:rsidP="002B76B2">
      <w:pPr>
        <w:pStyle w:val="ListBullet"/>
        <w:rPr>
          <w:lang w:val="en-US" w:eastAsia="en-US"/>
        </w:rPr>
      </w:pPr>
      <w:r w:rsidRPr="00A848F2">
        <w:rPr>
          <w:lang w:val="en-US" w:eastAsia="en-US"/>
        </w:rPr>
        <w:t>police and courts on corrective services, such as use of court diversion schemes, bail and the range of sentencing options available</w:t>
      </w:r>
    </w:p>
    <w:p w:rsidR="006925D6" w:rsidRPr="00A848F2" w:rsidRDefault="006925D6" w:rsidP="002B76B2">
      <w:pPr>
        <w:pStyle w:val="ListBullet"/>
        <w:rPr>
          <w:lang w:val="en-US" w:eastAsia="en-US"/>
        </w:rPr>
      </w:pPr>
      <w:r w:rsidRPr="00A848F2">
        <w:rPr>
          <w:lang w:val="en-US" w:eastAsia="en-US"/>
        </w:rPr>
        <w:t>correctional systems’ services on courts sentencing decisions through court advice services.</w:t>
      </w:r>
    </w:p>
    <w:p w:rsidR="002B76B2" w:rsidRPr="00A848F2" w:rsidRDefault="002B76B2" w:rsidP="002B76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B76B2" w:rsidRPr="00A848F2" w:rsidTr="002F4D83">
        <w:trPr>
          <w:trHeight w:val="136"/>
        </w:trPr>
        <w:tc>
          <w:tcPr>
            <w:tcW w:w="8767" w:type="dxa"/>
            <w:tcBorders>
              <w:top w:val="single" w:sz="6" w:space="0" w:color="78A22F"/>
              <w:left w:val="nil"/>
              <w:bottom w:val="nil"/>
              <w:right w:val="nil"/>
            </w:tcBorders>
            <w:shd w:val="clear" w:color="auto" w:fill="auto"/>
          </w:tcPr>
          <w:p w:rsidR="002B76B2" w:rsidRPr="00A848F2" w:rsidRDefault="002B76B2" w:rsidP="009A1E3B">
            <w:pPr>
              <w:pStyle w:val="FigureTitle"/>
            </w:pPr>
            <w:r w:rsidRPr="00A848F2">
              <w:rPr>
                <w:b w:val="0"/>
              </w:rPr>
              <w:t xml:space="preserve">Figure </w:t>
            </w:r>
            <w:proofErr w:type="spellStart"/>
            <w:r w:rsidRPr="00A848F2">
              <w:rPr>
                <w:b w:val="0"/>
              </w:rPr>
              <w:t>C.</w:t>
            </w:r>
            <w:r w:rsidRPr="00A848F2">
              <w:rPr>
                <w:b w:val="0"/>
                <w:noProof/>
              </w:rPr>
              <w:t>3</w:t>
            </w:r>
            <w:proofErr w:type="spellEnd"/>
            <w:r w:rsidRPr="00A848F2">
              <w:tab/>
              <w:t>Criminal and civil justice sector performance indicator framework</w:t>
            </w:r>
          </w:p>
        </w:tc>
      </w:tr>
      <w:tr w:rsidR="002B76B2" w:rsidRPr="00A848F2" w:rsidTr="002F4D83">
        <w:trPr>
          <w:trHeight w:val="12106"/>
        </w:trPr>
        <w:tc>
          <w:tcPr>
            <w:tcW w:w="8767" w:type="dxa"/>
            <w:tcBorders>
              <w:top w:val="nil"/>
              <w:left w:val="nil"/>
              <w:bottom w:val="nil"/>
              <w:right w:val="nil"/>
            </w:tcBorders>
            <w:shd w:val="clear" w:color="auto" w:fill="auto"/>
            <w:tcMar>
              <w:top w:w="28" w:type="dxa"/>
              <w:bottom w:w="28" w:type="dxa"/>
            </w:tcMar>
          </w:tcPr>
          <w:p w:rsidR="002B76B2" w:rsidRPr="00A848F2" w:rsidRDefault="002B76B2" w:rsidP="009A1E3B">
            <w:r w:rsidRPr="00A848F2">
              <w:rPr>
                <w:noProof/>
              </w:rPr>
              <w:drawing>
                <wp:inline distT="0" distB="0" distL="0" distR="0" wp14:anchorId="5EB7C35D" wp14:editId="4ACEBAEC">
                  <wp:extent cx="5486400" cy="7666075"/>
                  <wp:effectExtent l="0" t="0" r="0" b="0"/>
                  <wp:docPr id="11" name="Picture 11" descr="Figure C.3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90172" cy="7671346"/>
                          </a:xfrm>
                          <a:prstGeom prst="rect">
                            <a:avLst/>
                          </a:prstGeom>
                        </pic:spPr>
                      </pic:pic>
                    </a:graphicData>
                  </a:graphic>
                </wp:inline>
              </w:drawing>
            </w:r>
          </w:p>
        </w:tc>
      </w:tr>
      <w:tr w:rsidR="002F4D83" w:rsidRPr="00A848F2" w:rsidTr="002F4D83">
        <w:tc>
          <w:tcPr>
            <w:tcW w:w="8771" w:type="dxa"/>
            <w:tcBorders>
              <w:top w:val="nil"/>
              <w:left w:val="nil"/>
              <w:bottom w:val="single" w:sz="4" w:space="0" w:color="78A22F" w:themeColor="accent1"/>
              <w:right w:val="nil"/>
            </w:tcBorders>
            <w:shd w:val="clear" w:color="auto" w:fill="auto"/>
          </w:tcPr>
          <w:p w:rsidR="002F4D83" w:rsidRPr="00A848F2" w:rsidRDefault="002F4D83" w:rsidP="003E0678">
            <w:pPr>
              <w:pStyle w:val="Source"/>
              <w:rPr>
                <w:b/>
                <w:position w:val="6"/>
              </w:rPr>
            </w:pPr>
            <w:r w:rsidRPr="00A848F2">
              <w:rPr>
                <w:i/>
              </w:rPr>
              <w:t>Source</w:t>
            </w:r>
            <w:r w:rsidRPr="00A848F2">
              <w:t xml:space="preserve">: 2015 Report, figure </w:t>
            </w:r>
            <w:proofErr w:type="spellStart"/>
            <w:r w:rsidRPr="00A848F2">
              <w:t>C.3</w:t>
            </w:r>
            <w:proofErr w:type="spellEnd"/>
            <w:r w:rsidRPr="00A848F2">
              <w:t xml:space="preserve">, p. </w:t>
            </w:r>
            <w:proofErr w:type="spellStart"/>
            <w:r w:rsidRPr="00A848F2">
              <w:t>C.14</w:t>
            </w:r>
            <w:proofErr w:type="spellEnd"/>
            <w:r w:rsidRPr="00A848F2">
              <w:t>.</w:t>
            </w:r>
          </w:p>
        </w:tc>
      </w:tr>
      <w:tr w:rsidR="002B76B2" w:rsidRPr="00A848F2" w:rsidTr="002F4D83">
        <w:trPr>
          <w:trHeight w:val="185"/>
        </w:trPr>
        <w:tc>
          <w:tcPr>
            <w:tcW w:w="8767" w:type="dxa"/>
            <w:tcBorders>
              <w:top w:val="single" w:sz="4" w:space="0" w:color="78A22F" w:themeColor="accent1"/>
              <w:left w:val="nil"/>
              <w:bottom w:val="nil"/>
              <w:right w:val="nil"/>
            </w:tcBorders>
          </w:tcPr>
          <w:p w:rsidR="002B76B2" w:rsidRPr="00A848F2" w:rsidRDefault="002B76B2" w:rsidP="009A1E3B">
            <w:pPr>
              <w:pStyle w:val="BoxSpaceBelow"/>
            </w:pPr>
          </w:p>
        </w:tc>
      </w:tr>
    </w:tbl>
    <w:p w:rsidR="002B76B2" w:rsidRPr="00A848F2" w:rsidRDefault="00427DF8" w:rsidP="002B76B2">
      <w:pPr>
        <w:pStyle w:val="Heading3"/>
      </w:pPr>
      <w:bookmarkStart w:id="16" w:name="_Toc347742031"/>
      <w:bookmarkStart w:id="17" w:name="_Toc380390128"/>
      <w:bookmarkStart w:id="18" w:name="_Toc410737120"/>
      <w:r>
        <w:lastRenderedPageBreak/>
        <w:t xml:space="preserve">Aboriginal and Torres Strait Islander </w:t>
      </w:r>
      <w:r w:rsidR="002B76B2" w:rsidRPr="00A848F2">
        <w:t xml:space="preserve">data in the Justice sector </w:t>
      </w:r>
      <w:bookmarkEnd w:id="16"/>
      <w:r w:rsidR="002B76B2" w:rsidRPr="00A848F2">
        <w:t>overview</w:t>
      </w:r>
      <w:bookmarkEnd w:id="17"/>
      <w:bookmarkEnd w:id="18"/>
    </w:p>
    <w:p w:rsidR="002B76B2" w:rsidRPr="00A848F2" w:rsidRDefault="002B76B2" w:rsidP="002B76B2">
      <w:pPr>
        <w:pStyle w:val="BodyText"/>
      </w:pPr>
      <w:r w:rsidRPr="00A848F2">
        <w:t xml:space="preserve">The Justice sector overview in the 2015 Report contains no specific data items on </w:t>
      </w:r>
      <w:r w:rsidR="00427DF8">
        <w:t xml:space="preserve">Aboriginal and Torres Strait Islander </w:t>
      </w:r>
      <w:r w:rsidRPr="00A848F2">
        <w:t>Australians.</w:t>
      </w:r>
    </w:p>
    <w:p w:rsidR="002B76B2" w:rsidRPr="00A848F2" w:rsidRDefault="002B76B2" w:rsidP="002B76B2">
      <w:pPr>
        <w:pStyle w:val="BodyText"/>
      </w:pPr>
      <w:r w:rsidRPr="00A848F2">
        <w:t xml:space="preserve">Indigenous reporting on service-specific performance indicator frameworks for police services (chapter 6) and corrective services (chapter 8) are in the subsequent chapters of this Compendium. There is no </w:t>
      </w:r>
      <w:r w:rsidR="00427DF8">
        <w:t xml:space="preserve">Aboriginal and Torres Strait Islander </w:t>
      </w:r>
      <w:r w:rsidRPr="00A848F2">
        <w:t>reporting in the courts chapter (chapter 7).</w:t>
      </w:r>
    </w:p>
    <w:p w:rsidR="006925D6" w:rsidRPr="00A848F2" w:rsidRDefault="006925D6" w:rsidP="002B76B2">
      <w:pPr>
        <w:pStyle w:val="Heading3"/>
      </w:pPr>
      <w:bookmarkStart w:id="19" w:name="_Toc245529196"/>
      <w:bookmarkStart w:id="20" w:name="_Toc300668521"/>
      <w:bookmarkStart w:id="21" w:name="_Toc306118727"/>
      <w:bookmarkStart w:id="22" w:name="_Toc410737121"/>
      <w:r w:rsidRPr="00A848F2">
        <w:t>References</w:t>
      </w:r>
      <w:bookmarkEnd w:id="19"/>
      <w:bookmarkEnd w:id="20"/>
      <w:bookmarkEnd w:id="21"/>
      <w:bookmarkEnd w:id="22"/>
    </w:p>
    <w:p w:rsidR="00312086" w:rsidRPr="00A848F2" w:rsidRDefault="00312086" w:rsidP="00312086">
      <w:pPr>
        <w:pStyle w:val="Reference"/>
      </w:pPr>
      <w:r w:rsidRPr="00A848F2">
        <w:t xml:space="preserve">Australian Government Attorney-General’s Department 2009, </w:t>
      </w:r>
      <w:r w:rsidRPr="00A848F2">
        <w:rPr>
          <w:i/>
        </w:rPr>
        <w:t>A strategic framework for access to justice in the federal civil justice system</w:t>
      </w:r>
      <w:r w:rsidRPr="00A848F2">
        <w:t>. Report by the Access to Justice Taskforce, Canberra.</w:t>
      </w:r>
    </w:p>
    <w:p w:rsidR="00312086" w:rsidRPr="00A848F2" w:rsidRDefault="00312086" w:rsidP="00312086">
      <w:pPr>
        <w:pStyle w:val="Reference"/>
      </w:pPr>
      <w:r w:rsidRPr="00A848F2">
        <w:t xml:space="preserve">Law and Justice Foundation of NSW 2006, </w:t>
      </w:r>
      <w:r w:rsidRPr="00A848F2">
        <w:rPr>
          <w:i/>
        </w:rPr>
        <w:t xml:space="preserve">Justice made to measure: NSW legal needs survey in disadvantaged areas. </w:t>
      </w:r>
      <w:r w:rsidRPr="00A848F2">
        <w:t>Report on access to justice and legal needs vol. 3, NSW.</w:t>
      </w:r>
    </w:p>
    <w:p w:rsidR="00312086" w:rsidRPr="00A848F2" w:rsidRDefault="00312086" w:rsidP="004E4DE7">
      <w:pPr>
        <w:shd w:val="clear" w:color="auto" w:fill="FFFFFF" w:themeFill="background1"/>
        <w:spacing w:before="120" w:line="320" w:lineRule="atLeast"/>
        <w:ind w:left="340" w:hanging="340"/>
        <w:jc w:val="both"/>
        <w:rPr>
          <w:highlight w:val="yellow"/>
        </w:rPr>
      </w:pPr>
    </w:p>
    <w:sectPr w:rsidR="00312086" w:rsidRPr="00A848F2" w:rsidSect="00AB7E72">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38A" w:rsidRDefault="00E8338A">
      <w:r>
        <w:separator/>
      </w:r>
    </w:p>
  </w:endnote>
  <w:endnote w:type="continuationSeparator" w:id="0">
    <w:p w:rsidR="00E8338A" w:rsidRDefault="00E8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338A" w:rsidTr="001E414C">
      <w:trPr>
        <w:trHeight w:hRule="exact" w:val="567"/>
      </w:trPr>
      <w:tc>
        <w:tcPr>
          <w:tcW w:w="510" w:type="dxa"/>
        </w:tcPr>
        <w:p w:rsidR="00E8338A" w:rsidRPr="00A24443" w:rsidRDefault="009E799F"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5A46B5">
            <w:rPr>
              <w:rStyle w:val="PageNumber"/>
            </w:rPr>
            <w:t>C.</w:t>
          </w:r>
          <w:r>
            <w:rPr>
              <w:rStyle w:val="PageNumber"/>
            </w:rPr>
            <w:fldChar w:fldCharType="end"/>
          </w:r>
          <w:proofErr w:type="spellEnd"/>
          <w:r w:rsidR="00E8338A">
            <w:rPr>
              <w:rStyle w:val="PageNumber"/>
            </w:rPr>
            <w:fldChar w:fldCharType="begin"/>
          </w:r>
          <w:r w:rsidR="00E8338A">
            <w:rPr>
              <w:rStyle w:val="PageNumber"/>
            </w:rPr>
            <w:instrText xml:space="preserve">PAGE  </w:instrText>
          </w:r>
          <w:r w:rsidR="00E8338A">
            <w:rPr>
              <w:rStyle w:val="PageNumber"/>
            </w:rPr>
            <w:fldChar w:fldCharType="separate"/>
          </w:r>
          <w:r w:rsidR="00180D82">
            <w:rPr>
              <w:rStyle w:val="PageNumber"/>
              <w:noProof/>
            </w:rPr>
            <w:t>8</w:t>
          </w:r>
          <w:r w:rsidR="00E8338A">
            <w:rPr>
              <w:rStyle w:val="PageNumber"/>
            </w:rPr>
            <w:fldChar w:fldCharType="end"/>
          </w:r>
        </w:p>
      </w:tc>
      <w:tc>
        <w:tcPr>
          <w:tcW w:w="7767" w:type="dxa"/>
        </w:tcPr>
        <w:p w:rsidR="00E8338A" w:rsidRPr="0013739A" w:rsidRDefault="009E799F" w:rsidP="001E414C">
          <w:pPr>
            <w:pStyle w:val="Footer"/>
            <w:rPr>
              <w:rFonts w:cs="Arial"/>
            </w:rPr>
          </w:pPr>
          <w:r>
            <w:rPr>
              <w:rFonts w:cs="Arial"/>
            </w:rPr>
            <w:t>Report on Government Services 2015</w:t>
          </w:r>
          <w:bookmarkStart w:id="23" w:name="DraftReportEven"/>
          <w:bookmarkEnd w:id="23"/>
        </w:p>
      </w:tc>
      <w:tc>
        <w:tcPr>
          <w:tcW w:w="510" w:type="dxa"/>
        </w:tcPr>
        <w:p w:rsidR="00E8338A" w:rsidRDefault="00E8338A" w:rsidP="0019293B">
          <w:pPr>
            <w:pStyle w:val="Footer"/>
          </w:pPr>
        </w:p>
      </w:tc>
    </w:tr>
  </w:tbl>
  <w:p w:rsidR="00E8338A" w:rsidRDefault="00E8338A" w:rsidP="0019293B">
    <w:pPr>
      <w:pStyle w:val="FooterEnd"/>
    </w:pPr>
  </w:p>
  <w:p w:rsidR="00E8338A" w:rsidRDefault="00E8338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338A" w:rsidTr="001E414C">
      <w:trPr>
        <w:trHeight w:hRule="exact" w:val="567"/>
      </w:trPr>
      <w:tc>
        <w:tcPr>
          <w:tcW w:w="510" w:type="dxa"/>
        </w:tcPr>
        <w:p w:rsidR="00E8338A" w:rsidRDefault="00E8338A">
          <w:pPr>
            <w:pStyle w:val="Footer"/>
            <w:ind w:right="360" w:firstLine="360"/>
          </w:pPr>
          <w:bookmarkStart w:id="24" w:name="_AppendixByChapter"/>
          <w:bookmarkEnd w:id="24"/>
        </w:p>
      </w:tc>
      <w:tc>
        <w:tcPr>
          <w:tcW w:w="7767" w:type="dxa"/>
        </w:tcPr>
        <w:p w:rsidR="00E8338A" w:rsidRPr="00BA5B14" w:rsidRDefault="009E799F" w:rsidP="001E414C">
          <w:pPr>
            <w:pStyle w:val="Footer"/>
            <w:jc w:val="right"/>
            <w:rPr>
              <w:rFonts w:cs="Arial"/>
            </w:rPr>
          </w:pPr>
          <w:r>
            <w:rPr>
              <w:rFonts w:cs="Arial"/>
            </w:rPr>
            <w:t>Indigenous Compendium 2015</w:t>
          </w:r>
        </w:p>
      </w:tc>
      <w:tc>
        <w:tcPr>
          <w:tcW w:w="510" w:type="dxa"/>
        </w:tcPr>
        <w:p w:rsidR="00E8338A" w:rsidRPr="00A24443" w:rsidRDefault="009E799F">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5A46B5">
            <w:rPr>
              <w:rStyle w:val="PageNumber"/>
            </w:rPr>
            <w:t>C.</w:t>
          </w:r>
          <w:r>
            <w:rPr>
              <w:rStyle w:val="PageNumber"/>
            </w:rPr>
            <w:fldChar w:fldCharType="end"/>
          </w:r>
          <w:proofErr w:type="spellEnd"/>
          <w:r w:rsidR="00E8338A">
            <w:rPr>
              <w:rStyle w:val="PageNumber"/>
            </w:rPr>
            <w:fldChar w:fldCharType="begin"/>
          </w:r>
          <w:r w:rsidR="00E8338A">
            <w:rPr>
              <w:rStyle w:val="PageNumber"/>
            </w:rPr>
            <w:instrText xml:space="preserve">PAGE  </w:instrText>
          </w:r>
          <w:r w:rsidR="00E8338A">
            <w:rPr>
              <w:rStyle w:val="PageNumber"/>
            </w:rPr>
            <w:fldChar w:fldCharType="separate"/>
          </w:r>
          <w:r w:rsidR="00180D82">
            <w:rPr>
              <w:rStyle w:val="PageNumber"/>
              <w:noProof/>
            </w:rPr>
            <w:t>7</w:t>
          </w:r>
          <w:r w:rsidR="00E8338A">
            <w:rPr>
              <w:rStyle w:val="PageNumber"/>
            </w:rPr>
            <w:fldChar w:fldCharType="end"/>
          </w:r>
        </w:p>
      </w:tc>
    </w:tr>
  </w:tbl>
  <w:p w:rsidR="00E8338A" w:rsidRDefault="00E8338A">
    <w:pPr>
      <w:pStyle w:val="FooterEnd"/>
    </w:pPr>
  </w:p>
  <w:p w:rsidR="00E8338A" w:rsidRDefault="00E8338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38A" w:rsidRDefault="00E8338A">
      <w:r>
        <w:separator/>
      </w:r>
    </w:p>
  </w:footnote>
  <w:footnote w:type="continuationSeparator" w:id="0">
    <w:p w:rsidR="00E8338A" w:rsidRDefault="00E83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338A">
      <w:tc>
        <w:tcPr>
          <w:tcW w:w="2155" w:type="dxa"/>
          <w:tcBorders>
            <w:top w:val="single" w:sz="24" w:space="0" w:color="auto"/>
          </w:tcBorders>
        </w:tcPr>
        <w:p w:rsidR="00E8338A" w:rsidRDefault="00E8338A" w:rsidP="0019293B">
          <w:pPr>
            <w:pStyle w:val="HeaderEven"/>
          </w:pPr>
        </w:p>
      </w:tc>
      <w:tc>
        <w:tcPr>
          <w:tcW w:w="6634" w:type="dxa"/>
          <w:tcBorders>
            <w:top w:val="single" w:sz="6" w:space="0" w:color="auto"/>
          </w:tcBorders>
        </w:tcPr>
        <w:p w:rsidR="00E8338A" w:rsidRDefault="00E8338A" w:rsidP="00DC492D">
          <w:pPr>
            <w:pStyle w:val="HeaderEven"/>
            <w:jc w:val="right"/>
          </w:pPr>
        </w:p>
      </w:tc>
    </w:tr>
  </w:tbl>
  <w:p w:rsidR="00E8338A" w:rsidRDefault="00E8338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8338A">
      <w:tc>
        <w:tcPr>
          <w:tcW w:w="6634" w:type="dxa"/>
          <w:tcBorders>
            <w:top w:val="single" w:sz="6" w:space="0" w:color="auto"/>
          </w:tcBorders>
        </w:tcPr>
        <w:p w:rsidR="00E8338A" w:rsidRDefault="00E8338A" w:rsidP="00E669E2">
          <w:pPr>
            <w:pStyle w:val="HeaderOdd"/>
          </w:pPr>
        </w:p>
      </w:tc>
      <w:tc>
        <w:tcPr>
          <w:tcW w:w="2155" w:type="dxa"/>
          <w:tcBorders>
            <w:top w:val="single" w:sz="24" w:space="0" w:color="auto"/>
          </w:tcBorders>
        </w:tcPr>
        <w:p w:rsidR="00E8338A" w:rsidRDefault="00E8338A" w:rsidP="00E669E2">
          <w:pPr>
            <w:pStyle w:val="HeaderOdd"/>
          </w:pPr>
        </w:p>
      </w:tc>
    </w:tr>
  </w:tbl>
  <w:p w:rsidR="00E8338A" w:rsidRDefault="00E8338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9"/>
  </w:num>
  <w:num w:numId="11">
    <w:abstractNumId w:val="7"/>
  </w:num>
  <w:num w:numId="12">
    <w:abstractNumId w:val="15"/>
  </w:num>
  <w:num w:numId="13">
    <w:abstractNumId w:val="6"/>
  </w:num>
  <w:num w:numId="14">
    <w:abstractNumId w:val="5"/>
  </w:num>
  <w:num w:numId="1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1"/>
  </w:num>
  <w:num w:numId="17">
    <w:abstractNumId w:val="13"/>
  </w:num>
  <w:num w:numId="18">
    <w:abstractNumId w:val="17"/>
  </w:num>
  <w:num w:numId="19">
    <w:abstractNumId w:val="18"/>
  </w:num>
  <w:num w:numId="20">
    <w:abstractNumId w:val="8"/>
  </w:num>
  <w:num w:numId="21">
    <w:abstractNumId w:val="10"/>
  </w:num>
  <w:num w:numId="22">
    <w:abstractNumId w:val="14"/>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4D87"/>
    <w:rsid w:val="000A5121"/>
    <w:rsid w:val="000B2363"/>
    <w:rsid w:val="000B4499"/>
    <w:rsid w:val="000B601B"/>
    <w:rsid w:val="000B7811"/>
    <w:rsid w:val="000C1914"/>
    <w:rsid w:val="000C207E"/>
    <w:rsid w:val="000D3AB2"/>
    <w:rsid w:val="000D5C0D"/>
    <w:rsid w:val="000D6F89"/>
    <w:rsid w:val="000E14F8"/>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0D82"/>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473EE"/>
    <w:rsid w:val="00251A28"/>
    <w:rsid w:val="002534DC"/>
    <w:rsid w:val="0025782A"/>
    <w:rsid w:val="00271323"/>
    <w:rsid w:val="00272BB2"/>
    <w:rsid w:val="00274820"/>
    <w:rsid w:val="002823BB"/>
    <w:rsid w:val="00285D78"/>
    <w:rsid w:val="00287153"/>
    <w:rsid w:val="00291B40"/>
    <w:rsid w:val="00293C0B"/>
    <w:rsid w:val="00296E34"/>
    <w:rsid w:val="002974CB"/>
    <w:rsid w:val="002A596D"/>
    <w:rsid w:val="002A718A"/>
    <w:rsid w:val="002B0B58"/>
    <w:rsid w:val="002B4008"/>
    <w:rsid w:val="002B414C"/>
    <w:rsid w:val="002B76B2"/>
    <w:rsid w:val="002D0E8E"/>
    <w:rsid w:val="002D17C2"/>
    <w:rsid w:val="002D614F"/>
    <w:rsid w:val="002E3CFD"/>
    <w:rsid w:val="002E5719"/>
    <w:rsid w:val="002E5B45"/>
    <w:rsid w:val="002F4D83"/>
    <w:rsid w:val="00300562"/>
    <w:rsid w:val="00301189"/>
    <w:rsid w:val="00301396"/>
    <w:rsid w:val="00305411"/>
    <w:rsid w:val="00307665"/>
    <w:rsid w:val="00312086"/>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1919"/>
    <w:rsid w:val="003F2A46"/>
    <w:rsid w:val="003F37B1"/>
    <w:rsid w:val="00401882"/>
    <w:rsid w:val="00405282"/>
    <w:rsid w:val="004100C8"/>
    <w:rsid w:val="00411DBD"/>
    <w:rsid w:val="00412ACE"/>
    <w:rsid w:val="0041324E"/>
    <w:rsid w:val="00413D0E"/>
    <w:rsid w:val="00413EED"/>
    <w:rsid w:val="00414468"/>
    <w:rsid w:val="0041600A"/>
    <w:rsid w:val="004161BE"/>
    <w:rsid w:val="004165B9"/>
    <w:rsid w:val="00417611"/>
    <w:rsid w:val="00417B3C"/>
    <w:rsid w:val="00423112"/>
    <w:rsid w:val="00424FD8"/>
    <w:rsid w:val="00427DF8"/>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4610"/>
    <w:rsid w:val="005204F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968DB"/>
    <w:rsid w:val="005A0D41"/>
    <w:rsid w:val="005A4543"/>
    <w:rsid w:val="005A46B5"/>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4657"/>
    <w:rsid w:val="00667801"/>
    <w:rsid w:val="00675B32"/>
    <w:rsid w:val="00684EDD"/>
    <w:rsid w:val="006925D6"/>
    <w:rsid w:val="00694FB0"/>
    <w:rsid w:val="00695CED"/>
    <w:rsid w:val="0069673D"/>
    <w:rsid w:val="006A0617"/>
    <w:rsid w:val="006A1C93"/>
    <w:rsid w:val="006A39A4"/>
    <w:rsid w:val="006A4655"/>
    <w:rsid w:val="006B032E"/>
    <w:rsid w:val="006B2B3C"/>
    <w:rsid w:val="006B41A9"/>
    <w:rsid w:val="006C1D81"/>
    <w:rsid w:val="006C6034"/>
    <w:rsid w:val="006C7038"/>
    <w:rsid w:val="006D50AD"/>
    <w:rsid w:val="006D5FD8"/>
    <w:rsid w:val="006E2E8A"/>
    <w:rsid w:val="006E412C"/>
    <w:rsid w:val="006E50A7"/>
    <w:rsid w:val="006E68FE"/>
    <w:rsid w:val="006E73EF"/>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6872"/>
    <w:rsid w:val="00774B4C"/>
    <w:rsid w:val="00775C7E"/>
    <w:rsid w:val="00776543"/>
    <w:rsid w:val="00782CC9"/>
    <w:rsid w:val="007834F2"/>
    <w:rsid w:val="00785232"/>
    <w:rsid w:val="00787241"/>
    <w:rsid w:val="00790681"/>
    <w:rsid w:val="007908DF"/>
    <w:rsid w:val="00792AAD"/>
    <w:rsid w:val="00793CAA"/>
    <w:rsid w:val="007947A7"/>
    <w:rsid w:val="007A0846"/>
    <w:rsid w:val="007A21EB"/>
    <w:rsid w:val="007A38A6"/>
    <w:rsid w:val="007A4E8C"/>
    <w:rsid w:val="007A5D47"/>
    <w:rsid w:val="007B1A93"/>
    <w:rsid w:val="007C0A72"/>
    <w:rsid w:val="007C2204"/>
    <w:rsid w:val="007C36C9"/>
    <w:rsid w:val="007C3F8F"/>
    <w:rsid w:val="007C7411"/>
    <w:rsid w:val="007D22E7"/>
    <w:rsid w:val="007D252F"/>
    <w:rsid w:val="007D41CD"/>
    <w:rsid w:val="007D6401"/>
    <w:rsid w:val="007E01E4"/>
    <w:rsid w:val="007E1044"/>
    <w:rsid w:val="007E23D5"/>
    <w:rsid w:val="007E4C14"/>
    <w:rsid w:val="007F18BF"/>
    <w:rsid w:val="007F5A73"/>
    <w:rsid w:val="007F7107"/>
    <w:rsid w:val="007F733F"/>
    <w:rsid w:val="007F738D"/>
    <w:rsid w:val="00800D4C"/>
    <w:rsid w:val="008039DB"/>
    <w:rsid w:val="008041EC"/>
    <w:rsid w:val="00806AEC"/>
    <w:rsid w:val="0081030F"/>
    <w:rsid w:val="008107B6"/>
    <w:rsid w:val="00812252"/>
    <w:rsid w:val="00813C5F"/>
    <w:rsid w:val="008143C3"/>
    <w:rsid w:val="00816555"/>
    <w:rsid w:val="0082087D"/>
    <w:rsid w:val="0082141A"/>
    <w:rsid w:val="00826339"/>
    <w:rsid w:val="00831865"/>
    <w:rsid w:val="00835771"/>
    <w:rsid w:val="008361D1"/>
    <w:rsid w:val="00842277"/>
    <w:rsid w:val="00842933"/>
    <w:rsid w:val="00847D86"/>
    <w:rsid w:val="00851036"/>
    <w:rsid w:val="00856145"/>
    <w:rsid w:val="00856E61"/>
    <w:rsid w:val="0086082C"/>
    <w:rsid w:val="00861D89"/>
    <w:rsid w:val="0086262E"/>
    <w:rsid w:val="00864ADC"/>
    <w:rsid w:val="00865A60"/>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2B15"/>
    <w:rsid w:val="00975552"/>
    <w:rsid w:val="00976CE5"/>
    <w:rsid w:val="009774EF"/>
    <w:rsid w:val="0098048E"/>
    <w:rsid w:val="009806FE"/>
    <w:rsid w:val="00981798"/>
    <w:rsid w:val="009842B2"/>
    <w:rsid w:val="00985409"/>
    <w:rsid w:val="009907C3"/>
    <w:rsid w:val="00990C2C"/>
    <w:rsid w:val="00993337"/>
    <w:rsid w:val="009A08C6"/>
    <w:rsid w:val="009A3348"/>
    <w:rsid w:val="009A6F85"/>
    <w:rsid w:val="009B3A39"/>
    <w:rsid w:val="009C616D"/>
    <w:rsid w:val="009E1844"/>
    <w:rsid w:val="009E3759"/>
    <w:rsid w:val="009E799F"/>
    <w:rsid w:val="009F0D1B"/>
    <w:rsid w:val="009F1762"/>
    <w:rsid w:val="009F1AD3"/>
    <w:rsid w:val="009F20AC"/>
    <w:rsid w:val="009F23C1"/>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5419"/>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848F2"/>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B7E72"/>
    <w:rsid w:val="00AC674D"/>
    <w:rsid w:val="00AC711E"/>
    <w:rsid w:val="00AD33C7"/>
    <w:rsid w:val="00AD5101"/>
    <w:rsid w:val="00AD520B"/>
    <w:rsid w:val="00AF0B9A"/>
    <w:rsid w:val="00B00B62"/>
    <w:rsid w:val="00B011C0"/>
    <w:rsid w:val="00B035C9"/>
    <w:rsid w:val="00B05A59"/>
    <w:rsid w:val="00B077AD"/>
    <w:rsid w:val="00B14863"/>
    <w:rsid w:val="00B14909"/>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42B"/>
    <w:rsid w:val="00B94F94"/>
    <w:rsid w:val="00BA0F27"/>
    <w:rsid w:val="00BA39A3"/>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1D74"/>
    <w:rsid w:val="00C13721"/>
    <w:rsid w:val="00C13C82"/>
    <w:rsid w:val="00C14FE4"/>
    <w:rsid w:val="00C15C2C"/>
    <w:rsid w:val="00C15D1E"/>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7068"/>
    <w:rsid w:val="00CF7AA0"/>
    <w:rsid w:val="00D01C12"/>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212"/>
    <w:rsid w:val="00D51744"/>
    <w:rsid w:val="00D5568A"/>
    <w:rsid w:val="00D56978"/>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5788"/>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B56BA"/>
    <w:rsid w:val="00EC2844"/>
    <w:rsid w:val="00EC297C"/>
    <w:rsid w:val="00EC5500"/>
    <w:rsid w:val="00ED18F8"/>
    <w:rsid w:val="00ED2ECE"/>
    <w:rsid w:val="00ED7951"/>
    <w:rsid w:val="00ED7C85"/>
    <w:rsid w:val="00EE1477"/>
    <w:rsid w:val="00EE5C8D"/>
    <w:rsid w:val="00EF0AC2"/>
    <w:rsid w:val="00EF6C6C"/>
    <w:rsid w:val="00F01A99"/>
    <w:rsid w:val="00F053C1"/>
    <w:rsid w:val="00F056FC"/>
    <w:rsid w:val="00F10397"/>
    <w:rsid w:val="00F10476"/>
    <w:rsid w:val="00F113CE"/>
    <w:rsid w:val="00F135D8"/>
    <w:rsid w:val="00F2288A"/>
    <w:rsid w:val="00F23A3A"/>
    <w:rsid w:val="00F25CC5"/>
    <w:rsid w:val="00F31299"/>
    <w:rsid w:val="00F3534A"/>
    <w:rsid w:val="00F37CB7"/>
    <w:rsid w:val="00F41499"/>
    <w:rsid w:val="00F42141"/>
    <w:rsid w:val="00F458A1"/>
    <w:rsid w:val="00F47C9B"/>
    <w:rsid w:val="00F51609"/>
    <w:rsid w:val="00F526BC"/>
    <w:rsid w:val="00F57186"/>
    <w:rsid w:val="00F636EA"/>
    <w:rsid w:val="00F66371"/>
    <w:rsid w:val="00F67E43"/>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5F5A"/>
    <w:rsid w:val="00FB75C5"/>
    <w:rsid w:val="00FC4A0D"/>
    <w:rsid w:val="00FC4CE3"/>
    <w:rsid w:val="00FC7889"/>
    <w:rsid w:val="00FC7F26"/>
    <w:rsid w:val="00FD22B1"/>
    <w:rsid w:val="00FD342E"/>
    <w:rsid w:val="00FD3907"/>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80D82"/>
    <w:rPr>
      <w:sz w:val="24"/>
      <w:szCs w:val="24"/>
    </w:rPr>
  </w:style>
  <w:style w:type="paragraph" w:styleId="Heading1">
    <w:name w:val="heading 1"/>
    <w:basedOn w:val="BodyText"/>
    <w:next w:val="BodyText"/>
    <w:link w:val="Heading1Char"/>
    <w:rsid w:val="00180D8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80D8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80D82"/>
    <w:pPr>
      <w:spacing w:before="560" w:line="320" w:lineRule="exact"/>
      <w:ind w:left="0" w:firstLine="0"/>
      <w:outlineLvl w:val="2"/>
    </w:pPr>
    <w:rPr>
      <w:sz w:val="26"/>
    </w:rPr>
  </w:style>
  <w:style w:type="paragraph" w:styleId="Heading4">
    <w:name w:val="heading 4"/>
    <w:basedOn w:val="Heading3"/>
    <w:next w:val="BodyText"/>
    <w:link w:val="Heading4Char"/>
    <w:qFormat/>
    <w:rsid w:val="00180D82"/>
    <w:pPr>
      <w:spacing w:before="480"/>
      <w:outlineLvl w:val="3"/>
    </w:pPr>
    <w:rPr>
      <w:b w:val="0"/>
      <w:sz w:val="24"/>
    </w:rPr>
  </w:style>
  <w:style w:type="paragraph" w:styleId="Heading5">
    <w:name w:val="heading 5"/>
    <w:basedOn w:val="Heading4"/>
    <w:next w:val="BodyText"/>
    <w:link w:val="Heading5Char"/>
    <w:qFormat/>
    <w:rsid w:val="00180D82"/>
    <w:pPr>
      <w:outlineLvl w:val="4"/>
    </w:pPr>
    <w:rPr>
      <w:i/>
      <w:sz w:val="22"/>
    </w:rPr>
  </w:style>
  <w:style w:type="paragraph" w:styleId="Heading6">
    <w:name w:val="heading 6"/>
    <w:basedOn w:val="BodyText"/>
    <w:next w:val="BodyText"/>
    <w:link w:val="Heading6Char"/>
    <w:rsid w:val="00180D82"/>
    <w:pPr>
      <w:spacing w:after="60"/>
      <w:jc w:val="left"/>
      <w:outlineLvl w:val="5"/>
    </w:pPr>
    <w:rPr>
      <w:i/>
      <w:sz w:val="22"/>
    </w:rPr>
  </w:style>
  <w:style w:type="paragraph" w:styleId="Heading7">
    <w:name w:val="heading 7"/>
    <w:basedOn w:val="BodyText"/>
    <w:next w:val="BodyText"/>
    <w:link w:val="Heading7Char"/>
    <w:rsid w:val="00180D82"/>
    <w:pPr>
      <w:spacing w:after="60" w:line="240" w:lineRule="auto"/>
      <w:jc w:val="left"/>
      <w:outlineLvl w:val="6"/>
    </w:pPr>
    <w:rPr>
      <w:rFonts w:ascii="Arial" w:hAnsi="Arial"/>
      <w:sz w:val="20"/>
    </w:rPr>
  </w:style>
  <w:style w:type="paragraph" w:styleId="Heading8">
    <w:name w:val="heading 8"/>
    <w:basedOn w:val="BodyText"/>
    <w:next w:val="BodyText"/>
    <w:link w:val="Heading8Char"/>
    <w:rsid w:val="00180D82"/>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80D8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80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0D82"/>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180D82"/>
    <w:pPr>
      <w:spacing w:before="240" w:line="300" w:lineRule="atLeast"/>
      <w:jc w:val="both"/>
    </w:pPr>
    <w:rPr>
      <w:sz w:val="24"/>
    </w:rPr>
  </w:style>
  <w:style w:type="paragraph" w:styleId="Footer">
    <w:name w:val="footer"/>
    <w:basedOn w:val="BodyText"/>
    <w:link w:val="FooterChar"/>
    <w:rsid w:val="00180D82"/>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180D82"/>
    <w:pPr>
      <w:spacing w:before="0" w:line="20" w:lineRule="exact"/>
    </w:pPr>
  </w:style>
  <w:style w:type="paragraph" w:styleId="Header">
    <w:name w:val="header"/>
    <w:basedOn w:val="BodyText"/>
    <w:link w:val="HeaderChar"/>
    <w:rsid w:val="00180D8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80D82"/>
    <w:pPr>
      <w:spacing w:line="20" w:lineRule="exact"/>
    </w:pPr>
    <w:rPr>
      <w:sz w:val="16"/>
    </w:rPr>
  </w:style>
  <w:style w:type="paragraph" w:customStyle="1" w:styleId="HeaderEven">
    <w:name w:val="Header Even"/>
    <w:basedOn w:val="Header"/>
    <w:semiHidden/>
    <w:rsid w:val="00180D82"/>
  </w:style>
  <w:style w:type="paragraph" w:customStyle="1" w:styleId="HeaderOdd">
    <w:name w:val="Header Odd"/>
    <w:basedOn w:val="Header"/>
    <w:semiHidden/>
    <w:rsid w:val="00180D82"/>
  </w:style>
  <w:style w:type="character" w:styleId="PageNumber">
    <w:name w:val="page number"/>
    <w:basedOn w:val="DefaultParagraphFont"/>
    <w:rsid w:val="00180D82"/>
    <w:rPr>
      <w:rFonts w:ascii="Arial" w:hAnsi="Arial"/>
      <w:b/>
      <w:sz w:val="16"/>
    </w:rPr>
  </w:style>
  <w:style w:type="paragraph" w:customStyle="1" w:styleId="Abbreviation">
    <w:name w:val="Abbreviation"/>
    <w:basedOn w:val="BodyText"/>
    <w:rsid w:val="00180D82"/>
    <w:pPr>
      <w:spacing w:before="120"/>
      <w:ind w:left="2381" w:hanging="2381"/>
      <w:jc w:val="left"/>
    </w:pPr>
  </w:style>
  <w:style w:type="paragraph" w:customStyle="1" w:styleId="Box">
    <w:name w:val="Box"/>
    <w:basedOn w:val="BodyText"/>
    <w:link w:val="BoxChar"/>
    <w:qFormat/>
    <w:rsid w:val="00180D82"/>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80D82"/>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80D82"/>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180D82"/>
    <w:rPr>
      <w:b w:val="0"/>
      <w:i/>
    </w:rPr>
  </w:style>
  <w:style w:type="paragraph" w:customStyle="1" w:styleId="BoxListBullet">
    <w:name w:val="Box List Bullet"/>
    <w:basedOn w:val="BodyText"/>
    <w:link w:val="BoxListBulletChar"/>
    <w:rsid w:val="00180D8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80D82"/>
    <w:pPr>
      <w:numPr>
        <w:numId w:val="2"/>
      </w:numPr>
      <w:ind w:left="568" w:hanging="284"/>
    </w:pPr>
  </w:style>
  <w:style w:type="paragraph" w:customStyle="1" w:styleId="BoxListNumber">
    <w:name w:val="Box List Number"/>
    <w:basedOn w:val="BodyText"/>
    <w:link w:val="BoxListNumberChar"/>
    <w:rsid w:val="00180D82"/>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180D82"/>
    <w:pPr>
      <w:numPr>
        <w:ilvl w:val="1"/>
      </w:numPr>
      <w:ind w:left="681" w:hanging="397"/>
    </w:pPr>
  </w:style>
  <w:style w:type="paragraph" w:customStyle="1" w:styleId="BoxQuote">
    <w:name w:val="Box Quote"/>
    <w:basedOn w:val="BodyText"/>
    <w:next w:val="Box"/>
    <w:link w:val="BoxQuoteChar"/>
    <w:qFormat/>
    <w:rsid w:val="00180D82"/>
    <w:pPr>
      <w:keepNext/>
      <w:spacing w:before="60" w:line="240" w:lineRule="exact"/>
      <w:ind w:left="284"/>
    </w:pPr>
    <w:rPr>
      <w:rFonts w:ascii="Arial" w:hAnsi="Arial"/>
      <w:sz w:val="18"/>
    </w:rPr>
  </w:style>
  <w:style w:type="paragraph" w:customStyle="1" w:styleId="Note">
    <w:name w:val="Note"/>
    <w:basedOn w:val="BodyText"/>
    <w:next w:val="BodyText"/>
    <w:link w:val="NoteChar"/>
    <w:rsid w:val="00180D82"/>
    <w:pPr>
      <w:keepLines/>
      <w:spacing w:before="80" w:line="220" w:lineRule="exact"/>
    </w:pPr>
    <w:rPr>
      <w:rFonts w:ascii="Arial" w:hAnsi="Arial"/>
      <w:sz w:val="18"/>
    </w:rPr>
  </w:style>
  <w:style w:type="paragraph" w:customStyle="1" w:styleId="Source">
    <w:name w:val="Source"/>
    <w:basedOn w:val="Normal"/>
    <w:next w:val="BodyText"/>
    <w:link w:val="SourceChar"/>
    <w:rsid w:val="00180D82"/>
    <w:pPr>
      <w:keepLines/>
      <w:spacing w:before="80" w:line="220" w:lineRule="exact"/>
      <w:jc w:val="both"/>
    </w:pPr>
    <w:rPr>
      <w:rFonts w:ascii="Arial" w:hAnsi="Arial"/>
      <w:sz w:val="18"/>
      <w:szCs w:val="20"/>
    </w:rPr>
  </w:style>
  <w:style w:type="paragraph" w:customStyle="1" w:styleId="BoxSource">
    <w:name w:val="Box Source"/>
    <w:basedOn w:val="Source"/>
    <w:next w:val="BodyText"/>
    <w:rsid w:val="00180D82"/>
    <w:pPr>
      <w:spacing w:before="120"/>
    </w:pPr>
  </w:style>
  <w:style w:type="paragraph" w:customStyle="1" w:styleId="BoxSpaceAbove">
    <w:name w:val="Box Space Above"/>
    <w:basedOn w:val="BodyText"/>
    <w:rsid w:val="00180D82"/>
    <w:pPr>
      <w:keepNext/>
      <w:spacing w:before="360" w:line="80" w:lineRule="exact"/>
      <w:jc w:val="left"/>
    </w:pPr>
  </w:style>
  <w:style w:type="paragraph" w:styleId="Caption">
    <w:name w:val="caption"/>
    <w:basedOn w:val="Normal"/>
    <w:next w:val="BodyText"/>
    <w:rsid w:val="00180D8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80D82"/>
    <w:pPr>
      <w:spacing w:before="120" w:after="0"/>
    </w:pPr>
  </w:style>
  <w:style w:type="paragraph" w:customStyle="1" w:styleId="BoxSubtitle">
    <w:name w:val="Box Subtitle"/>
    <w:basedOn w:val="BoxTitle"/>
    <w:next w:val="Normal"/>
    <w:rsid w:val="00180D82"/>
    <w:pPr>
      <w:spacing w:after="80" w:line="200" w:lineRule="exact"/>
      <w:ind w:firstLine="0"/>
    </w:pPr>
    <w:rPr>
      <w:b w:val="0"/>
      <w:sz w:val="20"/>
    </w:rPr>
  </w:style>
  <w:style w:type="paragraph" w:customStyle="1" w:styleId="Chapter">
    <w:name w:val="Chapter"/>
    <w:basedOn w:val="Heading1"/>
    <w:next w:val="BodyText"/>
    <w:link w:val="ChapterChar"/>
    <w:semiHidden/>
    <w:rsid w:val="00180D82"/>
    <w:pPr>
      <w:ind w:left="0" w:firstLine="0"/>
      <w:outlineLvl w:val="9"/>
    </w:pPr>
  </w:style>
  <w:style w:type="paragraph" w:customStyle="1" w:styleId="ChapterSummary">
    <w:name w:val="Chapter Summary"/>
    <w:basedOn w:val="BodyText"/>
    <w:rsid w:val="00180D82"/>
    <w:pPr>
      <w:spacing w:line="280" w:lineRule="atLeast"/>
      <w:ind w:left="907"/>
    </w:pPr>
    <w:rPr>
      <w:rFonts w:ascii="Arial" w:hAnsi="Arial"/>
      <w:b/>
      <w:sz w:val="20"/>
    </w:rPr>
  </w:style>
  <w:style w:type="character" w:styleId="CommentReference">
    <w:name w:val="annotation reference"/>
    <w:basedOn w:val="DefaultParagraphFont"/>
    <w:semiHidden/>
    <w:rsid w:val="00180D82"/>
    <w:rPr>
      <w:b/>
      <w:vanish/>
      <w:color w:val="FF00FF"/>
      <w:sz w:val="20"/>
    </w:rPr>
  </w:style>
  <w:style w:type="paragraph" w:styleId="CommentText">
    <w:name w:val="annotation text"/>
    <w:basedOn w:val="Normal"/>
    <w:link w:val="CommentTextChar1"/>
    <w:semiHidden/>
    <w:rsid w:val="00180D82"/>
    <w:pPr>
      <w:spacing w:before="120" w:line="240" w:lineRule="atLeast"/>
      <w:ind w:left="567" w:hanging="567"/>
    </w:pPr>
    <w:rPr>
      <w:sz w:val="20"/>
    </w:rPr>
  </w:style>
  <w:style w:type="paragraph" w:customStyle="1" w:styleId="Continued">
    <w:name w:val="Continued"/>
    <w:basedOn w:val="BoxContinued"/>
    <w:next w:val="BodyText"/>
    <w:rsid w:val="00180D82"/>
  </w:style>
  <w:style w:type="character" w:customStyle="1" w:styleId="DocumentInfo">
    <w:name w:val="Document Info"/>
    <w:basedOn w:val="DefaultParagraphFont"/>
    <w:semiHidden/>
    <w:rsid w:val="00180D82"/>
    <w:rPr>
      <w:rFonts w:ascii="Arial" w:hAnsi="Arial"/>
      <w:sz w:val="14"/>
    </w:rPr>
  </w:style>
  <w:style w:type="character" w:customStyle="1" w:styleId="DraftingNote">
    <w:name w:val="Drafting Note"/>
    <w:basedOn w:val="DefaultParagraphFont"/>
    <w:rsid w:val="00180D82"/>
    <w:rPr>
      <w:b/>
      <w:color w:val="FF0000"/>
      <w:sz w:val="24"/>
      <w:u w:val="dotted"/>
    </w:rPr>
  </w:style>
  <w:style w:type="paragraph" w:customStyle="1" w:styleId="Figure">
    <w:name w:val="Figure"/>
    <w:basedOn w:val="BodyText"/>
    <w:rsid w:val="00180D82"/>
    <w:pPr>
      <w:keepNext/>
      <w:spacing w:before="120" w:after="120" w:line="240" w:lineRule="atLeast"/>
      <w:jc w:val="center"/>
    </w:pPr>
  </w:style>
  <w:style w:type="paragraph" w:customStyle="1" w:styleId="FigureTitle">
    <w:name w:val="Figure Title"/>
    <w:basedOn w:val="Caption"/>
    <w:next w:val="Subtitle"/>
    <w:rsid w:val="00180D82"/>
    <w:pPr>
      <w:spacing w:before="120"/>
    </w:pPr>
  </w:style>
  <w:style w:type="paragraph" w:styleId="Subtitle">
    <w:name w:val="Subtitle"/>
    <w:basedOn w:val="Caption"/>
    <w:link w:val="SubtitleChar"/>
    <w:qFormat/>
    <w:rsid w:val="00180D82"/>
    <w:pPr>
      <w:spacing w:before="0" w:line="200" w:lineRule="exact"/>
      <w:ind w:firstLine="0"/>
    </w:pPr>
    <w:rPr>
      <w:b w:val="0"/>
      <w:sz w:val="20"/>
    </w:rPr>
  </w:style>
  <w:style w:type="paragraph" w:customStyle="1" w:styleId="Finding">
    <w:name w:val="Finding"/>
    <w:basedOn w:val="BodyText"/>
    <w:rsid w:val="00180D82"/>
    <w:pPr>
      <w:keepLines/>
      <w:spacing w:before="120" w:line="280" w:lineRule="atLeast"/>
    </w:pPr>
    <w:rPr>
      <w:rFonts w:ascii="Arial" w:hAnsi="Arial"/>
      <w:sz w:val="22"/>
    </w:rPr>
  </w:style>
  <w:style w:type="paragraph" w:customStyle="1" w:styleId="FindingBullet">
    <w:name w:val="Finding Bullet"/>
    <w:basedOn w:val="Finding"/>
    <w:rsid w:val="00180D82"/>
    <w:pPr>
      <w:numPr>
        <w:numId w:val="3"/>
      </w:numPr>
      <w:spacing w:before="80"/>
    </w:pPr>
  </w:style>
  <w:style w:type="paragraph" w:customStyle="1" w:styleId="FindingNoTitle">
    <w:name w:val="Finding NoTitle"/>
    <w:basedOn w:val="Finding"/>
    <w:rsid w:val="00180D82"/>
    <w:pPr>
      <w:spacing w:before="240"/>
    </w:pPr>
  </w:style>
  <w:style w:type="paragraph" w:customStyle="1" w:styleId="RecTitle">
    <w:name w:val="Rec Title"/>
    <w:basedOn w:val="BodyText"/>
    <w:next w:val="Rec"/>
    <w:qFormat/>
    <w:rsid w:val="00180D82"/>
    <w:pPr>
      <w:keepNext/>
      <w:keepLines/>
      <w:spacing w:line="280" w:lineRule="atLeast"/>
    </w:pPr>
    <w:rPr>
      <w:rFonts w:ascii="Arial" w:hAnsi="Arial"/>
      <w:caps/>
      <w:sz w:val="18"/>
    </w:rPr>
  </w:style>
  <w:style w:type="paragraph" w:customStyle="1" w:styleId="FindingTitle">
    <w:name w:val="Finding Title"/>
    <w:basedOn w:val="RecTitle"/>
    <w:next w:val="Finding"/>
    <w:rsid w:val="00180D82"/>
  </w:style>
  <w:style w:type="character" w:styleId="FootnoteReference">
    <w:name w:val="footnote reference"/>
    <w:basedOn w:val="DefaultParagraphFont"/>
    <w:semiHidden/>
    <w:rsid w:val="00180D82"/>
    <w:rPr>
      <w:rFonts w:ascii="Times New Roman" w:hAnsi="Times New Roman"/>
      <w:position w:val="6"/>
      <w:sz w:val="20"/>
      <w:vertAlign w:val="baseline"/>
    </w:rPr>
  </w:style>
  <w:style w:type="paragraph" w:styleId="FootnoteText">
    <w:name w:val="footnote text"/>
    <w:basedOn w:val="BodyText"/>
    <w:link w:val="FootnoteTextChar"/>
    <w:rsid w:val="00180D8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80D82"/>
    <w:rPr>
      <w:i/>
    </w:rPr>
  </w:style>
  <w:style w:type="paragraph" w:customStyle="1" w:styleId="Jurisdictioncommentsbodytext">
    <w:name w:val="Jurisdiction comments body text"/>
    <w:rsid w:val="00180D82"/>
    <w:pPr>
      <w:spacing w:after="140"/>
      <w:jc w:val="both"/>
    </w:pPr>
    <w:rPr>
      <w:rFonts w:ascii="Arial" w:hAnsi="Arial"/>
      <w:sz w:val="24"/>
      <w:lang w:eastAsia="en-US"/>
    </w:rPr>
  </w:style>
  <w:style w:type="paragraph" w:customStyle="1" w:styleId="Jurisdictioncommentsheading">
    <w:name w:val="Jurisdiction comments heading"/>
    <w:rsid w:val="00180D8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80D82"/>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180D82"/>
    <w:pPr>
      <w:numPr>
        <w:numId w:val="5"/>
      </w:numPr>
      <w:spacing w:before="120"/>
    </w:pPr>
  </w:style>
  <w:style w:type="paragraph" w:styleId="ListBullet2">
    <w:name w:val="List Bullet 2"/>
    <w:basedOn w:val="BodyText"/>
    <w:link w:val="ListBullet2Char"/>
    <w:rsid w:val="00180D82"/>
    <w:pPr>
      <w:numPr>
        <w:numId w:val="6"/>
      </w:numPr>
      <w:spacing w:before="120"/>
    </w:pPr>
  </w:style>
  <w:style w:type="paragraph" w:styleId="ListBullet3">
    <w:name w:val="List Bullet 3"/>
    <w:basedOn w:val="BodyText"/>
    <w:rsid w:val="00180D82"/>
    <w:pPr>
      <w:numPr>
        <w:numId w:val="7"/>
      </w:numPr>
      <w:spacing w:before="120"/>
      <w:ind w:left="1020" w:hanging="340"/>
    </w:pPr>
  </w:style>
  <w:style w:type="paragraph" w:styleId="ListNumber">
    <w:name w:val="List Number"/>
    <w:basedOn w:val="BodyText"/>
    <w:rsid w:val="00180D82"/>
    <w:pPr>
      <w:numPr>
        <w:numId w:val="13"/>
      </w:numPr>
      <w:spacing w:before="120"/>
    </w:pPr>
  </w:style>
  <w:style w:type="paragraph" w:styleId="ListNumber2">
    <w:name w:val="List Number 2"/>
    <w:basedOn w:val="ListNumber"/>
    <w:rsid w:val="00180D82"/>
    <w:pPr>
      <w:numPr>
        <w:ilvl w:val="1"/>
      </w:numPr>
    </w:pPr>
  </w:style>
  <w:style w:type="paragraph" w:styleId="ListNumber3">
    <w:name w:val="List Number 3"/>
    <w:basedOn w:val="ListNumber2"/>
    <w:rsid w:val="00180D82"/>
    <w:pPr>
      <w:numPr>
        <w:ilvl w:val="2"/>
      </w:numPr>
    </w:pPr>
  </w:style>
  <w:style w:type="character" w:customStyle="1" w:styleId="NoteLabel">
    <w:name w:val="Note Label"/>
    <w:basedOn w:val="DefaultParagraphFont"/>
    <w:rsid w:val="00180D82"/>
    <w:rPr>
      <w:rFonts w:ascii="Arial" w:hAnsi="Arial"/>
      <w:b/>
      <w:position w:val="6"/>
      <w:sz w:val="18"/>
    </w:rPr>
  </w:style>
  <w:style w:type="paragraph" w:customStyle="1" w:styleId="PartDivider">
    <w:name w:val="Part Divider"/>
    <w:basedOn w:val="BodyText"/>
    <w:next w:val="BodyText"/>
    <w:semiHidden/>
    <w:rsid w:val="00180D82"/>
    <w:pPr>
      <w:spacing w:before="0" w:line="40" w:lineRule="exact"/>
      <w:jc w:val="right"/>
    </w:pPr>
    <w:rPr>
      <w:smallCaps/>
      <w:sz w:val="16"/>
    </w:rPr>
  </w:style>
  <w:style w:type="paragraph" w:customStyle="1" w:styleId="PartNumber">
    <w:name w:val="Part Number"/>
    <w:basedOn w:val="BodyText"/>
    <w:next w:val="BodyText"/>
    <w:semiHidden/>
    <w:rsid w:val="00180D82"/>
    <w:pPr>
      <w:spacing w:before="4000" w:line="320" w:lineRule="exact"/>
      <w:ind w:left="6634"/>
      <w:jc w:val="right"/>
    </w:pPr>
    <w:rPr>
      <w:smallCaps/>
      <w:spacing w:val="60"/>
      <w:sz w:val="32"/>
    </w:rPr>
  </w:style>
  <w:style w:type="paragraph" w:customStyle="1" w:styleId="PartTitle">
    <w:name w:val="Part Title"/>
    <w:basedOn w:val="BodyText"/>
    <w:semiHidden/>
    <w:rsid w:val="00180D82"/>
    <w:pPr>
      <w:spacing w:before="160" w:after="1360" w:line="520" w:lineRule="exact"/>
      <w:ind w:right="2381"/>
      <w:jc w:val="right"/>
    </w:pPr>
    <w:rPr>
      <w:smallCaps/>
      <w:sz w:val="52"/>
    </w:rPr>
  </w:style>
  <w:style w:type="paragraph" w:styleId="Quote">
    <w:name w:val="Quote"/>
    <w:basedOn w:val="BodyText"/>
    <w:next w:val="BodyText"/>
    <w:link w:val="QuoteChar"/>
    <w:qFormat/>
    <w:rsid w:val="00180D82"/>
    <w:pPr>
      <w:spacing w:before="120" w:line="280" w:lineRule="exact"/>
      <w:ind w:left="340"/>
    </w:pPr>
    <w:rPr>
      <w:sz w:val="22"/>
    </w:rPr>
  </w:style>
  <w:style w:type="paragraph" w:customStyle="1" w:styleId="QuoteBullet">
    <w:name w:val="Quote Bullet"/>
    <w:basedOn w:val="Quote"/>
    <w:rsid w:val="00180D82"/>
    <w:pPr>
      <w:numPr>
        <w:numId w:val="8"/>
      </w:numPr>
    </w:pPr>
  </w:style>
  <w:style w:type="paragraph" w:customStyle="1" w:styleId="Rec">
    <w:name w:val="Rec"/>
    <w:basedOn w:val="BodyText"/>
    <w:qFormat/>
    <w:rsid w:val="00180D82"/>
    <w:pPr>
      <w:keepLines/>
      <w:spacing w:before="120" w:line="280" w:lineRule="atLeast"/>
    </w:pPr>
    <w:rPr>
      <w:rFonts w:ascii="Arial" w:hAnsi="Arial"/>
      <w:sz w:val="22"/>
    </w:rPr>
  </w:style>
  <w:style w:type="paragraph" w:customStyle="1" w:styleId="RecBullet">
    <w:name w:val="Rec Bullet"/>
    <w:basedOn w:val="Rec"/>
    <w:rsid w:val="00180D82"/>
    <w:pPr>
      <w:numPr>
        <w:numId w:val="9"/>
      </w:numPr>
      <w:spacing w:before="80"/>
    </w:pPr>
  </w:style>
  <w:style w:type="paragraph" w:customStyle="1" w:styleId="RecB">
    <w:name w:val="RecB"/>
    <w:basedOn w:val="Normal"/>
    <w:rsid w:val="00180D8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80D82"/>
    <w:pPr>
      <w:numPr>
        <w:numId w:val="10"/>
      </w:numPr>
      <w:spacing w:before="80"/>
    </w:pPr>
  </w:style>
  <w:style w:type="paragraph" w:customStyle="1" w:styleId="RecBNoTitle">
    <w:name w:val="RecB NoTitle"/>
    <w:basedOn w:val="RecB"/>
    <w:rsid w:val="00180D82"/>
    <w:pPr>
      <w:spacing w:before="240"/>
    </w:pPr>
  </w:style>
  <w:style w:type="paragraph" w:customStyle="1" w:styleId="Reference">
    <w:name w:val="Reference"/>
    <w:basedOn w:val="BodyText"/>
    <w:link w:val="ReferenceChar"/>
    <w:rsid w:val="00180D82"/>
    <w:pPr>
      <w:spacing w:before="120"/>
      <w:ind w:left="340" w:hanging="340"/>
    </w:pPr>
  </w:style>
  <w:style w:type="paragraph" w:customStyle="1" w:styleId="SequenceInfo">
    <w:name w:val="Sequence Info"/>
    <w:basedOn w:val="BodyText"/>
    <w:semiHidden/>
    <w:rsid w:val="00180D82"/>
    <w:rPr>
      <w:vanish/>
      <w:sz w:val="16"/>
    </w:rPr>
  </w:style>
  <w:style w:type="paragraph" w:customStyle="1" w:styleId="SideNote">
    <w:name w:val="Side Note"/>
    <w:basedOn w:val="BodyText"/>
    <w:next w:val="BodyText"/>
    <w:semiHidden/>
    <w:rsid w:val="00180D8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80D82"/>
    <w:pPr>
      <w:framePr w:wrap="around"/>
      <w:numPr>
        <w:numId w:val="11"/>
      </w:numPr>
      <w:tabs>
        <w:tab w:val="left" w:pos="227"/>
      </w:tabs>
    </w:pPr>
  </w:style>
  <w:style w:type="paragraph" w:customStyle="1" w:styleId="SideNoteGraphic">
    <w:name w:val="Side Note Graphic"/>
    <w:basedOn w:val="SideNote"/>
    <w:next w:val="BodyText"/>
    <w:semiHidden/>
    <w:rsid w:val="00180D82"/>
    <w:pPr>
      <w:framePr w:wrap="around"/>
    </w:pPr>
  </w:style>
  <w:style w:type="paragraph" w:customStyle="1" w:styleId="TableBodyText">
    <w:name w:val="Table Body Text"/>
    <w:basedOn w:val="BodyText"/>
    <w:link w:val="TableBodyTextChar"/>
    <w:rsid w:val="00180D8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80D82"/>
    <w:pPr>
      <w:numPr>
        <w:numId w:val="12"/>
      </w:numPr>
      <w:jc w:val="left"/>
    </w:pPr>
  </w:style>
  <w:style w:type="paragraph" w:customStyle="1" w:styleId="TableColumnHeading">
    <w:name w:val="Table Column Heading"/>
    <w:basedOn w:val="TableBodyText"/>
    <w:link w:val="TableColumnHeadingChar"/>
    <w:rsid w:val="00180D82"/>
    <w:pPr>
      <w:spacing w:before="80" w:after="80"/>
    </w:pPr>
    <w:rPr>
      <w:i/>
    </w:rPr>
  </w:style>
  <w:style w:type="paragraph" w:styleId="TOC2">
    <w:name w:val="toc 2"/>
    <w:basedOn w:val="TOC1"/>
    <w:rsid w:val="00180D82"/>
    <w:pPr>
      <w:ind w:left="1134" w:hanging="624"/>
    </w:pPr>
    <w:rPr>
      <w:b w:val="0"/>
    </w:rPr>
  </w:style>
  <w:style w:type="paragraph" w:styleId="TOC3">
    <w:name w:val="toc 3"/>
    <w:basedOn w:val="TOC2"/>
    <w:rsid w:val="00180D82"/>
    <w:pPr>
      <w:spacing w:before="60"/>
      <w:ind w:left="1190" w:hanging="680"/>
    </w:pPr>
  </w:style>
  <w:style w:type="paragraph" w:styleId="TableofFigures">
    <w:name w:val="table of figures"/>
    <w:basedOn w:val="TOC3"/>
    <w:next w:val="BodyText"/>
    <w:semiHidden/>
    <w:rsid w:val="00180D82"/>
    <w:pPr>
      <w:ind w:left="737" w:hanging="737"/>
    </w:pPr>
  </w:style>
  <w:style w:type="paragraph" w:customStyle="1" w:styleId="TableTitle">
    <w:name w:val="Table Title"/>
    <w:basedOn w:val="Caption"/>
    <w:next w:val="Subtitle"/>
    <w:link w:val="TableTitleChar"/>
    <w:qFormat/>
    <w:rsid w:val="00180D82"/>
    <w:pPr>
      <w:spacing w:before="120"/>
    </w:pPr>
  </w:style>
  <w:style w:type="paragraph" w:customStyle="1" w:styleId="TableUnitsRow">
    <w:name w:val="Table Units Row"/>
    <w:basedOn w:val="TableBodyText"/>
    <w:rsid w:val="00180D82"/>
    <w:pPr>
      <w:spacing w:before="40"/>
    </w:pPr>
  </w:style>
  <w:style w:type="paragraph" w:styleId="TOC1">
    <w:name w:val="toc 1"/>
    <w:basedOn w:val="Normal"/>
    <w:next w:val="TOC2"/>
    <w:link w:val="TOC1Char"/>
    <w:rsid w:val="00180D8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80D82"/>
    <w:pPr>
      <w:ind w:left="1191" w:firstLine="0"/>
    </w:pPr>
  </w:style>
  <w:style w:type="paragraph" w:customStyle="1" w:styleId="RecBBullet2">
    <w:name w:val="RecB Bullet 2"/>
    <w:basedOn w:val="ListBullet2"/>
    <w:rsid w:val="00180D82"/>
    <w:pPr>
      <w:pBdr>
        <w:left w:val="single" w:sz="24" w:space="29" w:color="C0C0C0"/>
      </w:pBdr>
    </w:pPr>
    <w:rPr>
      <w:b/>
      <w:i/>
    </w:rPr>
  </w:style>
  <w:style w:type="paragraph" w:styleId="BalloonText">
    <w:name w:val="Balloon Text"/>
    <w:basedOn w:val="Normal"/>
    <w:link w:val="BalloonTextChar"/>
    <w:rsid w:val="00180D82"/>
    <w:rPr>
      <w:rFonts w:ascii="Tahoma" w:hAnsi="Tahoma" w:cs="Tahoma"/>
      <w:sz w:val="16"/>
      <w:szCs w:val="16"/>
    </w:rPr>
  </w:style>
  <w:style w:type="character" w:customStyle="1" w:styleId="BalloonTextChar">
    <w:name w:val="Balloon Text Char"/>
    <w:basedOn w:val="DefaultParagraphFont"/>
    <w:link w:val="BalloonText"/>
    <w:rsid w:val="00180D82"/>
    <w:rPr>
      <w:rFonts w:ascii="Tahoma" w:hAnsi="Tahoma" w:cs="Tahoma"/>
      <w:sz w:val="16"/>
      <w:szCs w:val="16"/>
    </w:rPr>
  </w:style>
  <w:style w:type="character" w:customStyle="1" w:styleId="SubtitleChar">
    <w:name w:val="Subtitle Char"/>
    <w:basedOn w:val="DefaultParagraphFont"/>
    <w:link w:val="Subtitle"/>
    <w:rsid w:val="00180D82"/>
    <w:rPr>
      <w:rFonts w:ascii="Arial" w:hAnsi="Arial"/>
      <w:szCs w:val="24"/>
    </w:rPr>
  </w:style>
  <w:style w:type="paragraph" w:customStyle="1" w:styleId="BoxListBullet3">
    <w:name w:val="Box List Bullet 3"/>
    <w:basedOn w:val="ListBullet3"/>
    <w:rsid w:val="00180D82"/>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80D82"/>
    <w:rPr>
      <w:i/>
      <w:iCs/>
    </w:rPr>
  </w:style>
  <w:style w:type="paragraph" w:customStyle="1" w:styleId="BoxQuoteBullet">
    <w:name w:val="Box Quote Bullet"/>
    <w:basedOn w:val="BoxQuote"/>
    <w:next w:val="Box"/>
    <w:rsid w:val="00180D82"/>
    <w:pPr>
      <w:numPr>
        <w:numId w:val="16"/>
      </w:numPr>
      <w:ind w:left="568" w:hanging="284"/>
    </w:pPr>
  </w:style>
  <w:style w:type="paragraph" w:customStyle="1" w:styleId="InformationRequestBullet">
    <w:name w:val="Information Request Bullet"/>
    <w:basedOn w:val="ListBullet"/>
    <w:next w:val="BodyText"/>
    <w:rsid w:val="00180D82"/>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180D82"/>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180D82"/>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180D82"/>
    <w:rPr>
      <w:sz w:val="24"/>
    </w:rPr>
  </w:style>
  <w:style w:type="character" w:customStyle="1" w:styleId="FooterChar">
    <w:name w:val="Footer Char"/>
    <w:basedOn w:val="BodyTextChar"/>
    <w:link w:val="Footer"/>
    <w:rsid w:val="00180D82"/>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180D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180D82"/>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80D82"/>
    <w:pPr>
      <w:numPr>
        <w:numId w:val="20"/>
      </w:numPr>
      <w:ind w:left="568" w:hanging="284"/>
    </w:pPr>
  </w:style>
  <w:style w:type="paragraph" w:customStyle="1" w:styleId="InformationRequestTitle">
    <w:name w:val="Information Request Title"/>
    <w:basedOn w:val="FindingTitle"/>
    <w:next w:val="InformationRequest"/>
    <w:rsid w:val="00180D82"/>
    <w:rPr>
      <w:i/>
    </w:rPr>
  </w:style>
  <w:style w:type="paragraph" w:customStyle="1" w:styleId="Space">
    <w:name w:val="Space"/>
    <w:basedOn w:val="Normal"/>
    <w:rsid w:val="00180D82"/>
    <w:pPr>
      <w:keepNext/>
      <w:spacing w:line="120" w:lineRule="exact"/>
      <w:jc w:val="both"/>
    </w:pPr>
    <w:rPr>
      <w:rFonts w:ascii="Arial" w:hAnsi="Arial"/>
      <w:sz w:val="20"/>
      <w:szCs w:val="20"/>
    </w:rPr>
  </w:style>
  <w:style w:type="paragraph" w:customStyle="1" w:styleId="Heading1nochapterno">
    <w:name w:val="Heading 1 (no chapter no.)"/>
    <w:basedOn w:val="Heading1"/>
    <w:rsid w:val="00180D82"/>
    <w:pPr>
      <w:spacing w:before="0"/>
      <w:ind w:left="0" w:firstLine="0"/>
    </w:pPr>
  </w:style>
  <w:style w:type="paragraph" w:customStyle="1" w:styleId="Heading2nosectionno">
    <w:name w:val="Heading 2 (no section no.)"/>
    <w:basedOn w:val="Heading2"/>
    <w:rsid w:val="00180D82"/>
    <w:pPr>
      <w:ind w:left="0" w:firstLine="0"/>
    </w:pPr>
  </w:style>
  <w:style w:type="paragraph" w:customStyle="1" w:styleId="Figurespace">
    <w:name w:val="Figure space"/>
    <w:basedOn w:val="Box"/>
    <w:rsid w:val="00180D82"/>
    <w:pPr>
      <w:spacing w:before="0" w:line="120" w:lineRule="exact"/>
    </w:pPr>
  </w:style>
  <w:style w:type="paragraph" w:customStyle="1" w:styleId="FooterDraftReport">
    <w:name w:val="FooterDraftReport"/>
    <w:basedOn w:val="Footer"/>
    <w:link w:val="FooterDraftReportChar"/>
    <w:rsid w:val="00180D8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80D8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80D82"/>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BodyText2">
    <w:name w:val="Body Text 2"/>
    <w:basedOn w:val="Normal"/>
    <w:link w:val="BodyText2Char"/>
    <w:rsid w:val="006925D6"/>
    <w:pPr>
      <w:spacing w:after="120" w:line="480" w:lineRule="auto"/>
    </w:pPr>
  </w:style>
  <w:style w:type="character" w:customStyle="1" w:styleId="BodyText2Char">
    <w:name w:val="Body Text 2 Char"/>
    <w:basedOn w:val="DefaultParagraphFont"/>
    <w:link w:val="BodyText2"/>
    <w:rsid w:val="006925D6"/>
    <w:rPr>
      <w:sz w:val="24"/>
      <w:szCs w:val="24"/>
    </w:rPr>
  </w:style>
  <w:style w:type="character" w:customStyle="1" w:styleId="TableColumnHeadingChar">
    <w:name w:val="Table Column Heading Char"/>
    <w:basedOn w:val="TableBodyTextChar"/>
    <w:link w:val="TableColumnHeading"/>
    <w:rsid w:val="006925D6"/>
    <w:rPr>
      <w:rFonts w:ascii="Arial" w:hAnsi="Arial"/>
      <w:i/>
      <w:sz w:val="18"/>
    </w:rPr>
  </w:style>
  <w:style w:type="paragraph" w:styleId="TOC5">
    <w:name w:val="toc 5"/>
    <w:basedOn w:val="Normal"/>
    <w:next w:val="Normal"/>
    <w:autoRedefine/>
    <w:rsid w:val="006925D6"/>
    <w:pPr>
      <w:ind w:left="1040"/>
    </w:pPr>
    <w:rPr>
      <w:sz w:val="20"/>
      <w:szCs w:val="20"/>
    </w:rPr>
  </w:style>
  <w:style w:type="paragraph" w:styleId="TOC6">
    <w:name w:val="toc 6"/>
    <w:basedOn w:val="Normal"/>
    <w:next w:val="Normal"/>
    <w:autoRedefine/>
    <w:rsid w:val="006925D6"/>
    <w:pPr>
      <w:ind w:left="1300"/>
    </w:pPr>
    <w:rPr>
      <w:sz w:val="20"/>
      <w:szCs w:val="20"/>
    </w:rPr>
  </w:style>
  <w:style w:type="paragraph" w:styleId="TOC7">
    <w:name w:val="toc 7"/>
    <w:basedOn w:val="Normal"/>
    <w:next w:val="Normal"/>
    <w:autoRedefine/>
    <w:rsid w:val="006925D6"/>
    <w:pPr>
      <w:ind w:left="1560"/>
    </w:pPr>
    <w:rPr>
      <w:sz w:val="20"/>
      <w:szCs w:val="20"/>
    </w:rPr>
  </w:style>
  <w:style w:type="paragraph" w:styleId="TOC8">
    <w:name w:val="toc 8"/>
    <w:basedOn w:val="Normal"/>
    <w:next w:val="Normal"/>
    <w:autoRedefine/>
    <w:rsid w:val="006925D6"/>
    <w:pPr>
      <w:ind w:left="1820"/>
    </w:pPr>
    <w:rPr>
      <w:sz w:val="20"/>
      <w:szCs w:val="20"/>
    </w:rPr>
  </w:style>
  <w:style w:type="paragraph" w:styleId="TOC9">
    <w:name w:val="toc 9"/>
    <w:basedOn w:val="Normal"/>
    <w:next w:val="Normal"/>
    <w:autoRedefine/>
    <w:rsid w:val="006925D6"/>
    <w:pPr>
      <w:ind w:left="208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80D82"/>
    <w:rPr>
      <w:sz w:val="24"/>
      <w:szCs w:val="24"/>
    </w:rPr>
  </w:style>
  <w:style w:type="paragraph" w:styleId="Heading1">
    <w:name w:val="heading 1"/>
    <w:basedOn w:val="BodyText"/>
    <w:next w:val="BodyText"/>
    <w:link w:val="Heading1Char"/>
    <w:rsid w:val="00180D8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80D8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80D82"/>
    <w:pPr>
      <w:spacing w:before="560" w:line="320" w:lineRule="exact"/>
      <w:ind w:left="0" w:firstLine="0"/>
      <w:outlineLvl w:val="2"/>
    </w:pPr>
    <w:rPr>
      <w:sz w:val="26"/>
    </w:rPr>
  </w:style>
  <w:style w:type="paragraph" w:styleId="Heading4">
    <w:name w:val="heading 4"/>
    <w:basedOn w:val="Heading3"/>
    <w:next w:val="BodyText"/>
    <w:link w:val="Heading4Char"/>
    <w:qFormat/>
    <w:rsid w:val="00180D82"/>
    <w:pPr>
      <w:spacing w:before="480"/>
      <w:outlineLvl w:val="3"/>
    </w:pPr>
    <w:rPr>
      <w:b w:val="0"/>
      <w:sz w:val="24"/>
    </w:rPr>
  </w:style>
  <w:style w:type="paragraph" w:styleId="Heading5">
    <w:name w:val="heading 5"/>
    <w:basedOn w:val="Heading4"/>
    <w:next w:val="BodyText"/>
    <w:link w:val="Heading5Char"/>
    <w:qFormat/>
    <w:rsid w:val="00180D82"/>
    <w:pPr>
      <w:outlineLvl w:val="4"/>
    </w:pPr>
    <w:rPr>
      <w:i/>
      <w:sz w:val="22"/>
    </w:rPr>
  </w:style>
  <w:style w:type="paragraph" w:styleId="Heading6">
    <w:name w:val="heading 6"/>
    <w:basedOn w:val="BodyText"/>
    <w:next w:val="BodyText"/>
    <w:link w:val="Heading6Char"/>
    <w:rsid w:val="00180D82"/>
    <w:pPr>
      <w:spacing w:after="60"/>
      <w:jc w:val="left"/>
      <w:outlineLvl w:val="5"/>
    </w:pPr>
    <w:rPr>
      <w:i/>
      <w:sz w:val="22"/>
    </w:rPr>
  </w:style>
  <w:style w:type="paragraph" w:styleId="Heading7">
    <w:name w:val="heading 7"/>
    <w:basedOn w:val="BodyText"/>
    <w:next w:val="BodyText"/>
    <w:link w:val="Heading7Char"/>
    <w:rsid w:val="00180D82"/>
    <w:pPr>
      <w:spacing w:after="60" w:line="240" w:lineRule="auto"/>
      <w:jc w:val="left"/>
      <w:outlineLvl w:val="6"/>
    </w:pPr>
    <w:rPr>
      <w:rFonts w:ascii="Arial" w:hAnsi="Arial"/>
      <w:sz w:val="20"/>
    </w:rPr>
  </w:style>
  <w:style w:type="paragraph" w:styleId="Heading8">
    <w:name w:val="heading 8"/>
    <w:basedOn w:val="BodyText"/>
    <w:next w:val="BodyText"/>
    <w:link w:val="Heading8Char"/>
    <w:rsid w:val="00180D82"/>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80D8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80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0D82"/>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180D82"/>
    <w:pPr>
      <w:spacing w:before="240" w:line="300" w:lineRule="atLeast"/>
      <w:jc w:val="both"/>
    </w:pPr>
    <w:rPr>
      <w:sz w:val="24"/>
    </w:rPr>
  </w:style>
  <w:style w:type="paragraph" w:styleId="Footer">
    <w:name w:val="footer"/>
    <w:basedOn w:val="BodyText"/>
    <w:link w:val="FooterChar"/>
    <w:rsid w:val="00180D82"/>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180D82"/>
    <w:pPr>
      <w:spacing w:before="0" w:line="20" w:lineRule="exact"/>
    </w:pPr>
  </w:style>
  <w:style w:type="paragraph" w:styleId="Header">
    <w:name w:val="header"/>
    <w:basedOn w:val="BodyText"/>
    <w:link w:val="HeaderChar"/>
    <w:rsid w:val="00180D8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80D82"/>
    <w:pPr>
      <w:spacing w:line="20" w:lineRule="exact"/>
    </w:pPr>
    <w:rPr>
      <w:sz w:val="16"/>
    </w:rPr>
  </w:style>
  <w:style w:type="paragraph" w:customStyle="1" w:styleId="HeaderEven">
    <w:name w:val="Header Even"/>
    <w:basedOn w:val="Header"/>
    <w:semiHidden/>
    <w:rsid w:val="00180D82"/>
  </w:style>
  <w:style w:type="paragraph" w:customStyle="1" w:styleId="HeaderOdd">
    <w:name w:val="Header Odd"/>
    <w:basedOn w:val="Header"/>
    <w:semiHidden/>
    <w:rsid w:val="00180D82"/>
  </w:style>
  <w:style w:type="character" w:styleId="PageNumber">
    <w:name w:val="page number"/>
    <w:basedOn w:val="DefaultParagraphFont"/>
    <w:rsid w:val="00180D82"/>
    <w:rPr>
      <w:rFonts w:ascii="Arial" w:hAnsi="Arial"/>
      <w:b/>
      <w:sz w:val="16"/>
    </w:rPr>
  </w:style>
  <w:style w:type="paragraph" w:customStyle="1" w:styleId="Abbreviation">
    <w:name w:val="Abbreviation"/>
    <w:basedOn w:val="BodyText"/>
    <w:rsid w:val="00180D82"/>
    <w:pPr>
      <w:spacing w:before="120"/>
      <w:ind w:left="2381" w:hanging="2381"/>
      <w:jc w:val="left"/>
    </w:pPr>
  </w:style>
  <w:style w:type="paragraph" w:customStyle="1" w:styleId="Box">
    <w:name w:val="Box"/>
    <w:basedOn w:val="BodyText"/>
    <w:link w:val="BoxChar"/>
    <w:qFormat/>
    <w:rsid w:val="00180D82"/>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80D82"/>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180D82"/>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180D82"/>
    <w:rPr>
      <w:b w:val="0"/>
      <w:i/>
    </w:rPr>
  </w:style>
  <w:style w:type="paragraph" w:customStyle="1" w:styleId="BoxListBullet">
    <w:name w:val="Box List Bullet"/>
    <w:basedOn w:val="BodyText"/>
    <w:link w:val="BoxListBulletChar"/>
    <w:rsid w:val="00180D8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80D82"/>
    <w:pPr>
      <w:numPr>
        <w:numId w:val="2"/>
      </w:numPr>
      <w:ind w:left="568" w:hanging="284"/>
    </w:pPr>
  </w:style>
  <w:style w:type="paragraph" w:customStyle="1" w:styleId="BoxListNumber">
    <w:name w:val="Box List Number"/>
    <w:basedOn w:val="BodyText"/>
    <w:link w:val="BoxListNumberChar"/>
    <w:rsid w:val="00180D82"/>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180D82"/>
    <w:pPr>
      <w:numPr>
        <w:ilvl w:val="1"/>
      </w:numPr>
      <w:ind w:left="681" w:hanging="397"/>
    </w:pPr>
  </w:style>
  <w:style w:type="paragraph" w:customStyle="1" w:styleId="BoxQuote">
    <w:name w:val="Box Quote"/>
    <w:basedOn w:val="BodyText"/>
    <w:next w:val="Box"/>
    <w:link w:val="BoxQuoteChar"/>
    <w:qFormat/>
    <w:rsid w:val="00180D82"/>
    <w:pPr>
      <w:keepNext/>
      <w:spacing w:before="60" w:line="240" w:lineRule="exact"/>
      <w:ind w:left="284"/>
    </w:pPr>
    <w:rPr>
      <w:rFonts w:ascii="Arial" w:hAnsi="Arial"/>
      <w:sz w:val="18"/>
    </w:rPr>
  </w:style>
  <w:style w:type="paragraph" w:customStyle="1" w:styleId="Note">
    <w:name w:val="Note"/>
    <w:basedOn w:val="BodyText"/>
    <w:next w:val="BodyText"/>
    <w:link w:val="NoteChar"/>
    <w:rsid w:val="00180D82"/>
    <w:pPr>
      <w:keepLines/>
      <w:spacing w:before="80" w:line="220" w:lineRule="exact"/>
    </w:pPr>
    <w:rPr>
      <w:rFonts w:ascii="Arial" w:hAnsi="Arial"/>
      <w:sz w:val="18"/>
    </w:rPr>
  </w:style>
  <w:style w:type="paragraph" w:customStyle="1" w:styleId="Source">
    <w:name w:val="Source"/>
    <w:basedOn w:val="Normal"/>
    <w:next w:val="BodyText"/>
    <w:link w:val="SourceChar"/>
    <w:rsid w:val="00180D82"/>
    <w:pPr>
      <w:keepLines/>
      <w:spacing w:before="80" w:line="220" w:lineRule="exact"/>
      <w:jc w:val="both"/>
    </w:pPr>
    <w:rPr>
      <w:rFonts w:ascii="Arial" w:hAnsi="Arial"/>
      <w:sz w:val="18"/>
      <w:szCs w:val="20"/>
    </w:rPr>
  </w:style>
  <w:style w:type="paragraph" w:customStyle="1" w:styleId="BoxSource">
    <w:name w:val="Box Source"/>
    <w:basedOn w:val="Source"/>
    <w:next w:val="BodyText"/>
    <w:rsid w:val="00180D82"/>
    <w:pPr>
      <w:spacing w:before="120"/>
    </w:pPr>
  </w:style>
  <w:style w:type="paragraph" w:customStyle="1" w:styleId="BoxSpaceAbove">
    <w:name w:val="Box Space Above"/>
    <w:basedOn w:val="BodyText"/>
    <w:rsid w:val="00180D82"/>
    <w:pPr>
      <w:keepNext/>
      <w:spacing w:before="360" w:line="80" w:lineRule="exact"/>
      <w:jc w:val="left"/>
    </w:pPr>
  </w:style>
  <w:style w:type="paragraph" w:styleId="Caption">
    <w:name w:val="caption"/>
    <w:basedOn w:val="Normal"/>
    <w:next w:val="BodyText"/>
    <w:rsid w:val="00180D8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180D82"/>
    <w:pPr>
      <w:spacing w:before="120" w:after="0"/>
    </w:pPr>
  </w:style>
  <w:style w:type="paragraph" w:customStyle="1" w:styleId="BoxSubtitle">
    <w:name w:val="Box Subtitle"/>
    <w:basedOn w:val="BoxTitle"/>
    <w:next w:val="Normal"/>
    <w:rsid w:val="00180D82"/>
    <w:pPr>
      <w:spacing w:after="80" w:line="200" w:lineRule="exact"/>
      <w:ind w:firstLine="0"/>
    </w:pPr>
    <w:rPr>
      <w:b w:val="0"/>
      <w:sz w:val="20"/>
    </w:rPr>
  </w:style>
  <w:style w:type="paragraph" w:customStyle="1" w:styleId="Chapter">
    <w:name w:val="Chapter"/>
    <w:basedOn w:val="Heading1"/>
    <w:next w:val="BodyText"/>
    <w:link w:val="ChapterChar"/>
    <w:semiHidden/>
    <w:rsid w:val="00180D82"/>
    <w:pPr>
      <w:ind w:left="0" w:firstLine="0"/>
      <w:outlineLvl w:val="9"/>
    </w:pPr>
  </w:style>
  <w:style w:type="paragraph" w:customStyle="1" w:styleId="ChapterSummary">
    <w:name w:val="Chapter Summary"/>
    <w:basedOn w:val="BodyText"/>
    <w:rsid w:val="00180D82"/>
    <w:pPr>
      <w:spacing w:line="280" w:lineRule="atLeast"/>
      <w:ind w:left="907"/>
    </w:pPr>
    <w:rPr>
      <w:rFonts w:ascii="Arial" w:hAnsi="Arial"/>
      <w:b/>
      <w:sz w:val="20"/>
    </w:rPr>
  </w:style>
  <w:style w:type="character" w:styleId="CommentReference">
    <w:name w:val="annotation reference"/>
    <w:basedOn w:val="DefaultParagraphFont"/>
    <w:semiHidden/>
    <w:rsid w:val="00180D82"/>
    <w:rPr>
      <w:b/>
      <w:vanish/>
      <w:color w:val="FF00FF"/>
      <w:sz w:val="20"/>
    </w:rPr>
  </w:style>
  <w:style w:type="paragraph" w:styleId="CommentText">
    <w:name w:val="annotation text"/>
    <w:basedOn w:val="Normal"/>
    <w:link w:val="CommentTextChar1"/>
    <w:semiHidden/>
    <w:rsid w:val="00180D82"/>
    <w:pPr>
      <w:spacing w:before="120" w:line="240" w:lineRule="atLeast"/>
      <w:ind w:left="567" w:hanging="567"/>
    </w:pPr>
    <w:rPr>
      <w:sz w:val="20"/>
    </w:rPr>
  </w:style>
  <w:style w:type="paragraph" w:customStyle="1" w:styleId="Continued">
    <w:name w:val="Continued"/>
    <w:basedOn w:val="BoxContinued"/>
    <w:next w:val="BodyText"/>
    <w:rsid w:val="00180D82"/>
  </w:style>
  <w:style w:type="character" w:customStyle="1" w:styleId="DocumentInfo">
    <w:name w:val="Document Info"/>
    <w:basedOn w:val="DefaultParagraphFont"/>
    <w:semiHidden/>
    <w:rsid w:val="00180D82"/>
    <w:rPr>
      <w:rFonts w:ascii="Arial" w:hAnsi="Arial"/>
      <w:sz w:val="14"/>
    </w:rPr>
  </w:style>
  <w:style w:type="character" w:customStyle="1" w:styleId="DraftingNote">
    <w:name w:val="Drafting Note"/>
    <w:basedOn w:val="DefaultParagraphFont"/>
    <w:rsid w:val="00180D82"/>
    <w:rPr>
      <w:b/>
      <w:color w:val="FF0000"/>
      <w:sz w:val="24"/>
      <w:u w:val="dotted"/>
    </w:rPr>
  </w:style>
  <w:style w:type="paragraph" w:customStyle="1" w:styleId="Figure">
    <w:name w:val="Figure"/>
    <w:basedOn w:val="BodyText"/>
    <w:rsid w:val="00180D82"/>
    <w:pPr>
      <w:keepNext/>
      <w:spacing w:before="120" w:after="120" w:line="240" w:lineRule="atLeast"/>
      <w:jc w:val="center"/>
    </w:pPr>
  </w:style>
  <w:style w:type="paragraph" w:customStyle="1" w:styleId="FigureTitle">
    <w:name w:val="Figure Title"/>
    <w:basedOn w:val="Caption"/>
    <w:next w:val="Subtitle"/>
    <w:rsid w:val="00180D82"/>
    <w:pPr>
      <w:spacing w:before="120"/>
    </w:pPr>
  </w:style>
  <w:style w:type="paragraph" w:styleId="Subtitle">
    <w:name w:val="Subtitle"/>
    <w:basedOn w:val="Caption"/>
    <w:link w:val="SubtitleChar"/>
    <w:qFormat/>
    <w:rsid w:val="00180D82"/>
    <w:pPr>
      <w:spacing w:before="0" w:line="200" w:lineRule="exact"/>
      <w:ind w:firstLine="0"/>
    </w:pPr>
    <w:rPr>
      <w:b w:val="0"/>
      <w:sz w:val="20"/>
    </w:rPr>
  </w:style>
  <w:style w:type="paragraph" w:customStyle="1" w:styleId="Finding">
    <w:name w:val="Finding"/>
    <w:basedOn w:val="BodyText"/>
    <w:rsid w:val="00180D82"/>
    <w:pPr>
      <w:keepLines/>
      <w:spacing w:before="120" w:line="280" w:lineRule="atLeast"/>
    </w:pPr>
    <w:rPr>
      <w:rFonts w:ascii="Arial" w:hAnsi="Arial"/>
      <w:sz w:val="22"/>
    </w:rPr>
  </w:style>
  <w:style w:type="paragraph" w:customStyle="1" w:styleId="FindingBullet">
    <w:name w:val="Finding Bullet"/>
    <w:basedOn w:val="Finding"/>
    <w:rsid w:val="00180D82"/>
    <w:pPr>
      <w:numPr>
        <w:numId w:val="3"/>
      </w:numPr>
      <w:spacing w:before="80"/>
    </w:pPr>
  </w:style>
  <w:style w:type="paragraph" w:customStyle="1" w:styleId="FindingNoTitle">
    <w:name w:val="Finding NoTitle"/>
    <w:basedOn w:val="Finding"/>
    <w:rsid w:val="00180D82"/>
    <w:pPr>
      <w:spacing w:before="240"/>
    </w:pPr>
  </w:style>
  <w:style w:type="paragraph" w:customStyle="1" w:styleId="RecTitle">
    <w:name w:val="Rec Title"/>
    <w:basedOn w:val="BodyText"/>
    <w:next w:val="Rec"/>
    <w:qFormat/>
    <w:rsid w:val="00180D82"/>
    <w:pPr>
      <w:keepNext/>
      <w:keepLines/>
      <w:spacing w:line="280" w:lineRule="atLeast"/>
    </w:pPr>
    <w:rPr>
      <w:rFonts w:ascii="Arial" w:hAnsi="Arial"/>
      <w:caps/>
      <w:sz w:val="18"/>
    </w:rPr>
  </w:style>
  <w:style w:type="paragraph" w:customStyle="1" w:styleId="FindingTitle">
    <w:name w:val="Finding Title"/>
    <w:basedOn w:val="RecTitle"/>
    <w:next w:val="Finding"/>
    <w:rsid w:val="00180D82"/>
  </w:style>
  <w:style w:type="character" w:styleId="FootnoteReference">
    <w:name w:val="footnote reference"/>
    <w:basedOn w:val="DefaultParagraphFont"/>
    <w:semiHidden/>
    <w:rsid w:val="00180D82"/>
    <w:rPr>
      <w:rFonts w:ascii="Times New Roman" w:hAnsi="Times New Roman"/>
      <w:position w:val="6"/>
      <w:sz w:val="20"/>
      <w:vertAlign w:val="baseline"/>
    </w:rPr>
  </w:style>
  <w:style w:type="paragraph" w:styleId="FootnoteText">
    <w:name w:val="footnote text"/>
    <w:basedOn w:val="BodyText"/>
    <w:link w:val="FootnoteTextChar"/>
    <w:rsid w:val="00180D82"/>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180D82"/>
    <w:rPr>
      <w:i/>
    </w:rPr>
  </w:style>
  <w:style w:type="paragraph" w:customStyle="1" w:styleId="Jurisdictioncommentsbodytext">
    <w:name w:val="Jurisdiction comments body text"/>
    <w:rsid w:val="00180D82"/>
    <w:pPr>
      <w:spacing w:after="140"/>
      <w:jc w:val="both"/>
    </w:pPr>
    <w:rPr>
      <w:rFonts w:ascii="Arial" w:hAnsi="Arial"/>
      <w:sz w:val="24"/>
      <w:lang w:eastAsia="en-US"/>
    </w:rPr>
  </w:style>
  <w:style w:type="paragraph" w:customStyle="1" w:styleId="Jurisdictioncommentsheading">
    <w:name w:val="Jurisdiction comments heading"/>
    <w:rsid w:val="00180D8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80D82"/>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180D82"/>
    <w:pPr>
      <w:numPr>
        <w:numId w:val="5"/>
      </w:numPr>
      <w:spacing w:before="120"/>
    </w:pPr>
  </w:style>
  <w:style w:type="paragraph" w:styleId="ListBullet2">
    <w:name w:val="List Bullet 2"/>
    <w:basedOn w:val="BodyText"/>
    <w:link w:val="ListBullet2Char"/>
    <w:rsid w:val="00180D82"/>
    <w:pPr>
      <w:numPr>
        <w:numId w:val="6"/>
      </w:numPr>
      <w:spacing w:before="120"/>
    </w:pPr>
  </w:style>
  <w:style w:type="paragraph" w:styleId="ListBullet3">
    <w:name w:val="List Bullet 3"/>
    <w:basedOn w:val="BodyText"/>
    <w:rsid w:val="00180D82"/>
    <w:pPr>
      <w:numPr>
        <w:numId w:val="7"/>
      </w:numPr>
      <w:spacing w:before="120"/>
      <w:ind w:left="1020" w:hanging="340"/>
    </w:pPr>
  </w:style>
  <w:style w:type="paragraph" w:styleId="ListNumber">
    <w:name w:val="List Number"/>
    <w:basedOn w:val="BodyText"/>
    <w:rsid w:val="00180D82"/>
    <w:pPr>
      <w:numPr>
        <w:numId w:val="13"/>
      </w:numPr>
      <w:spacing w:before="120"/>
    </w:pPr>
  </w:style>
  <w:style w:type="paragraph" w:styleId="ListNumber2">
    <w:name w:val="List Number 2"/>
    <w:basedOn w:val="ListNumber"/>
    <w:rsid w:val="00180D82"/>
    <w:pPr>
      <w:numPr>
        <w:ilvl w:val="1"/>
      </w:numPr>
    </w:pPr>
  </w:style>
  <w:style w:type="paragraph" w:styleId="ListNumber3">
    <w:name w:val="List Number 3"/>
    <w:basedOn w:val="ListNumber2"/>
    <w:rsid w:val="00180D82"/>
    <w:pPr>
      <w:numPr>
        <w:ilvl w:val="2"/>
      </w:numPr>
    </w:pPr>
  </w:style>
  <w:style w:type="character" w:customStyle="1" w:styleId="NoteLabel">
    <w:name w:val="Note Label"/>
    <w:basedOn w:val="DefaultParagraphFont"/>
    <w:rsid w:val="00180D82"/>
    <w:rPr>
      <w:rFonts w:ascii="Arial" w:hAnsi="Arial"/>
      <w:b/>
      <w:position w:val="6"/>
      <w:sz w:val="18"/>
    </w:rPr>
  </w:style>
  <w:style w:type="paragraph" w:customStyle="1" w:styleId="PartDivider">
    <w:name w:val="Part Divider"/>
    <w:basedOn w:val="BodyText"/>
    <w:next w:val="BodyText"/>
    <w:semiHidden/>
    <w:rsid w:val="00180D82"/>
    <w:pPr>
      <w:spacing w:before="0" w:line="40" w:lineRule="exact"/>
      <w:jc w:val="right"/>
    </w:pPr>
    <w:rPr>
      <w:smallCaps/>
      <w:sz w:val="16"/>
    </w:rPr>
  </w:style>
  <w:style w:type="paragraph" w:customStyle="1" w:styleId="PartNumber">
    <w:name w:val="Part Number"/>
    <w:basedOn w:val="BodyText"/>
    <w:next w:val="BodyText"/>
    <w:semiHidden/>
    <w:rsid w:val="00180D82"/>
    <w:pPr>
      <w:spacing w:before="4000" w:line="320" w:lineRule="exact"/>
      <w:ind w:left="6634"/>
      <w:jc w:val="right"/>
    </w:pPr>
    <w:rPr>
      <w:smallCaps/>
      <w:spacing w:val="60"/>
      <w:sz w:val="32"/>
    </w:rPr>
  </w:style>
  <w:style w:type="paragraph" w:customStyle="1" w:styleId="PartTitle">
    <w:name w:val="Part Title"/>
    <w:basedOn w:val="BodyText"/>
    <w:semiHidden/>
    <w:rsid w:val="00180D82"/>
    <w:pPr>
      <w:spacing w:before="160" w:after="1360" w:line="520" w:lineRule="exact"/>
      <w:ind w:right="2381"/>
      <w:jc w:val="right"/>
    </w:pPr>
    <w:rPr>
      <w:smallCaps/>
      <w:sz w:val="52"/>
    </w:rPr>
  </w:style>
  <w:style w:type="paragraph" w:styleId="Quote">
    <w:name w:val="Quote"/>
    <w:basedOn w:val="BodyText"/>
    <w:next w:val="BodyText"/>
    <w:link w:val="QuoteChar"/>
    <w:qFormat/>
    <w:rsid w:val="00180D82"/>
    <w:pPr>
      <w:spacing w:before="120" w:line="280" w:lineRule="exact"/>
      <w:ind w:left="340"/>
    </w:pPr>
    <w:rPr>
      <w:sz w:val="22"/>
    </w:rPr>
  </w:style>
  <w:style w:type="paragraph" w:customStyle="1" w:styleId="QuoteBullet">
    <w:name w:val="Quote Bullet"/>
    <w:basedOn w:val="Quote"/>
    <w:rsid w:val="00180D82"/>
    <w:pPr>
      <w:numPr>
        <w:numId w:val="8"/>
      </w:numPr>
    </w:pPr>
  </w:style>
  <w:style w:type="paragraph" w:customStyle="1" w:styleId="Rec">
    <w:name w:val="Rec"/>
    <w:basedOn w:val="BodyText"/>
    <w:qFormat/>
    <w:rsid w:val="00180D82"/>
    <w:pPr>
      <w:keepLines/>
      <w:spacing w:before="120" w:line="280" w:lineRule="atLeast"/>
    </w:pPr>
    <w:rPr>
      <w:rFonts w:ascii="Arial" w:hAnsi="Arial"/>
      <w:sz w:val="22"/>
    </w:rPr>
  </w:style>
  <w:style w:type="paragraph" w:customStyle="1" w:styleId="RecBullet">
    <w:name w:val="Rec Bullet"/>
    <w:basedOn w:val="Rec"/>
    <w:rsid w:val="00180D82"/>
    <w:pPr>
      <w:numPr>
        <w:numId w:val="9"/>
      </w:numPr>
      <w:spacing w:before="80"/>
    </w:pPr>
  </w:style>
  <w:style w:type="paragraph" w:customStyle="1" w:styleId="RecB">
    <w:name w:val="RecB"/>
    <w:basedOn w:val="Normal"/>
    <w:rsid w:val="00180D8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80D82"/>
    <w:pPr>
      <w:numPr>
        <w:numId w:val="10"/>
      </w:numPr>
      <w:spacing w:before="80"/>
    </w:pPr>
  </w:style>
  <w:style w:type="paragraph" w:customStyle="1" w:styleId="RecBNoTitle">
    <w:name w:val="RecB NoTitle"/>
    <w:basedOn w:val="RecB"/>
    <w:rsid w:val="00180D82"/>
    <w:pPr>
      <w:spacing w:before="240"/>
    </w:pPr>
  </w:style>
  <w:style w:type="paragraph" w:customStyle="1" w:styleId="Reference">
    <w:name w:val="Reference"/>
    <w:basedOn w:val="BodyText"/>
    <w:link w:val="ReferenceChar"/>
    <w:rsid w:val="00180D82"/>
    <w:pPr>
      <w:spacing w:before="120"/>
      <w:ind w:left="340" w:hanging="340"/>
    </w:pPr>
  </w:style>
  <w:style w:type="paragraph" w:customStyle="1" w:styleId="SequenceInfo">
    <w:name w:val="Sequence Info"/>
    <w:basedOn w:val="BodyText"/>
    <w:semiHidden/>
    <w:rsid w:val="00180D82"/>
    <w:rPr>
      <w:vanish/>
      <w:sz w:val="16"/>
    </w:rPr>
  </w:style>
  <w:style w:type="paragraph" w:customStyle="1" w:styleId="SideNote">
    <w:name w:val="Side Note"/>
    <w:basedOn w:val="BodyText"/>
    <w:next w:val="BodyText"/>
    <w:semiHidden/>
    <w:rsid w:val="00180D8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80D82"/>
    <w:pPr>
      <w:framePr w:wrap="around"/>
      <w:numPr>
        <w:numId w:val="11"/>
      </w:numPr>
      <w:tabs>
        <w:tab w:val="left" w:pos="227"/>
      </w:tabs>
    </w:pPr>
  </w:style>
  <w:style w:type="paragraph" w:customStyle="1" w:styleId="SideNoteGraphic">
    <w:name w:val="Side Note Graphic"/>
    <w:basedOn w:val="SideNote"/>
    <w:next w:val="BodyText"/>
    <w:semiHidden/>
    <w:rsid w:val="00180D82"/>
    <w:pPr>
      <w:framePr w:wrap="around"/>
    </w:pPr>
  </w:style>
  <w:style w:type="paragraph" w:customStyle="1" w:styleId="TableBodyText">
    <w:name w:val="Table Body Text"/>
    <w:basedOn w:val="BodyText"/>
    <w:link w:val="TableBodyTextChar"/>
    <w:rsid w:val="00180D8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80D82"/>
    <w:pPr>
      <w:numPr>
        <w:numId w:val="12"/>
      </w:numPr>
      <w:jc w:val="left"/>
    </w:pPr>
  </w:style>
  <w:style w:type="paragraph" w:customStyle="1" w:styleId="TableColumnHeading">
    <w:name w:val="Table Column Heading"/>
    <w:basedOn w:val="TableBodyText"/>
    <w:link w:val="TableColumnHeadingChar"/>
    <w:rsid w:val="00180D82"/>
    <w:pPr>
      <w:spacing w:before="80" w:after="80"/>
    </w:pPr>
    <w:rPr>
      <w:i/>
    </w:rPr>
  </w:style>
  <w:style w:type="paragraph" w:styleId="TOC2">
    <w:name w:val="toc 2"/>
    <w:basedOn w:val="TOC1"/>
    <w:rsid w:val="00180D82"/>
    <w:pPr>
      <w:ind w:left="1134" w:hanging="624"/>
    </w:pPr>
    <w:rPr>
      <w:b w:val="0"/>
    </w:rPr>
  </w:style>
  <w:style w:type="paragraph" w:styleId="TOC3">
    <w:name w:val="toc 3"/>
    <w:basedOn w:val="TOC2"/>
    <w:rsid w:val="00180D82"/>
    <w:pPr>
      <w:spacing w:before="60"/>
      <w:ind w:left="1190" w:hanging="680"/>
    </w:pPr>
  </w:style>
  <w:style w:type="paragraph" w:styleId="TableofFigures">
    <w:name w:val="table of figures"/>
    <w:basedOn w:val="TOC3"/>
    <w:next w:val="BodyText"/>
    <w:semiHidden/>
    <w:rsid w:val="00180D82"/>
    <w:pPr>
      <w:ind w:left="737" w:hanging="737"/>
    </w:pPr>
  </w:style>
  <w:style w:type="paragraph" w:customStyle="1" w:styleId="TableTitle">
    <w:name w:val="Table Title"/>
    <w:basedOn w:val="Caption"/>
    <w:next w:val="Subtitle"/>
    <w:link w:val="TableTitleChar"/>
    <w:qFormat/>
    <w:rsid w:val="00180D82"/>
    <w:pPr>
      <w:spacing w:before="120"/>
    </w:pPr>
  </w:style>
  <w:style w:type="paragraph" w:customStyle="1" w:styleId="TableUnitsRow">
    <w:name w:val="Table Units Row"/>
    <w:basedOn w:val="TableBodyText"/>
    <w:rsid w:val="00180D82"/>
    <w:pPr>
      <w:spacing w:before="40"/>
    </w:pPr>
  </w:style>
  <w:style w:type="paragraph" w:styleId="TOC1">
    <w:name w:val="toc 1"/>
    <w:basedOn w:val="Normal"/>
    <w:next w:val="TOC2"/>
    <w:link w:val="TOC1Char"/>
    <w:rsid w:val="00180D8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80D82"/>
    <w:pPr>
      <w:ind w:left="1191" w:firstLine="0"/>
    </w:pPr>
  </w:style>
  <w:style w:type="paragraph" w:customStyle="1" w:styleId="RecBBullet2">
    <w:name w:val="RecB Bullet 2"/>
    <w:basedOn w:val="ListBullet2"/>
    <w:rsid w:val="00180D82"/>
    <w:pPr>
      <w:pBdr>
        <w:left w:val="single" w:sz="24" w:space="29" w:color="C0C0C0"/>
      </w:pBdr>
    </w:pPr>
    <w:rPr>
      <w:b/>
      <w:i/>
    </w:rPr>
  </w:style>
  <w:style w:type="paragraph" w:styleId="BalloonText">
    <w:name w:val="Balloon Text"/>
    <w:basedOn w:val="Normal"/>
    <w:link w:val="BalloonTextChar"/>
    <w:rsid w:val="00180D82"/>
    <w:rPr>
      <w:rFonts w:ascii="Tahoma" w:hAnsi="Tahoma" w:cs="Tahoma"/>
      <w:sz w:val="16"/>
      <w:szCs w:val="16"/>
    </w:rPr>
  </w:style>
  <w:style w:type="character" w:customStyle="1" w:styleId="BalloonTextChar">
    <w:name w:val="Balloon Text Char"/>
    <w:basedOn w:val="DefaultParagraphFont"/>
    <w:link w:val="BalloonText"/>
    <w:rsid w:val="00180D82"/>
    <w:rPr>
      <w:rFonts w:ascii="Tahoma" w:hAnsi="Tahoma" w:cs="Tahoma"/>
      <w:sz w:val="16"/>
      <w:szCs w:val="16"/>
    </w:rPr>
  </w:style>
  <w:style w:type="character" w:customStyle="1" w:styleId="SubtitleChar">
    <w:name w:val="Subtitle Char"/>
    <w:basedOn w:val="DefaultParagraphFont"/>
    <w:link w:val="Subtitle"/>
    <w:rsid w:val="00180D82"/>
    <w:rPr>
      <w:rFonts w:ascii="Arial" w:hAnsi="Arial"/>
      <w:szCs w:val="24"/>
    </w:rPr>
  </w:style>
  <w:style w:type="paragraph" w:customStyle="1" w:styleId="BoxListBullet3">
    <w:name w:val="Box List Bullet 3"/>
    <w:basedOn w:val="ListBullet3"/>
    <w:rsid w:val="00180D82"/>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80D82"/>
    <w:rPr>
      <w:i/>
      <w:iCs/>
    </w:rPr>
  </w:style>
  <w:style w:type="paragraph" w:customStyle="1" w:styleId="BoxQuoteBullet">
    <w:name w:val="Box Quote Bullet"/>
    <w:basedOn w:val="BoxQuote"/>
    <w:next w:val="Box"/>
    <w:rsid w:val="00180D82"/>
    <w:pPr>
      <w:numPr>
        <w:numId w:val="16"/>
      </w:numPr>
      <w:ind w:left="568" w:hanging="284"/>
    </w:pPr>
  </w:style>
  <w:style w:type="paragraph" w:customStyle="1" w:styleId="InformationRequestBullet">
    <w:name w:val="Information Request Bullet"/>
    <w:basedOn w:val="ListBullet"/>
    <w:next w:val="BodyText"/>
    <w:rsid w:val="00180D82"/>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180D82"/>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180D82"/>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180D82"/>
    <w:rPr>
      <w:sz w:val="24"/>
    </w:rPr>
  </w:style>
  <w:style w:type="character" w:customStyle="1" w:styleId="FooterChar">
    <w:name w:val="Footer Char"/>
    <w:basedOn w:val="BodyTextChar"/>
    <w:link w:val="Footer"/>
    <w:rsid w:val="00180D82"/>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180D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180D82"/>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80D82"/>
    <w:pPr>
      <w:numPr>
        <w:numId w:val="20"/>
      </w:numPr>
      <w:ind w:left="568" w:hanging="284"/>
    </w:pPr>
  </w:style>
  <w:style w:type="paragraph" w:customStyle="1" w:styleId="InformationRequestTitle">
    <w:name w:val="Information Request Title"/>
    <w:basedOn w:val="FindingTitle"/>
    <w:next w:val="InformationRequest"/>
    <w:rsid w:val="00180D82"/>
    <w:rPr>
      <w:i/>
    </w:rPr>
  </w:style>
  <w:style w:type="paragraph" w:customStyle="1" w:styleId="Space">
    <w:name w:val="Space"/>
    <w:basedOn w:val="Normal"/>
    <w:rsid w:val="00180D82"/>
    <w:pPr>
      <w:keepNext/>
      <w:spacing w:line="120" w:lineRule="exact"/>
      <w:jc w:val="both"/>
    </w:pPr>
    <w:rPr>
      <w:rFonts w:ascii="Arial" w:hAnsi="Arial"/>
      <w:sz w:val="20"/>
      <w:szCs w:val="20"/>
    </w:rPr>
  </w:style>
  <w:style w:type="paragraph" w:customStyle="1" w:styleId="Heading1nochapterno">
    <w:name w:val="Heading 1 (no chapter no.)"/>
    <w:basedOn w:val="Heading1"/>
    <w:rsid w:val="00180D82"/>
    <w:pPr>
      <w:spacing w:before="0"/>
      <w:ind w:left="0" w:firstLine="0"/>
    </w:pPr>
  </w:style>
  <w:style w:type="paragraph" w:customStyle="1" w:styleId="Heading2nosectionno">
    <w:name w:val="Heading 2 (no section no.)"/>
    <w:basedOn w:val="Heading2"/>
    <w:rsid w:val="00180D82"/>
    <w:pPr>
      <w:ind w:left="0" w:firstLine="0"/>
    </w:pPr>
  </w:style>
  <w:style w:type="paragraph" w:customStyle="1" w:styleId="Figurespace">
    <w:name w:val="Figure space"/>
    <w:basedOn w:val="Box"/>
    <w:rsid w:val="00180D82"/>
    <w:pPr>
      <w:spacing w:before="0" w:line="120" w:lineRule="exact"/>
    </w:pPr>
  </w:style>
  <w:style w:type="paragraph" w:customStyle="1" w:styleId="FooterDraftReport">
    <w:name w:val="FooterDraftReport"/>
    <w:basedOn w:val="Footer"/>
    <w:link w:val="FooterDraftReportChar"/>
    <w:rsid w:val="00180D8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80D8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180D82"/>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paragraph" w:styleId="BodyText2">
    <w:name w:val="Body Text 2"/>
    <w:basedOn w:val="Normal"/>
    <w:link w:val="BodyText2Char"/>
    <w:rsid w:val="006925D6"/>
    <w:pPr>
      <w:spacing w:after="120" w:line="480" w:lineRule="auto"/>
    </w:pPr>
  </w:style>
  <w:style w:type="character" w:customStyle="1" w:styleId="BodyText2Char">
    <w:name w:val="Body Text 2 Char"/>
    <w:basedOn w:val="DefaultParagraphFont"/>
    <w:link w:val="BodyText2"/>
    <w:rsid w:val="006925D6"/>
    <w:rPr>
      <w:sz w:val="24"/>
      <w:szCs w:val="24"/>
    </w:rPr>
  </w:style>
  <w:style w:type="character" w:customStyle="1" w:styleId="TableColumnHeadingChar">
    <w:name w:val="Table Column Heading Char"/>
    <w:basedOn w:val="TableBodyTextChar"/>
    <w:link w:val="TableColumnHeading"/>
    <w:rsid w:val="006925D6"/>
    <w:rPr>
      <w:rFonts w:ascii="Arial" w:hAnsi="Arial"/>
      <w:i/>
      <w:sz w:val="18"/>
    </w:rPr>
  </w:style>
  <w:style w:type="paragraph" w:styleId="TOC5">
    <w:name w:val="toc 5"/>
    <w:basedOn w:val="Normal"/>
    <w:next w:val="Normal"/>
    <w:autoRedefine/>
    <w:rsid w:val="006925D6"/>
    <w:pPr>
      <w:ind w:left="1040"/>
    </w:pPr>
    <w:rPr>
      <w:sz w:val="20"/>
      <w:szCs w:val="20"/>
    </w:rPr>
  </w:style>
  <w:style w:type="paragraph" w:styleId="TOC6">
    <w:name w:val="toc 6"/>
    <w:basedOn w:val="Normal"/>
    <w:next w:val="Normal"/>
    <w:autoRedefine/>
    <w:rsid w:val="006925D6"/>
    <w:pPr>
      <w:ind w:left="1300"/>
    </w:pPr>
    <w:rPr>
      <w:sz w:val="20"/>
      <w:szCs w:val="20"/>
    </w:rPr>
  </w:style>
  <w:style w:type="paragraph" w:styleId="TOC7">
    <w:name w:val="toc 7"/>
    <w:basedOn w:val="Normal"/>
    <w:next w:val="Normal"/>
    <w:autoRedefine/>
    <w:rsid w:val="006925D6"/>
    <w:pPr>
      <w:ind w:left="1560"/>
    </w:pPr>
    <w:rPr>
      <w:sz w:val="20"/>
      <w:szCs w:val="20"/>
    </w:rPr>
  </w:style>
  <w:style w:type="paragraph" w:styleId="TOC8">
    <w:name w:val="toc 8"/>
    <w:basedOn w:val="Normal"/>
    <w:next w:val="Normal"/>
    <w:autoRedefine/>
    <w:rsid w:val="006925D6"/>
    <w:pPr>
      <w:ind w:left="1820"/>
    </w:pPr>
    <w:rPr>
      <w:sz w:val="20"/>
      <w:szCs w:val="20"/>
    </w:rPr>
  </w:style>
  <w:style w:type="paragraph" w:styleId="TOC9">
    <w:name w:val="toc 9"/>
    <w:basedOn w:val="Normal"/>
    <w:next w:val="Normal"/>
    <w:autoRedefine/>
    <w:rsid w:val="006925D6"/>
    <w:pPr>
      <w:ind w:left="20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77740">
      <w:bodyDiv w:val="1"/>
      <w:marLeft w:val="0"/>
      <w:marRight w:val="0"/>
      <w:marTop w:val="0"/>
      <w:marBottom w:val="0"/>
      <w:divBdr>
        <w:top w:val="none" w:sz="0" w:space="0" w:color="auto"/>
        <w:left w:val="none" w:sz="0" w:space="0" w:color="auto"/>
        <w:bottom w:val="none" w:sz="0" w:space="0" w:color="auto"/>
        <w:right w:val="none" w:sz="0" w:space="0" w:color="auto"/>
      </w:divBdr>
    </w:div>
    <w:div w:id="564994973">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171875583">
      <w:bodyDiv w:val="1"/>
      <w:marLeft w:val="0"/>
      <w:marRight w:val="0"/>
      <w:marTop w:val="0"/>
      <w:marBottom w:val="0"/>
      <w:divBdr>
        <w:top w:val="none" w:sz="0" w:space="0" w:color="auto"/>
        <w:left w:val="none" w:sz="0" w:space="0" w:color="auto"/>
        <w:bottom w:val="none" w:sz="0" w:space="0" w:color="auto"/>
        <w:right w:val="none" w:sz="0" w:space="0" w:color="auto"/>
      </w:divBdr>
    </w:div>
    <w:div w:id="1615092534">
      <w:bodyDiv w:val="1"/>
      <w:marLeft w:val="0"/>
      <w:marRight w:val="0"/>
      <w:marTop w:val="0"/>
      <w:marBottom w:val="0"/>
      <w:divBdr>
        <w:top w:val="none" w:sz="0" w:space="0" w:color="auto"/>
        <w:left w:val="none" w:sz="0" w:space="0" w:color="auto"/>
        <w:bottom w:val="none" w:sz="0" w:space="0" w:color="auto"/>
        <w:right w:val="none" w:sz="0" w:space="0" w:color="auto"/>
      </w:divBdr>
    </w:div>
    <w:div w:id="168790293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8DF69-B825-4FAF-9E4C-1326300D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TotalTime>
  <Pages>9</Pages>
  <Words>1712</Words>
  <Characters>9968</Characters>
  <Application>Microsoft Office Word</Application>
  <DocSecurity>0</DocSecurity>
  <Lines>188</Lines>
  <Paragraphs>67</Paragraphs>
  <ScaleCrop>false</ScaleCrop>
  <HeadingPairs>
    <vt:vector size="2" baseType="variant">
      <vt:variant>
        <vt:lpstr>Title</vt:lpstr>
      </vt:variant>
      <vt:variant>
        <vt:i4>1</vt:i4>
      </vt:variant>
    </vt:vector>
  </HeadingPairs>
  <TitlesOfParts>
    <vt:vector size="1" baseType="lpstr">
      <vt:lpstr>Sector overview C Justice - Indigenous Compendium 2015</vt:lpstr>
    </vt:vector>
  </TitlesOfParts>
  <Company>Productivity Commission</Company>
  <LinksUpToDate>false</LinksUpToDate>
  <CharactersWithSpaces>11613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C Justice - Indigenous Compendium 2015</dc:title>
  <dc:creator>Steering Committee for the Review of Government Service Provision</dc:creator>
  <dc:description>C.</dc:description>
  <cp:lastModifiedBy>Frech, Tanya</cp:lastModifiedBy>
  <cp:revision>14</cp:revision>
  <cp:lastPrinted>2015-04-07T04:43:00Z</cp:lastPrinted>
  <dcterms:created xsi:type="dcterms:W3CDTF">2015-03-30T22:56:00Z</dcterms:created>
  <dcterms:modified xsi:type="dcterms:W3CDTF">2015-04-07T04:46:00Z</dcterms:modified>
</cp:coreProperties>
</file>