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85561A" w:rsidRDefault="007655EF" w:rsidP="007655EF">
      <w:pPr>
        <w:pStyle w:val="Heading1"/>
      </w:pPr>
      <w:bookmarkStart w:id="0" w:name="ChapterNumber"/>
      <w:bookmarkStart w:id="1" w:name="_Toc410820905"/>
      <w:r w:rsidRPr="0085561A">
        <w:t>E</w:t>
      </w:r>
      <w:bookmarkEnd w:id="0"/>
      <w:r w:rsidRPr="0085561A">
        <w:tab/>
      </w:r>
      <w:bookmarkStart w:id="2" w:name="_Appendix"/>
      <w:bookmarkStart w:id="3" w:name="ChapterTitle"/>
      <w:bookmarkEnd w:id="2"/>
      <w:r w:rsidRPr="0085561A">
        <w:t>Health sector overview</w:t>
      </w:r>
      <w:bookmarkEnd w:id="3"/>
      <w:bookmarkEnd w:id="1"/>
    </w:p>
    <w:bookmarkStart w:id="4" w:name="begin" w:displacedByCustomXml="next"/>
    <w:bookmarkEnd w:id="4" w:displacedByCustomXml="next"/>
    <w:sdt>
      <w:sdtPr>
        <w:rPr>
          <w:rFonts w:ascii="Arial" w:eastAsia="Times New Roman" w:hAnsi="Arial" w:cs="Times New Roman"/>
          <w:b w:val="0"/>
          <w:bCs w:val="0"/>
          <w:color w:val="auto"/>
          <w:sz w:val="26"/>
          <w:szCs w:val="26"/>
          <w:lang w:val="en-AU" w:eastAsia="en-US"/>
        </w:rPr>
        <w:id w:val="1428625668"/>
        <w:docPartObj>
          <w:docPartGallery w:val="Table of Contents"/>
          <w:docPartUnique/>
        </w:docPartObj>
      </w:sdtPr>
      <w:sdtEndPr>
        <w:rPr>
          <w:rStyle w:val="Hyperlink"/>
          <w:color w:val="0000FF"/>
          <w:u w:val="single"/>
        </w:rPr>
      </w:sdtEndPr>
      <w:sdtContent>
        <w:p w:rsidR="00F60B3F" w:rsidRPr="001528B9" w:rsidRDefault="00F60B3F" w:rsidP="00F60B3F">
          <w:pPr>
            <w:pStyle w:val="TOCHeading"/>
            <w:rPr>
              <w:rFonts w:ascii="Arial" w:eastAsia="Times New Roman" w:hAnsi="Arial" w:cs="Times New Roman"/>
              <w:bCs w:val="0"/>
              <w:noProof/>
              <w:color w:val="auto"/>
              <w:sz w:val="24"/>
              <w:szCs w:val="26"/>
              <w:lang w:val="en-AU" w:eastAsia="en-US"/>
            </w:rPr>
          </w:pPr>
          <w:r w:rsidRPr="001528B9">
            <w:rPr>
              <w:rFonts w:ascii="Arial" w:eastAsia="Times New Roman" w:hAnsi="Arial" w:cs="Times New Roman"/>
              <w:bCs w:val="0"/>
              <w:noProof/>
              <w:color w:val="auto"/>
              <w:sz w:val="24"/>
              <w:szCs w:val="26"/>
              <w:lang w:val="en-AU" w:eastAsia="en-US"/>
            </w:rPr>
            <w:t>CONTENTS</w:t>
          </w:r>
        </w:p>
        <w:p w:rsidR="00F60B3F" w:rsidRPr="001528B9" w:rsidRDefault="00F60B3F" w:rsidP="00F60B3F">
          <w:pPr>
            <w:pStyle w:val="TOC2"/>
            <w:rPr>
              <w:rStyle w:val="Hyperlink"/>
              <w:noProof/>
            </w:rPr>
          </w:pPr>
          <w:r w:rsidRPr="003742D0">
            <w:rPr>
              <w:noProof/>
            </w:rPr>
            <w:t>Aboriginal and Torres Strait Islander data in the Health sector overview</w:t>
          </w:r>
          <w:r w:rsidRPr="003742D0">
            <w:rPr>
              <w:noProof/>
              <w:webHidden/>
            </w:rPr>
            <w:tab/>
            <w:t>E.</w:t>
          </w:r>
          <w:r w:rsidR="001528B9" w:rsidRPr="003742D0">
            <w:rPr>
              <w:noProof/>
              <w:webHidden/>
            </w:rPr>
            <w:t>2</w:t>
          </w:r>
        </w:p>
        <w:p w:rsidR="00F60B3F" w:rsidRPr="001528B9" w:rsidRDefault="00F60B3F" w:rsidP="00F60B3F">
          <w:pPr>
            <w:pStyle w:val="TOC2"/>
            <w:rPr>
              <w:rStyle w:val="Hyperlink"/>
              <w:noProof/>
            </w:rPr>
          </w:pPr>
          <w:r w:rsidRPr="003742D0">
            <w:rPr>
              <w:noProof/>
            </w:rPr>
            <w:t>Policy context</w:t>
          </w:r>
          <w:r w:rsidRPr="003742D0">
            <w:rPr>
              <w:noProof/>
              <w:webHidden/>
            </w:rPr>
            <w:tab/>
            <w:t>E.</w:t>
          </w:r>
          <w:r w:rsidR="001528B9" w:rsidRPr="003742D0">
            <w:rPr>
              <w:noProof/>
              <w:webHidden/>
            </w:rPr>
            <w:t>3</w:t>
          </w:r>
        </w:p>
        <w:p w:rsidR="00F60B3F" w:rsidRPr="001528B9" w:rsidRDefault="00F60B3F" w:rsidP="00F60B3F">
          <w:pPr>
            <w:pStyle w:val="TOC2"/>
            <w:rPr>
              <w:rStyle w:val="Hyperlink"/>
              <w:noProof/>
            </w:rPr>
          </w:pPr>
          <w:r w:rsidRPr="003742D0">
            <w:rPr>
              <w:noProof/>
            </w:rPr>
            <w:t>Profile of health sector</w:t>
          </w:r>
          <w:r w:rsidRPr="003742D0">
            <w:rPr>
              <w:noProof/>
              <w:webHidden/>
            </w:rPr>
            <w:tab/>
            <w:t>E.</w:t>
          </w:r>
          <w:r w:rsidR="001528B9" w:rsidRPr="003742D0">
            <w:rPr>
              <w:noProof/>
              <w:webHidden/>
            </w:rPr>
            <w:t>4</w:t>
          </w:r>
        </w:p>
        <w:p w:rsidR="00F60B3F" w:rsidRPr="001528B9" w:rsidRDefault="00F60B3F" w:rsidP="00F60B3F">
          <w:pPr>
            <w:pStyle w:val="TOC2"/>
            <w:rPr>
              <w:rStyle w:val="Hyperlink"/>
              <w:noProof/>
            </w:rPr>
          </w:pPr>
          <w:r w:rsidRPr="003742D0">
            <w:rPr>
              <w:noProof/>
            </w:rPr>
            <w:t>Factors affecting demand for services</w:t>
          </w:r>
          <w:r w:rsidRPr="003742D0">
            <w:rPr>
              <w:noProof/>
              <w:webHidden/>
            </w:rPr>
            <w:tab/>
            <w:t>E.</w:t>
          </w:r>
          <w:r w:rsidR="00F15C46">
            <w:rPr>
              <w:noProof/>
              <w:webHidden/>
            </w:rPr>
            <w:t>6</w:t>
          </w:r>
        </w:p>
        <w:p w:rsidR="00F60B3F" w:rsidRPr="001528B9" w:rsidRDefault="00F60B3F" w:rsidP="00F60B3F">
          <w:pPr>
            <w:pStyle w:val="TOC2"/>
            <w:rPr>
              <w:rStyle w:val="Hyperlink"/>
              <w:noProof/>
            </w:rPr>
          </w:pPr>
          <w:r w:rsidRPr="003742D0">
            <w:rPr>
              <w:noProof/>
            </w:rPr>
            <w:t>Service-sector objectives</w:t>
          </w:r>
          <w:r w:rsidRPr="003742D0">
            <w:rPr>
              <w:noProof/>
              <w:webHidden/>
            </w:rPr>
            <w:tab/>
            <w:t>E.</w:t>
          </w:r>
          <w:r w:rsidR="001528B9" w:rsidRPr="003742D0">
            <w:rPr>
              <w:noProof/>
              <w:webHidden/>
            </w:rPr>
            <w:t>6</w:t>
          </w:r>
        </w:p>
        <w:p w:rsidR="00F60B3F" w:rsidRPr="001528B9" w:rsidRDefault="00F60B3F" w:rsidP="00F60B3F">
          <w:pPr>
            <w:pStyle w:val="TOC2"/>
            <w:rPr>
              <w:rStyle w:val="Hyperlink"/>
              <w:noProof/>
            </w:rPr>
          </w:pPr>
          <w:r w:rsidRPr="003742D0">
            <w:rPr>
              <w:noProof/>
            </w:rPr>
            <w:t>Sector performance indicator framework</w:t>
          </w:r>
          <w:r w:rsidRPr="003742D0">
            <w:rPr>
              <w:noProof/>
              <w:webHidden/>
            </w:rPr>
            <w:tab/>
            <w:t>E.</w:t>
          </w:r>
          <w:r w:rsidR="001528B9" w:rsidRPr="003742D0">
            <w:rPr>
              <w:noProof/>
              <w:webHidden/>
            </w:rPr>
            <w:t>7</w:t>
          </w:r>
        </w:p>
        <w:p w:rsidR="00F60B3F" w:rsidRPr="001528B9" w:rsidRDefault="00F60B3F" w:rsidP="00F60B3F">
          <w:pPr>
            <w:pStyle w:val="TOC2"/>
            <w:rPr>
              <w:rStyle w:val="Hyperlink"/>
              <w:noProof/>
            </w:rPr>
          </w:pPr>
          <w:r w:rsidRPr="003742D0">
            <w:rPr>
              <w:noProof/>
            </w:rPr>
            <w:t>Sector-wide performance indicators</w:t>
          </w:r>
          <w:r w:rsidRPr="003742D0">
            <w:rPr>
              <w:noProof/>
              <w:webHidden/>
            </w:rPr>
            <w:tab/>
            <w:t>E.</w:t>
          </w:r>
          <w:r w:rsidR="001528B9" w:rsidRPr="003742D0">
            <w:rPr>
              <w:noProof/>
              <w:webHidden/>
            </w:rPr>
            <w:t>9</w:t>
          </w:r>
        </w:p>
        <w:p w:rsidR="00F60B3F" w:rsidRPr="001528B9" w:rsidRDefault="00EF67C3" w:rsidP="00F60B3F">
          <w:pPr>
            <w:pStyle w:val="TOC2"/>
            <w:rPr>
              <w:rStyle w:val="Hyperlink"/>
              <w:noProof/>
            </w:rPr>
          </w:pPr>
          <w:r w:rsidRPr="003742D0">
            <w:rPr>
              <w:noProof/>
            </w:rPr>
            <w:t>Cross-</w:t>
          </w:r>
          <w:r w:rsidR="00F60B3F" w:rsidRPr="003742D0">
            <w:rPr>
              <w:noProof/>
            </w:rPr>
            <w:t>cutting and interface issues</w:t>
          </w:r>
          <w:r w:rsidR="00F60B3F" w:rsidRPr="003742D0">
            <w:rPr>
              <w:noProof/>
              <w:webHidden/>
            </w:rPr>
            <w:tab/>
            <w:t>E.</w:t>
          </w:r>
          <w:r w:rsidR="001528B9" w:rsidRPr="003742D0">
            <w:rPr>
              <w:noProof/>
              <w:webHidden/>
            </w:rPr>
            <w:t>27</w:t>
          </w:r>
        </w:p>
        <w:p w:rsidR="00F60B3F" w:rsidRPr="001528B9" w:rsidRDefault="00F60B3F" w:rsidP="00F60B3F">
          <w:pPr>
            <w:pStyle w:val="TOC2"/>
            <w:rPr>
              <w:rStyle w:val="Hyperlink"/>
              <w:noProof/>
            </w:rPr>
          </w:pPr>
          <w:r w:rsidRPr="003742D0">
            <w:rPr>
              <w:noProof/>
            </w:rPr>
            <w:t>List of attachment tables</w:t>
          </w:r>
          <w:r w:rsidRPr="003742D0">
            <w:rPr>
              <w:noProof/>
              <w:webHidden/>
            </w:rPr>
            <w:tab/>
            <w:t>E.</w:t>
          </w:r>
          <w:r w:rsidR="001528B9" w:rsidRPr="003742D0">
            <w:rPr>
              <w:noProof/>
              <w:webHidden/>
            </w:rPr>
            <w:t>28</w:t>
          </w:r>
        </w:p>
        <w:p w:rsidR="00F60B3F" w:rsidRPr="001528B9" w:rsidRDefault="00F60B3F" w:rsidP="00F60B3F">
          <w:pPr>
            <w:pStyle w:val="TOC2"/>
            <w:rPr>
              <w:rStyle w:val="Hyperlink"/>
              <w:noProof/>
            </w:rPr>
          </w:pPr>
          <w:r w:rsidRPr="003742D0">
            <w:rPr>
              <w:noProof/>
            </w:rPr>
            <w:t>References</w:t>
          </w:r>
          <w:r w:rsidRPr="003742D0">
            <w:rPr>
              <w:noProof/>
              <w:webHidden/>
            </w:rPr>
            <w:tab/>
            <w:t>E.</w:t>
          </w:r>
          <w:r w:rsidR="001528B9" w:rsidRPr="003742D0">
            <w:rPr>
              <w:noProof/>
              <w:webHidden/>
            </w:rPr>
            <w:t>29</w:t>
          </w:r>
        </w:p>
      </w:sdtContent>
    </w:sdt>
    <w:p w:rsidR="00D51212" w:rsidRPr="001528B9"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1528B9" w:rsidTr="007655EF">
        <w:tc>
          <w:tcPr>
            <w:tcW w:w="8771" w:type="dxa"/>
            <w:tcBorders>
              <w:top w:val="single" w:sz="6" w:space="0" w:color="78A22F"/>
              <w:left w:val="nil"/>
              <w:bottom w:val="nil"/>
              <w:right w:val="nil"/>
            </w:tcBorders>
            <w:shd w:val="clear" w:color="auto" w:fill="F2F2F2"/>
          </w:tcPr>
          <w:p w:rsidR="00D51212" w:rsidRPr="001528B9" w:rsidRDefault="00D51212" w:rsidP="007655EF">
            <w:pPr>
              <w:pStyle w:val="BoxTitle"/>
            </w:pPr>
            <w:r w:rsidRPr="001528B9">
              <w:t>Attachment tables</w:t>
            </w:r>
          </w:p>
        </w:tc>
      </w:tr>
      <w:tr w:rsidR="00D51212" w:rsidRPr="00EF67C3" w:rsidTr="007655EF">
        <w:trPr>
          <w:cantSplit/>
        </w:trPr>
        <w:tc>
          <w:tcPr>
            <w:tcW w:w="8771" w:type="dxa"/>
            <w:tcBorders>
              <w:top w:val="nil"/>
              <w:left w:val="nil"/>
              <w:bottom w:val="nil"/>
              <w:right w:val="nil"/>
            </w:tcBorders>
            <w:shd w:val="clear" w:color="auto" w:fill="F2F2F2"/>
          </w:tcPr>
          <w:p w:rsidR="00D51212" w:rsidRPr="00EF67C3" w:rsidRDefault="00D51212" w:rsidP="007655EF">
            <w:pPr>
              <w:pStyle w:val="Box"/>
            </w:pPr>
            <w:r w:rsidRPr="001528B9">
              <w:t xml:space="preserve">Attachment tables are identified in references throughout this Indigenous Compendium by an ‘A’ prefix (for example, </w:t>
            </w:r>
            <w:r w:rsidR="007655EF" w:rsidRPr="001528B9">
              <w:t xml:space="preserve">in this sector overview, table </w:t>
            </w:r>
            <w:proofErr w:type="spellStart"/>
            <w:r w:rsidR="007655EF" w:rsidRPr="001528B9">
              <w:t>E</w:t>
            </w:r>
            <w:r w:rsidRPr="001528B9">
              <w:t>A.1</w:t>
            </w:r>
            <w:proofErr w:type="spellEnd"/>
            <w:r w:rsidRPr="001528B9">
              <w:t>). As the data are directly sourced from the 2015 Report, the Compendium also notes where the original table, figure or text in the 2015 Report can be found. For example, where the Compendi</w:t>
            </w:r>
            <w:r w:rsidR="007655EF" w:rsidRPr="001528B9">
              <w:t xml:space="preserve">um refers to ‘2015 Report, </w:t>
            </w:r>
            <w:r w:rsidR="007655EF" w:rsidRPr="001528B9">
              <w:br/>
              <w:t xml:space="preserve">p. </w:t>
            </w:r>
            <w:proofErr w:type="spellStart"/>
            <w:r w:rsidR="007655EF" w:rsidRPr="001528B9">
              <w:t>E</w:t>
            </w:r>
            <w:r w:rsidRPr="001528B9">
              <w:t>.1</w:t>
            </w:r>
            <w:proofErr w:type="spellEnd"/>
            <w:r w:rsidRPr="001528B9">
              <w:t xml:space="preserve">’, this is page 1 of the </w:t>
            </w:r>
            <w:r w:rsidR="007655EF" w:rsidRPr="001528B9">
              <w:t xml:space="preserve">Health sector overview of the </w:t>
            </w:r>
            <w:r w:rsidRPr="001528B9">
              <w:t xml:space="preserve">2015 Report, and ‘2015 Report, </w:t>
            </w:r>
            <w:r w:rsidR="007655EF" w:rsidRPr="001528B9">
              <w:br/>
              <w:t xml:space="preserve">table </w:t>
            </w:r>
            <w:proofErr w:type="spellStart"/>
            <w:r w:rsidR="007655EF" w:rsidRPr="001528B9">
              <w:t>E</w:t>
            </w:r>
            <w:r w:rsidRPr="001528B9">
              <w:t>A.1</w:t>
            </w:r>
            <w:proofErr w:type="spellEnd"/>
            <w:r w:rsidRPr="001528B9">
              <w:t xml:space="preserve">’ is table 1 </w:t>
            </w:r>
            <w:r w:rsidR="007655EF" w:rsidRPr="001528B9">
              <w:t>of attachment E</w:t>
            </w:r>
            <w:r w:rsidRPr="001528B9">
              <w:t xml:space="preserve">A of the 2015 Report. A list of attachment tables referred to in the Compendium is provided at the end of this chapter, and the full attachment tables are available from the Review website at </w:t>
            </w:r>
            <w:r w:rsidR="00EF67C3" w:rsidRPr="001528B9">
              <w:t>www.pc.gov.au/research/recurring/report-on-government-services</w:t>
            </w:r>
            <w:r w:rsidRPr="001528B9">
              <w:t>.</w:t>
            </w:r>
          </w:p>
        </w:tc>
      </w:tr>
      <w:tr w:rsidR="00D51212" w:rsidRPr="00EF67C3" w:rsidTr="007655EF">
        <w:trPr>
          <w:cantSplit/>
        </w:trPr>
        <w:tc>
          <w:tcPr>
            <w:tcW w:w="8771" w:type="dxa"/>
            <w:tcBorders>
              <w:top w:val="nil"/>
              <w:left w:val="nil"/>
              <w:bottom w:val="single" w:sz="6" w:space="0" w:color="78A22F"/>
              <w:right w:val="nil"/>
            </w:tcBorders>
            <w:shd w:val="clear" w:color="auto" w:fill="F2F2F2"/>
          </w:tcPr>
          <w:p w:rsidR="00D51212" w:rsidRPr="00EF67C3" w:rsidRDefault="00D51212" w:rsidP="007655EF">
            <w:pPr>
              <w:pStyle w:val="Box"/>
              <w:spacing w:before="0" w:line="120" w:lineRule="exact"/>
            </w:pPr>
          </w:p>
        </w:tc>
      </w:tr>
      <w:tr w:rsidR="00D51212" w:rsidRPr="00EF67C3" w:rsidTr="007655EF">
        <w:tc>
          <w:tcPr>
            <w:tcW w:w="8771" w:type="dxa"/>
            <w:tcBorders>
              <w:top w:val="single" w:sz="6" w:space="0" w:color="78A22F"/>
              <w:left w:val="nil"/>
              <w:bottom w:val="nil"/>
              <w:right w:val="nil"/>
            </w:tcBorders>
          </w:tcPr>
          <w:p w:rsidR="00D51212" w:rsidRPr="00EF67C3" w:rsidRDefault="00D51212" w:rsidP="007655EF">
            <w:pPr>
              <w:pStyle w:val="BoxSpaceBelow"/>
            </w:pPr>
          </w:p>
        </w:tc>
      </w:tr>
    </w:tbl>
    <w:p w:rsidR="003742D0" w:rsidRDefault="007655EF" w:rsidP="00EF67C3">
      <w:pPr>
        <w:pStyle w:val="BodyText"/>
      </w:pPr>
      <w:bookmarkStart w:id="5" w:name="_Toc404865398"/>
      <w:bookmarkStart w:id="6" w:name="_Toc410122156"/>
      <w:r w:rsidRPr="00EF67C3">
        <w:t xml:space="preserve">The Health sector overview in the </w:t>
      </w:r>
      <w:r w:rsidRPr="00EF67C3">
        <w:rPr>
          <w:i/>
        </w:rPr>
        <w:t>Re</w:t>
      </w:r>
      <w:r w:rsidR="009D7945" w:rsidRPr="00EF67C3">
        <w:rPr>
          <w:i/>
        </w:rPr>
        <w:t>port on Government Services 201</w:t>
      </w:r>
      <w:r w:rsidR="0045207F" w:rsidRPr="00EF67C3">
        <w:rPr>
          <w:i/>
        </w:rPr>
        <w:t>5</w:t>
      </w:r>
      <w:r w:rsidRPr="00EF67C3">
        <w:t xml:space="preserve"> </w:t>
      </w:r>
      <w:r w:rsidRPr="00EF67C3">
        <w:br/>
        <w:t xml:space="preserve">(2015 Report) provides an introduction to the </w:t>
      </w:r>
      <w:r w:rsidR="0045207F" w:rsidRPr="00EF67C3">
        <w:t>Primary and community health (chapter 10), Public hospitals (chapter 11),</w:t>
      </w:r>
      <w:r w:rsidRPr="00EF67C3">
        <w:t xml:space="preserve"> and Mental health management (chapter 12) chapters of this Report. It provides an overview of the health sector, presenting both contextual information and high level performance information. Data are reported for </w:t>
      </w:r>
      <w:r w:rsidR="00655F70" w:rsidRPr="00EF67C3">
        <w:t xml:space="preserve">Aboriginal and Torres Strait Islander Australians </w:t>
      </w:r>
      <w:r w:rsidRPr="00EF67C3">
        <w:t>for a subset of the performance indicators reported in that sector overview — those data are compiled and presented here.</w:t>
      </w:r>
      <w:bookmarkEnd w:id="5"/>
      <w:bookmarkEnd w:id="6"/>
    </w:p>
    <w:p w:rsidR="00EF67C3" w:rsidRPr="00EF67C3" w:rsidRDefault="00EF67C3" w:rsidP="00EF67C3">
      <w:pPr>
        <w:pStyle w:val="BodyText"/>
      </w:pPr>
      <w:r w:rsidRPr="00EF67C3">
        <w:lastRenderedPageBreak/>
        <w:t>Health services are concerned with promoting, restoring and maintaining a healthy society. They involve illness prevention, health promotion, the detection and treatment of illness and injury, and the rehabilitation and palliative care of individuals who experience illness and injury. The health system also includes a range of activities that raise awareness of health issues, thereby reducing the risk and onset of illness and injury.</w:t>
      </w:r>
    </w:p>
    <w:p w:rsidR="00336D7E" w:rsidRPr="00EF67C3" w:rsidRDefault="00336D7E" w:rsidP="007655EF">
      <w:pPr>
        <w:pStyle w:val="BodyText"/>
      </w:pPr>
      <w:r w:rsidRPr="00EF67C3">
        <w:t>Improvements to reporting in this edition’s Health sector overview include</w:t>
      </w:r>
      <w:r w:rsidR="007655EF" w:rsidRPr="00EF67C3">
        <w:t xml:space="preserve"> </w:t>
      </w:r>
      <w:r w:rsidRPr="00EF67C3">
        <w:t xml:space="preserve">data </w:t>
      </w:r>
      <w:r w:rsidR="00296070">
        <w:t xml:space="preserve">reported for the first time </w:t>
      </w:r>
      <w:r w:rsidRPr="00EF67C3">
        <w:t>for the prevalence of type 2 diabetes by Indigenous status</w:t>
      </w:r>
      <w:r w:rsidR="007655EF" w:rsidRPr="00EF67C3">
        <w:t>.</w:t>
      </w:r>
    </w:p>
    <w:p w:rsidR="007655EF" w:rsidRPr="00EF67C3" w:rsidRDefault="007655EF" w:rsidP="007655EF">
      <w:pPr>
        <w:pStyle w:val="Heading3"/>
      </w:pPr>
      <w:bookmarkStart w:id="7" w:name="_Toc410820906"/>
      <w:r w:rsidRPr="00EF67C3">
        <w:t>Aboriginal and Torres Strait Islander data in the Health sector overview</w:t>
      </w:r>
      <w:bookmarkEnd w:id="7"/>
    </w:p>
    <w:p w:rsidR="007655EF" w:rsidRPr="00EF67C3" w:rsidRDefault="007655EF" w:rsidP="007655EF">
      <w:pPr>
        <w:pStyle w:val="BodyText"/>
        <w:rPr>
          <w:b/>
        </w:rPr>
      </w:pPr>
      <w:r w:rsidRPr="00EF67C3">
        <w:t xml:space="preserve">The Health sector overview in the 2015 Report contains the following </w:t>
      </w:r>
      <w:r w:rsidR="00EF67C3" w:rsidRPr="00EF67C3">
        <w:t>data</w:t>
      </w:r>
      <w:r w:rsidRPr="00EF67C3">
        <w:t xml:space="preserve"> on </w:t>
      </w:r>
      <w:r w:rsidR="007D14B1" w:rsidRPr="00EF67C3">
        <w:t xml:space="preserve">Aboriginal and Torres Strait Islander </w:t>
      </w:r>
      <w:r w:rsidRPr="00EF67C3">
        <w:t>Australians:</w:t>
      </w:r>
    </w:p>
    <w:p w:rsidR="007D14B1" w:rsidRPr="00EF67C3" w:rsidRDefault="007D14B1" w:rsidP="007D14B1">
      <w:pPr>
        <w:pStyle w:val="ListBullet"/>
      </w:pPr>
      <w:r w:rsidRPr="00EF67C3">
        <w:t>babies born of low birth weight</w:t>
      </w:r>
    </w:p>
    <w:p w:rsidR="007D14B1" w:rsidRPr="00EF67C3" w:rsidRDefault="007D14B1" w:rsidP="007D14B1">
      <w:pPr>
        <w:pStyle w:val="ListBullet2"/>
      </w:pPr>
      <w:r w:rsidRPr="00EF67C3">
        <w:t>proportion of live-born singleton babies of low birthweight, by maternal Aboriginal and Tor</w:t>
      </w:r>
      <w:r w:rsidR="00EF67C3" w:rsidRPr="00EF67C3">
        <w:t>res Strait Islander status</w:t>
      </w:r>
    </w:p>
    <w:p w:rsidR="007655EF" w:rsidRPr="00EF67C3" w:rsidRDefault="007655EF" w:rsidP="007D14B1">
      <w:pPr>
        <w:pStyle w:val="ListBullet2"/>
      </w:pPr>
      <w:proofErr w:type="spellStart"/>
      <w:r w:rsidRPr="00EF67C3">
        <w:t>birthweights</w:t>
      </w:r>
      <w:proofErr w:type="spellEnd"/>
      <w:r w:rsidRPr="00EF67C3">
        <w:t xml:space="preserve">, live births, </w:t>
      </w:r>
      <w:r w:rsidR="007D14B1" w:rsidRPr="00EF67C3">
        <w:t>Aboriginal and Torr</w:t>
      </w:r>
      <w:r w:rsidR="00EF67C3" w:rsidRPr="00EF67C3">
        <w:t>es Strait Islander mothers</w:t>
      </w:r>
    </w:p>
    <w:p w:rsidR="007655EF" w:rsidRPr="00EF67C3" w:rsidRDefault="007655EF" w:rsidP="007655EF">
      <w:pPr>
        <w:pStyle w:val="ListBullet"/>
        <w:numPr>
          <w:ilvl w:val="0"/>
          <w:numId w:val="15"/>
        </w:numPr>
      </w:pPr>
      <w:r w:rsidRPr="00EF67C3">
        <w:t>prevalence of risk factors to the health of Australians:</w:t>
      </w:r>
    </w:p>
    <w:p w:rsidR="000F4682" w:rsidRPr="00EF67C3" w:rsidRDefault="007D14B1" w:rsidP="007655EF">
      <w:pPr>
        <w:pStyle w:val="ListBullet2"/>
      </w:pPr>
      <w:r w:rsidRPr="00EF67C3">
        <w:t xml:space="preserve">rates of </w:t>
      </w:r>
      <w:r w:rsidR="00574853" w:rsidRPr="00EF67C3">
        <w:t xml:space="preserve">overweight and </w:t>
      </w:r>
      <w:r w:rsidRPr="00EF67C3">
        <w:t>obesity</w:t>
      </w:r>
    </w:p>
    <w:p w:rsidR="007655EF" w:rsidRPr="00EF67C3" w:rsidRDefault="007655EF" w:rsidP="007655EF">
      <w:pPr>
        <w:pStyle w:val="ListBullet2"/>
      </w:pPr>
      <w:r w:rsidRPr="00EF67C3">
        <w:t>proportion of adult</w:t>
      </w:r>
      <w:r w:rsidR="00EF67C3" w:rsidRPr="00EF67C3">
        <w:t>s who are daily smokers</w:t>
      </w:r>
    </w:p>
    <w:p w:rsidR="007655EF" w:rsidRPr="00EF67C3" w:rsidRDefault="007655EF" w:rsidP="007655EF">
      <w:pPr>
        <w:pStyle w:val="ListBullet2"/>
      </w:pPr>
      <w:r w:rsidRPr="00EF67C3">
        <w:t xml:space="preserve">proportion of adults at risk of long term harm from </w:t>
      </w:r>
      <w:r w:rsidR="007D14B1" w:rsidRPr="00EF67C3">
        <w:t xml:space="preserve">alcohol (2001 </w:t>
      </w:r>
      <w:proofErr w:type="spellStart"/>
      <w:r w:rsidR="007D14B1" w:rsidRPr="00EF67C3">
        <w:t>NHMRC</w:t>
      </w:r>
      <w:proofErr w:type="spellEnd"/>
      <w:r w:rsidR="007D14B1" w:rsidRPr="00EF67C3">
        <w:t xml:space="preserve"> guidelines)</w:t>
      </w:r>
    </w:p>
    <w:p w:rsidR="007D14B1" w:rsidRPr="00EF67C3" w:rsidRDefault="000F4682" w:rsidP="007D14B1">
      <w:pPr>
        <w:pStyle w:val="ListBullet2"/>
      </w:pPr>
      <w:r w:rsidRPr="00EF67C3">
        <w:t>a</w:t>
      </w:r>
      <w:r w:rsidR="007D14B1" w:rsidRPr="00EF67C3">
        <w:t xml:space="preserve">dult </w:t>
      </w:r>
      <w:r w:rsidR="00EF67C3" w:rsidRPr="00EF67C3">
        <w:t>abstainers from alcohol</w:t>
      </w:r>
    </w:p>
    <w:p w:rsidR="007655EF" w:rsidRPr="00EF67C3" w:rsidRDefault="007655EF" w:rsidP="007655EF">
      <w:pPr>
        <w:pStyle w:val="ListBullet"/>
        <w:numPr>
          <w:ilvl w:val="0"/>
          <w:numId w:val="15"/>
        </w:numPr>
      </w:pPr>
      <w:r w:rsidRPr="00EF67C3">
        <w:t>selected potentially preventable diseases</w:t>
      </w:r>
    </w:p>
    <w:p w:rsidR="007655EF" w:rsidRPr="00EF67C3" w:rsidRDefault="007655EF" w:rsidP="007655EF">
      <w:pPr>
        <w:pStyle w:val="ListBullet2"/>
      </w:pPr>
      <w:r w:rsidRPr="00EF67C3">
        <w:t>incidence of selected cancer</w:t>
      </w:r>
      <w:r w:rsidR="00EF67C3" w:rsidRPr="00EF67C3">
        <w:t>s</w:t>
      </w:r>
    </w:p>
    <w:p w:rsidR="007655EF" w:rsidRPr="00EF67C3" w:rsidRDefault="007655EF" w:rsidP="000F4682">
      <w:pPr>
        <w:pStyle w:val="ListBullet2"/>
      </w:pPr>
      <w:r w:rsidRPr="00EF67C3">
        <w:t>age standardised rate of heart attacks</w:t>
      </w:r>
      <w:r w:rsidR="000F4682" w:rsidRPr="00EF67C3">
        <w:t xml:space="preserve"> (acute coronary events)</w:t>
      </w:r>
      <w:r w:rsidR="00EF67C3" w:rsidRPr="00EF67C3">
        <w:t>, people 25 years and over</w:t>
      </w:r>
    </w:p>
    <w:p w:rsidR="007D14B1" w:rsidRPr="00EF67C3" w:rsidRDefault="007D14B1" w:rsidP="007D14B1">
      <w:pPr>
        <w:pStyle w:val="ListBullet2"/>
      </w:pPr>
      <w:r w:rsidRPr="00EF67C3">
        <w:t>type 2 diabetes (based on fast</w:t>
      </w:r>
      <w:r w:rsidR="00EF67C3" w:rsidRPr="00EF67C3">
        <w:t>ing blood glucose test)</w:t>
      </w:r>
    </w:p>
    <w:p w:rsidR="007655EF" w:rsidRPr="00EF67C3" w:rsidRDefault="007655EF" w:rsidP="007655EF">
      <w:pPr>
        <w:pStyle w:val="ListBullet"/>
        <w:numPr>
          <w:ilvl w:val="0"/>
          <w:numId w:val="15"/>
        </w:numPr>
      </w:pPr>
      <w:r w:rsidRPr="00EF67C3">
        <w:t>potentially avoidable deaths</w:t>
      </w:r>
    </w:p>
    <w:p w:rsidR="007655EF" w:rsidRPr="00EF67C3" w:rsidRDefault="007655EF" w:rsidP="007655EF">
      <w:pPr>
        <w:pStyle w:val="ListBullet2"/>
      </w:pPr>
      <w:r w:rsidRPr="00EF67C3">
        <w:t>age standardised mortality rates of potenti</w:t>
      </w:r>
      <w:r w:rsidR="007D14B1" w:rsidRPr="00EF67C3">
        <w:t xml:space="preserve">ally avoidable deaths, under 75 </w:t>
      </w:r>
      <w:r w:rsidRPr="00EF67C3">
        <w:t>years, NSW, Queensland, WA, SA, NT</w:t>
      </w:r>
    </w:p>
    <w:p w:rsidR="007655EF" w:rsidRPr="00EF67C3" w:rsidRDefault="007655EF" w:rsidP="007655EF">
      <w:pPr>
        <w:pStyle w:val="ListBullet"/>
      </w:pPr>
      <w:r w:rsidRPr="00EF67C3">
        <w:t>mortality and life expectancy</w:t>
      </w:r>
    </w:p>
    <w:p w:rsidR="007655EF" w:rsidRPr="00EF67C3" w:rsidRDefault="007655EF" w:rsidP="007655EF">
      <w:pPr>
        <w:pStyle w:val="ListBullet2"/>
      </w:pPr>
      <w:r w:rsidRPr="00EF67C3">
        <w:t>estimated life expectancies at birth</w:t>
      </w:r>
    </w:p>
    <w:p w:rsidR="007655EF" w:rsidRPr="00EF67C3" w:rsidRDefault="007655EF" w:rsidP="007655EF">
      <w:pPr>
        <w:pStyle w:val="ListBullet2"/>
      </w:pPr>
      <w:r w:rsidRPr="00EF67C3">
        <w:t>median age at death</w:t>
      </w:r>
    </w:p>
    <w:p w:rsidR="007655EF" w:rsidRPr="00EF67C3" w:rsidRDefault="000F4682" w:rsidP="007655EF">
      <w:pPr>
        <w:pStyle w:val="ListBullet2"/>
      </w:pPr>
      <w:r w:rsidRPr="00EF67C3">
        <w:t xml:space="preserve">age standardised </w:t>
      </w:r>
      <w:r w:rsidR="00A94FB3" w:rsidRPr="00EF67C3">
        <w:t xml:space="preserve">all-cause </w:t>
      </w:r>
      <w:r w:rsidR="007655EF" w:rsidRPr="00EF67C3">
        <w:t>mortality rates, (per 1000 people)</w:t>
      </w:r>
    </w:p>
    <w:p w:rsidR="00A94FB3" w:rsidRPr="00EF67C3" w:rsidRDefault="000744D9" w:rsidP="00A94FB3">
      <w:pPr>
        <w:pStyle w:val="ListBullet2"/>
      </w:pPr>
      <w:r w:rsidRPr="00EF67C3">
        <w:t xml:space="preserve">age standardised </w:t>
      </w:r>
      <w:r w:rsidR="00A94FB3" w:rsidRPr="00EF67C3">
        <w:t>all-cause mortality rates, (per 1000 people)</w:t>
      </w:r>
    </w:p>
    <w:p w:rsidR="007655EF" w:rsidRPr="00EF67C3" w:rsidRDefault="007655EF" w:rsidP="000744D9">
      <w:pPr>
        <w:pStyle w:val="ListBullet2"/>
      </w:pPr>
      <w:r w:rsidRPr="00EF67C3">
        <w:lastRenderedPageBreak/>
        <w:t xml:space="preserve">infant and child mortality, </w:t>
      </w:r>
      <w:r w:rsidR="007D14B1" w:rsidRPr="00EF67C3">
        <w:t xml:space="preserve">three year average, </w:t>
      </w:r>
      <w:r w:rsidR="00EF67C3" w:rsidRPr="00EF67C3">
        <w:t>NSW, Queensland, WA, SA, NT</w:t>
      </w:r>
    </w:p>
    <w:p w:rsidR="007D14B1" w:rsidRPr="00EF67C3" w:rsidRDefault="00A94FB3" w:rsidP="007D14B1">
      <w:pPr>
        <w:pStyle w:val="ListBullet2"/>
      </w:pPr>
      <w:r w:rsidRPr="00EF67C3">
        <w:t xml:space="preserve">all-cause </w:t>
      </w:r>
      <w:r w:rsidR="007D14B1" w:rsidRPr="00EF67C3">
        <w:t>infant and child mortality, NSW, Queensland, WA, SA, NT</w:t>
      </w:r>
    </w:p>
    <w:p w:rsidR="007D14B1" w:rsidRPr="00EF67C3" w:rsidRDefault="00A94FB3" w:rsidP="00A94FB3">
      <w:pPr>
        <w:pStyle w:val="ListBullet2"/>
      </w:pPr>
      <w:r w:rsidRPr="00EF67C3">
        <w:t xml:space="preserve">all-cause </w:t>
      </w:r>
      <w:r w:rsidR="007D14B1" w:rsidRPr="00EF67C3">
        <w:t>infant and child mortality, NSW, Queensland, WA, SA, NT</w:t>
      </w:r>
    </w:p>
    <w:p w:rsidR="007655EF" w:rsidRPr="00EF67C3" w:rsidRDefault="007655EF" w:rsidP="007655EF">
      <w:pPr>
        <w:pStyle w:val="ListBullet2"/>
      </w:pPr>
      <w:r w:rsidRPr="00EF67C3">
        <w:t>age standardised mortality rates by major cause of death</w:t>
      </w:r>
    </w:p>
    <w:p w:rsidR="007655EF" w:rsidRPr="00EF67C3" w:rsidRDefault="007655EF" w:rsidP="007655EF">
      <w:pPr>
        <w:pStyle w:val="ListBullet"/>
        <w:numPr>
          <w:ilvl w:val="0"/>
          <w:numId w:val="15"/>
        </w:numPr>
      </w:pPr>
      <w:r w:rsidRPr="00EF67C3">
        <w:t>profi</w:t>
      </w:r>
      <w:r w:rsidR="00A94FB3" w:rsidRPr="00EF67C3">
        <w:t>le of employed health workforce</w:t>
      </w:r>
    </w:p>
    <w:p w:rsidR="007655EF" w:rsidRPr="00EF67C3" w:rsidRDefault="007655EF" w:rsidP="007655EF">
      <w:pPr>
        <w:pStyle w:val="ListBullet2"/>
      </w:pPr>
      <w:r w:rsidRPr="00EF67C3">
        <w:t>employed health workforce, by state and terri</w:t>
      </w:r>
      <w:r w:rsidR="00A94FB3" w:rsidRPr="00EF67C3">
        <w:t>tory of principal practice</w:t>
      </w:r>
    </w:p>
    <w:p w:rsidR="007655EF" w:rsidRPr="00EF67C3" w:rsidRDefault="00A94FB3" w:rsidP="00A94FB3">
      <w:pPr>
        <w:pStyle w:val="ListBullet2"/>
      </w:pPr>
      <w:r w:rsidRPr="00EF67C3">
        <w:t xml:space="preserve">Aboriginal and Torres Strait Islander health </w:t>
      </w:r>
      <w:r w:rsidR="007655EF" w:rsidRPr="00EF67C3">
        <w:t>workforce</w:t>
      </w:r>
    </w:p>
    <w:p w:rsidR="007655EF" w:rsidRPr="00EF67C3" w:rsidRDefault="007655EF" w:rsidP="007655EF">
      <w:pPr>
        <w:pStyle w:val="ListBullet2"/>
      </w:pPr>
      <w:r w:rsidRPr="00EF67C3">
        <w:t>persons employed in selected health-related occupations</w:t>
      </w:r>
    </w:p>
    <w:p w:rsidR="007655EF" w:rsidRPr="00EF67C3" w:rsidRDefault="007655EF" w:rsidP="007655EF">
      <w:pPr>
        <w:pStyle w:val="ListBullet"/>
        <w:numPr>
          <w:ilvl w:val="0"/>
          <w:numId w:val="15"/>
        </w:numPr>
      </w:pPr>
      <w:r w:rsidRPr="00EF67C3">
        <w:t>access to services compared to need</w:t>
      </w:r>
    </w:p>
    <w:p w:rsidR="007655EF" w:rsidRPr="00EF67C3" w:rsidRDefault="007655EF" w:rsidP="007655EF">
      <w:pPr>
        <w:pStyle w:val="ListBullet2"/>
      </w:pPr>
      <w:r w:rsidRPr="00EF67C3">
        <w:t>proportion of people who accessed health services by health status</w:t>
      </w:r>
      <w:r w:rsidR="00440DA0" w:rsidRPr="00EF67C3">
        <w:t>.</w:t>
      </w:r>
    </w:p>
    <w:p w:rsidR="00336D7E" w:rsidRPr="00EF67C3" w:rsidRDefault="00336D7E" w:rsidP="00336D7E">
      <w:pPr>
        <w:pStyle w:val="Heading3"/>
      </w:pPr>
      <w:bookmarkStart w:id="8" w:name="_Toc410820907"/>
      <w:r w:rsidRPr="00EF67C3">
        <w:t>Policy context</w:t>
      </w:r>
      <w:bookmarkEnd w:id="8"/>
    </w:p>
    <w:p w:rsidR="00336D7E" w:rsidRPr="00EF67C3" w:rsidRDefault="00336D7E" w:rsidP="00EF67C3">
      <w:pPr>
        <w:pStyle w:val="BodyText"/>
      </w:pPr>
      <w:r w:rsidRPr="00EF67C3">
        <w:t>All levels of government in Australia fund, deliver and regulate health services, with most of the activity performed by the Australian, State and Territory governments. The Australian Government’s hea</w:t>
      </w:r>
      <w:r w:rsidR="00EF67C3" w:rsidRPr="00EF67C3">
        <w:t xml:space="preserve">lth services activities include </w:t>
      </w:r>
      <w:r w:rsidRPr="00EF67C3">
        <w:t>funding improved access to primary health care, including Aboriginal and Torres Strait Islander</w:t>
      </w:r>
      <w:r w:rsidRPr="00EF67C3">
        <w:noBreakHyphen/>
        <w:t xml:space="preserve">specific primary health guided by the National Aboriginal and Torres Strait Islander Health Plan </w:t>
      </w:r>
      <w:r w:rsidR="00296070">
        <w:br/>
      </w:r>
      <w:r w:rsidRPr="00EF67C3">
        <w:t>2013–2023, specialist services and infrastructure for rural and remote communities</w:t>
      </w:r>
      <w:r w:rsidR="008F3702" w:rsidRPr="00EF67C3">
        <w:t>.</w:t>
      </w:r>
    </w:p>
    <w:p w:rsidR="00336D7E" w:rsidRPr="00EF67C3" w:rsidRDefault="00336D7E" w:rsidP="00336D7E">
      <w:pPr>
        <w:pStyle w:val="BodyText"/>
      </w:pPr>
      <w:r w:rsidRPr="00EF67C3">
        <w:t>State and Territory governments contribute funding for, and deliver, a range of health care services (including services specifically for Aboriginal and Torres Strait Islander Australians) such as:</w:t>
      </w:r>
    </w:p>
    <w:p w:rsidR="00336D7E" w:rsidRPr="00EF67C3" w:rsidRDefault="00336D7E" w:rsidP="00336D7E">
      <w:pPr>
        <w:pStyle w:val="ListBullet"/>
      </w:pPr>
      <w:r w:rsidRPr="00EF67C3">
        <w:t>community health services</w:t>
      </w:r>
    </w:p>
    <w:p w:rsidR="00336D7E" w:rsidRPr="00EF67C3" w:rsidRDefault="00336D7E" w:rsidP="00336D7E">
      <w:pPr>
        <w:pStyle w:val="ListBullet"/>
      </w:pPr>
      <w:r w:rsidRPr="00EF67C3">
        <w:t>mental health programs</w:t>
      </w:r>
    </w:p>
    <w:p w:rsidR="00336D7E" w:rsidRPr="00EF67C3" w:rsidRDefault="00336D7E" w:rsidP="00336D7E">
      <w:pPr>
        <w:pStyle w:val="ListBullet"/>
      </w:pPr>
      <w:r w:rsidRPr="00EF67C3">
        <w:t xml:space="preserve">specialist palliative care </w:t>
      </w:r>
    </w:p>
    <w:p w:rsidR="00336D7E" w:rsidRPr="00EF67C3" w:rsidRDefault="00336D7E" w:rsidP="00336D7E">
      <w:pPr>
        <w:pStyle w:val="ListBullet"/>
      </w:pPr>
      <w:r w:rsidRPr="00EF67C3">
        <w:t>public hospital services</w:t>
      </w:r>
    </w:p>
    <w:p w:rsidR="00336D7E" w:rsidRPr="00EF67C3" w:rsidRDefault="00440DA0" w:rsidP="00336D7E">
      <w:pPr>
        <w:pStyle w:val="ListBullet"/>
        <w:numPr>
          <w:ilvl w:val="0"/>
          <w:numId w:val="15"/>
        </w:numPr>
      </w:pPr>
      <w:r w:rsidRPr="00EF67C3">
        <w:t>public dental services</w:t>
      </w:r>
    </w:p>
    <w:p w:rsidR="00336D7E" w:rsidRPr="00EF67C3" w:rsidRDefault="00440DA0" w:rsidP="00336D7E">
      <w:pPr>
        <w:pStyle w:val="ListBullet"/>
        <w:numPr>
          <w:ilvl w:val="0"/>
          <w:numId w:val="15"/>
        </w:numPr>
      </w:pPr>
      <w:r w:rsidRPr="00EF67C3">
        <w:t>patient transport</w:t>
      </w:r>
    </w:p>
    <w:p w:rsidR="00336D7E" w:rsidRPr="00EF67C3" w:rsidRDefault="00336D7E" w:rsidP="00336D7E">
      <w:pPr>
        <w:pStyle w:val="ListBullet"/>
        <w:numPr>
          <w:ilvl w:val="0"/>
          <w:numId w:val="15"/>
        </w:numPr>
      </w:pPr>
      <w:r w:rsidRPr="00EF67C3">
        <w:t>health policy research and policy development</w:t>
      </w:r>
    </w:p>
    <w:p w:rsidR="00336D7E" w:rsidRPr="00EF67C3" w:rsidRDefault="00336D7E" w:rsidP="00336D7E">
      <w:pPr>
        <w:pStyle w:val="ListBullet"/>
        <w:numPr>
          <w:ilvl w:val="0"/>
          <w:numId w:val="15"/>
        </w:numPr>
      </w:pPr>
      <w:r w:rsidRPr="00EF67C3">
        <w:t>public health (such as health promotion programs and disease prevention)</w:t>
      </w:r>
    </w:p>
    <w:p w:rsidR="00336D7E" w:rsidRPr="00EF67C3" w:rsidRDefault="00336D7E" w:rsidP="00336D7E">
      <w:pPr>
        <w:pStyle w:val="ListBullet"/>
        <w:numPr>
          <w:ilvl w:val="0"/>
          <w:numId w:val="15"/>
        </w:numPr>
      </w:pPr>
      <w:r w:rsidRPr="00EF67C3">
        <w:t>the regulation, inspection, licensing and monitoring of premises, institutions and personnel.</w:t>
      </w:r>
    </w:p>
    <w:p w:rsidR="00336D7E" w:rsidRPr="00EF67C3" w:rsidRDefault="00336D7E" w:rsidP="00336D7E">
      <w:pPr>
        <w:pStyle w:val="Heading3"/>
      </w:pPr>
      <w:bookmarkStart w:id="9" w:name="_Toc410820908"/>
      <w:r w:rsidRPr="00EF67C3">
        <w:lastRenderedPageBreak/>
        <w:t>Profile of health sector</w:t>
      </w:r>
      <w:bookmarkEnd w:id="9"/>
    </w:p>
    <w:p w:rsidR="00336D7E" w:rsidRPr="00EF67C3" w:rsidRDefault="00336D7E" w:rsidP="00336D7E">
      <w:pPr>
        <w:pStyle w:val="BodyText"/>
      </w:pPr>
      <w:r w:rsidRPr="00EF67C3">
        <w:t>Detailed profiles for the services within the health sector are reported in chapters 10, 11 and 12, and cover health service funding and expenditure as well as the size and scope of the individual service types.</w:t>
      </w:r>
    </w:p>
    <w:p w:rsidR="00336D7E" w:rsidRPr="00EF67C3" w:rsidRDefault="00336D7E" w:rsidP="00336D7E">
      <w:pPr>
        <w:pStyle w:val="Heading4"/>
      </w:pPr>
      <w:r w:rsidRPr="00EF67C3">
        <w:t>Descriptive statistics</w:t>
      </w:r>
    </w:p>
    <w:p w:rsidR="00336D7E" w:rsidRPr="00EF67C3" w:rsidRDefault="00336D7E" w:rsidP="00336D7E">
      <w:pPr>
        <w:pStyle w:val="BodyText"/>
      </w:pPr>
      <w:r w:rsidRPr="00EF67C3">
        <w:t xml:space="preserve">Descriptive statistics for the health sector are included in this section. Additional descriptive data for each jurisdiction are presented in </w:t>
      </w:r>
      <w:r w:rsidR="008F3702" w:rsidRPr="00EF67C3">
        <w:t xml:space="preserve">2015 Report, tables </w:t>
      </w:r>
      <w:proofErr w:type="spellStart"/>
      <w:r w:rsidR="008F3702" w:rsidRPr="00EF67C3">
        <w:t>EA.5</w:t>
      </w:r>
      <w:proofErr w:type="spellEnd"/>
      <w:r w:rsidR="008F3702" w:rsidRPr="00EF67C3">
        <w:t>–</w:t>
      </w:r>
      <w:r w:rsidRPr="00EF67C3">
        <w:t>6.</w:t>
      </w:r>
    </w:p>
    <w:p w:rsidR="00336D7E" w:rsidRPr="00EF67C3" w:rsidRDefault="00336D7E" w:rsidP="004A6580">
      <w:pPr>
        <w:pStyle w:val="BodyText"/>
      </w:pPr>
      <w:r w:rsidRPr="00EF67C3">
        <w:t xml:space="preserve">In 2010-11, Australian, State and Territory government total expenditure on health for Aboriginal and Torres Strait Islander Australians was </w:t>
      </w:r>
      <w:r w:rsidR="004A6580" w:rsidRPr="00EF67C3">
        <w:t>$4.2 billion (</w:t>
      </w:r>
      <w:proofErr w:type="spellStart"/>
      <w:r w:rsidR="004A6580" w:rsidRPr="00EF67C3">
        <w:t>AIHW</w:t>
      </w:r>
      <w:proofErr w:type="spellEnd"/>
      <w:r w:rsidR="004A6580" w:rsidRPr="00EF67C3">
        <w:t xml:space="preserve"> </w:t>
      </w:r>
      <w:proofErr w:type="spellStart"/>
      <w:r w:rsidR="004A6580" w:rsidRPr="00EF67C3">
        <w:t>2013</w:t>
      </w:r>
      <w:r w:rsidR="004D3B45" w:rsidRPr="00EF67C3">
        <w:t>a</w:t>
      </w:r>
      <w:proofErr w:type="spellEnd"/>
      <w:r w:rsidR="004A6580" w:rsidRPr="00EF67C3">
        <w:t xml:space="preserve">; </w:t>
      </w:r>
      <w:r w:rsidR="004A6580" w:rsidRPr="00EF67C3">
        <w:br/>
        <w:t xml:space="preserve">table </w:t>
      </w:r>
      <w:proofErr w:type="spellStart"/>
      <w:r w:rsidRPr="00EF67C3">
        <w:t>E.1</w:t>
      </w:r>
      <w:proofErr w:type="spellEnd"/>
      <w:r w:rsidRPr="00EF67C3">
        <w:t xml:space="preserve">). Health expenditure by area of expenditure in 2010-11 is presented for Aboriginal and Torres Strait Islander and other Australians in table </w:t>
      </w:r>
      <w:proofErr w:type="spellStart"/>
      <w:r w:rsidRPr="00EF67C3">
        <w:t>E.2</w:t>
      </w:r>
      <w:proofErr w:type="spellEnd"/>
      <w:r w:rsidRPr="00EF67C3">
        <w:t>.</w:t>
      </w:r>
    </w:p>
    <w:p w:rsidR="00336D7E" w:rsidRPr="00EF67C3" w:rsidRDefault="00336D7E" w:rsidP="00336D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36D7E" w:rsidRPr="00EF67C3" w:rsidTr="007655EF">
        <w:tc>
          <w:tcPr>
            <w:tcW w:w="8771" w:type="dxa"/>
            <w:tcBorders>
              <w:top w:val="single" w:sz="6" w:space="0" w:color="78A22F" w:themeColor="accent1"/>
              <w:left w:val="nil"/>
              <w:bottom w:val="nil"/>
              <w:right w:val="nil"/>
            </w:tcBorders>
            <w:shd w:val="clear" w:color="auto" w:fill="auto"/>
          </w:tcPr>
          <w:p w:rsidR="00336D7E" w:rsidRPr="00EF67C3" w:rsidRDefault="00336D7E" w:rsidP="007655EF">
            <w:pPr>
              <w:pStyle w:val="TableTitle"/>
            </w:pPr>
            <w:r w:rsidRPr="00EF67C3">
              <w:rPr>
                <w:b w:val="0"/>
              </w:rPr>
              <w:t xml:space="preserve">Table </w:t>
            </w:r>
            <w:proofErr w:type="spellStart"/>
            <w:r w:rsidRPr="00EF67C3">
              <w:rPr>
                <w:b w:val="0"/>
              </w:rPr>
              <w:t>E.</w:t>
            </w:r>
            <w:r w:rsidRPr="00EF67C3">
              <w:rPr>
                <w:b w:val="0"/>
                <w:noProof/>
              </w:rPr>
              <w:t>1</w:t>
            </w:r>
            <w:proofErr w:type="spellEnd"/>
            <w:r w:rsidRPr="00EF67C3">
              <w:tab/>
              <w:t>Health funding for Aboriginal and Torres Strait Islander and other Australians by source of funding, 2010-11</w:t>
            </w:r>
          </w:p>
        </w:tc>
      </w:tr>
      <w:tr w:rsidR="00336D7E" w:rsidRPr="00EF67C3" w:rsidTr="007655EF">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3383"/>
              <w:gridCol w:w="1255"/>
              <w:gridCol w:w="1515"/>
              <w:gridCol w:w="1088"/>
              <w:gridCol w:w="1246"/>
            </w:tblGrid>
            <w:tr w:rsidR="00336D7E" w:rsidRPr="00EF67C3" w:rsidTr="007655EF">
              <w:tc>
                <w:tcPr>
                  <w:tcW w:w="3544" w:type="dxa"/>
                  <w:tcBorders>
                    <w:top w:val="single" w:sz="4" w:space="0" w:color="BFBFBF"/>
                    <w:bottom w:val="single" w:sz="4" w:space="0" w:color="BFBFBF"/>
                  </w:tcBorders>
                  <w:shd w:val="clear" w:color="auto" w:fill="auto"/>
                  <w:vAlign w:val="bottom"/>
                </w:tcPr>
                <w:p w:rsidR="00336D7E" w:rsidRPr="00EF67C3" w:rsidRDefault="00336D7E" w:rsidP="007655EF">
                  <w:pPr>
                    <w:pStyle w:val="TableColumnHeading"/>
                    <w:jc w:val="left"/>
                  </w:pPr>
                  <w:r w:rsidRPr="00EF67C3">
                    <w:t>Source of funding</w:t>
                  </w:r>
                </w:p>
              </w:tc>
              <w:tc>
                <w:tcPr>
                  <w:tcW w:w="3969" w:type="dxa"/>
                  <w:gridSpan w:val="3"/>
                  <w:tcBorders>
                    <w:top w:val="single" w:sz="4" w:space="0" w:color="BFBFBF"/>
                    <w:bottom w:val="single" w:sz="4" w:space="0" w:color="BFBFBF"/>
                  </w:tcBorders>
                  <w:shd w:val="clear" w:color="auto" w:fill="auto"/>
                  <w:vAlign w:val="bottom"/>
                </w:tcPr>
                <w:p w:rsidR="00336D7E" w:rsidRPr="00EF67C3" w:rsidRDefault="00336D7E" w:rsidP="007655EF">
                  <w:pPr>
                    <w:pStyle w:val="TableBodyText"/>
                    <w:jc w:val="center"/>
                    <w:rPr>
                      <w:i/>
                    </w:rPr>
                  </w:pPr>
                  <w:r w:rsidRPr="00EF67C3">
                    <w:rPr>
                      <w:i/>
                    </w:rPr>
                    <w:t>Amount ($ million)</w:t>
                  </w:r>
                </w:p>
              </w:tc>
              <w:tc>
                <w:tcPr>
                  <w:tcW w:w="1274" w:type="dxa"/>
                  <w:tcBorders>
                    <w:top w:val="single" w:sz="4" w:space="0" w:color="BFBFBF"/>
                    <w:bottom w:val="single" w:sz="4" w:space="0" w:color="BFBFBF"/>
                  </w:tcBorders>
                  <w:shd w:val="clear" w:color="auto" w:fill="auto"/>
                  <w:vAlign w:val="bottom"/>
                </w:tcPr>
                <w:p w:rsidR="00336D7E" w:rsidRPr="00EF67C3" w:rsidRDefault="00336D7E" w:rsidP="007655EF">
                  <w:pPr>
                    <w:pStyle w:val="TableBodyText"/>
                    <w:jc w:val="center"/>
                  </w:pPr>
                </w:p>
              </w:tc>
            </w:tr>
            <w:tr w:rsidR="00336D7E" w:rsidRPr="00EF67C3" w:rsidTr="007655EF">
              <w:tc>
                <w:tcPr>
                  <w:tcW w:w="3544" w:type="dxa"/>
                  <w:tcBorders>
                    <w:top w:val="single" w:sz="4" w:space="0" w:color="BFBFBF"/>
                    <w:bottom w:val="single" w:sz="4" w:space="0" w:color="BFBFBF"/>
                  </w:tcBorders>
                </w:tcPr>
                <w:p w:rsidR="00336D7E" w:rsidRPr="00EF67C3" w:rsidRDefault="00336D7E" w:rsidP="00C25C93">
                  <w:pPr>
                    <w:pStyle w:val="TableBodyText"/>
                    <w:jc w:val="left"/>
                    <w:rPr>
                      <w:rStyle w:val="DraftingNote"/>
                      <w:b w:val="0"/>
                      <w:color w:val="auto"/>
                      <w:sz w:val="18"/>
                      <w:u w:val="none"/>
                    </w:rPr>
                  </w:pPr>
                </w:p>
              </w:tc>
              <w:tc>
                <w:tcPr>
                  <w:tcW w:w="1276" w:type="dxa"/>
                  <w:tcBorders>
                    <w:top w:val="single" w:sz="4" w:space="0" w:color="BFBFBF"/>
                    <w:bottom w:val="single" w:sz="4" w:space="0" w:color="BFBFBF"/>
                  </w:tcBorders>
                  <w:shd w:val="clear" w:color="auto" w:fill="auto"/>
                  <w:vAlign w:val="bottom"/>
                </w:tcPr>
                <w:p w:rsidR="00336D7E" w:rsidRPr="00EF67C3" w:rsidRDefault="00336D7E" w:rsidP="007655EF">
                  <w:pPr>
                    <w:pStyle w:val="TableColumnHeading"/>
                  </w:pPr>
                  <w:r w:rsidRPr="00EF67C3">
                    <w:t>Aboriginal and Torres Strait Islander Australians</w:t>
                  </w:r>
                </w:p>
              </w:tc>
              <w:tc>
                <w:tcPr>
                  <w:tcW w:w="1559" w:type="dxa"/>
                  <w:tcBorders>
                    <w:top w:val="single" w:sz="4" w:space="0" w:color="BFBFBF"/>
                    <w:bottom w:val="single" w:sz="4" w:space="0" w:color="BFBFBF"/>
                  </w:tcBorders>
                  <w:shd w:val="clear" w:color="auto" w:fill="auto"/>
                  <w:vAlign w:val="bottom"/>
                </w:tcPr>
                <w:p w:rsidR="00336D7E" w:rsidRPr="00EF67C3" w:rsidRDefault="00336D7E" w:rsidP="007655EF">
                  <w:pPr>
                    <w:pStyle w:val="TableColumnHeading"/>
                  </w:pPr>
                  <w:r w:rsidRPr="00EF67C3">
                    <w:t>Other</w:t>
                  </w:r>
                  <w:r w:rsidRPr="00EF67C3">
                    <w:br/>
                    <w:t>Australians</w:t>
                  </w:r>
                </w:p>
              </w:tc>
              <w:tc>
                <w:tcPr>
                  <w:tcW w:w="1134" w:type="dxa"/>
                  <w:tcBorders>
                    <w:top w:val="single" w:sz="4" w:space="0" w:color="BFBFBF"/>
                    <w:bottom w:val="single" w:sz="4" w:space="0" w:color="BFBFBF"/>
                  </w:tcBorders>
                  <w:shd w:val="clear" w:color="auto" w:fill="auto"/>
                  <w:vAlign w:val="bottom"/>
                </w:tcPr>
                <w:p w:rsidR="00336D7E" w:rsidRPr="00EF67C3" w:rsidRDefault="00336D7E" w:rsidP="007655EF">
                  <w:pPr>
                    <w:pStyle w:val="TableColumnHeading"/>
                  </w:pPr>
                  <w:r w:rsidRPr="00EF67C3">
                    <w:t>Total</w:t>
                  </w:r>
                </w:p>
              </w:tc>
              <w:tc>
                <w:tcPr>
                  <w:tcW w:w="1274" w:type="dxa"/>
                  <w:tcBorders>
                    <w:top w:val="single" w:sz="4" w:space="0" w:color="BFBFBF"/>
                    <w:bottom w:val="single" w:sz="4" w:space="0" w:color="BFBFBF"/>
                  </w:tcBorders>
                </w:tcPr>
                <w:p w:rsidR="00336D7E" w:rsidRPr="00EF67C3" w:rsidRDefault="00336D7E" w:rsidP="007655EF">
                  <w:pPr>
                    <w:pStyle w:val="TableColumnHeading"/>
                    <w:ind w:right="28"/>
                  </w:pPr>
                  <w:r w:rsidRPr="00EF67C3">
                    <w:t>Aboriginal and Torres Strait Islander Australians share (%)</w:t>
                  </w:r>
                </w:p>
              </w:tc>
            </w:tr>
            <w:tr w:rsidR="00336D7E" w:rsidRPr="00EF67C3" w:rsidTr="007655EF">
              <w:tc>
                <w:tcPr>
                  <w:tcW w:w="3544" w:type="dxa"/>
                  <w:tcBorders>
                    <w:top w:val="single" w:sz="4" w:space="0" w:color="BFBFBF"/>
                  </w:tcBorders>
                  <w:vAlign w:val="bottom"/>
                </w:tcPr>
                <w:p w:rsidR="00336D7E" w:rsidRPr="00EF67C3" w:rsidRDefault="00336D7E" w:rsidP="007655EF">
                  <w:pPr>
                    <w:pStyle w:val="TableBodyText"/>
                    <w:jc w:val="left"/>
                  </w:pPr>
                  <w:r w:rsidRPr="00EF67C3">
                    <w:t>State and Territory governments</w:t>
                  </w:r>
                </w:p>
              </w:tc>
              <w:tc>
                <w:tcPr>
                  <w:tcW w:w="1276" w:type="dxa"/>
                  <w:tcBorders>
                    <w:top w:val="single" w:sz="4" w:space="0" w:color="BFBFBF"/>
                  </w:tcBorders>
                  <w:shd w:val="clear" w:color="auto" w:fill="auto"/>
                  <w:vAlign w:val="bottom"/>
                </w:tcPr>
                <w:p w:rsidR="00336D7E" w:rsidRPr="00EF67C3" w:rsidRDefault="00336D7E" w:rsidP="00C25C93">
                  <w:pPr>
                    <w:pStyle w:val="TableBodyText"/>
                  </w:pPr>
                  <w:r w:rsidRPr="00EF67C3">
                    <w:t xml:space="preserve"> 2 119.2</w:t>
                  </w:r>
                </w:p>
              </w:tc>
              <w:tc>
                <w:tcPr>
                  <w:tcW w:w="1559" w:type="dxa"/>
                  <w:tcBorders>
                    <w:top w:val="single" w:sz="4" w:space="0" w:color="BFBFBF"/>
                  </w:tcBorders>
                  <w:shd w:val="clear" w:color="auto" w:fill="auto"/>
                  <w:vAlign w:val="bottom"/>
                </w:tcPr>
                <w:p w:rsidR="00336D7E" w:rsidRPr="00EF67C3" w:rsidRDefault="00336D7E" w:rsidP="00C25C93">
                  <w:pPr>
                    <w:pStyle w:val="TableBodyText"/>
                  </w:pPr>
                  <w:r w:rsidRPr="00EF67C3">
                    <w:t xml:space="preserve"> 28 172.0</w:t>
                  </w:r>
                </w:p>
              </w:tc>
              <w:tc>
                <w:tcPr>
                  <w:tcW w:w="1134" w:type="dxa"/>
                  <w:tcBorders>
                    <w:top w:val="single" w:sz="4" w:space="0" w:color="BFBFBF"/>
                  </w:tcBorders>
                  <w:shd w:val="clear" w:color="auto" w:fill="auto"/>
                  <w:vAlign w:val="bottom"/>
                </w:tcPr>
                <w:p w:rsidR="00336D7E" w:rsidRPr="00EF67C3" w:rsidRDefault="00336D7E" w:rsidP="00C25C93">
                  <w:pPr>
                    <w:pStyle w:val="TableBodyText"/>
                  </w:pPr>
                  <w:r w:rsidRPr="00EF67C3">
                    <w:t xml:space="preserve"> 30 291.2</w:t>
                  </w:r>
                </w:p>
              </w:tc>
              <w:tc>
                <w:tcPr>
                  <w:tcW w:w="1274" w:type="dxa"/>
                  <w:tcBorders>
                    <w:top w:val="single" w:sz="4" w:space="0" w:color="BFBFBF"/>
                  </w:tcBorders>
                  <w:vAlign w:val="bottom"/>
                </w:tcPr>
                <w:p w:rsidR="00336D7E" w:rsidRPr="00EF67C3" w:rsidRDefault="00336D7E" w:rsidP="00C25C93">
                  <w:pPr>
                    <w:pStyle w:val="TableBodyText"/>
                  </w:pPr>
                  <w:r w:rsidRPr="00EF67C3">
                    <w:t xml:space="preserve">  7.0</w:t>
                  </w:r>
                </w:p>
              </w:tc>
            </w:tr>
            <w:tr w:rsidR="00336D7E" w:rsidRPr="00EF67C3" w:rsidTr="007655EF">
              <w:tc>
                <w:tcPr>
                  <w:tcW w:w="3544" w:type="dxa"/>
                  <w:vAlign w:val="bottom"/>
                </w:tcPr>
                <w:p w:rsidR="00336D7E" w:rsidRPr="00EF67C3" w:rsidRDefault="00336D7E" w:rsidP="007655EF">
                  <w:pPr>
                    <w:pStyle w:val="TableBodyText"/>
                    <w:jc w:val="left"/>
                  </w:pPr>
                  <w:r w:rsidRPr="00EF67C3">
                    <w:t>Australian Government</w:t>
                  </w:r>
                </w:p>
              </w:tc>
              <w:tc>
                <w:tcPr>
                  <w:tcW w:w="1276" w:type="dxa"/>
                  <w:shd w:val="clear" w:color="auto" w:fill="auto"/>
                  <w:vAlign w:val="bottom"/>
                </w:tcPr>
                <w:p w:rsidR="00336D7E" w:rsidRPr="00EF67C3" w:rsidRDefault="00336D7E" w:rsidP="00C25C93">
                  <w:pPr>
                    <w:pStyle w:val="TableBodyText"/>
                  </w:pPr>
                  <w:r w:rsidRPr="00EF67C3">
                    <w:t xml:space="preserve"> 2 040.7</w:t>
                  </w:r>
                </w:p>
              </w:tc>
              <w:tc>
                <w:tcPr>
                  <w:tcW w:w="1559" w:type="dxa"/>
                  <w:shd w:val="clear" w:color="auto" w:fill="auto"/>
                  <w:vAlign w:val="bottom"/>
                </w:tcPr>
                <w:p w:rsidR="00336D7E" w:rsidRPr="00EF67C3" w:rsidRDefault="00336D7E" w:rsidP="00C25C93">
                  <w:pPr>
                    <w:pStyle w:val="TableBodyText"/>
                  </w:pPr>
                  <w:r w:rsidRPr="00EF67C3">
                    <w:t xml:space="preserve"> 52 967.2</w:t>
                  </w:r>
                </w:p>
              </w:tc>
              <w:tc>
                <w:tcPr>
                  <w:tcW w:w="1134" w:type="dxa"/>
                  <w:shd w:val="clear" w:color="auto" w:fill="auto"/>
                  <w:vAlign w:val="bottom"/>
                </w:tcPr>
                <w:p w:rsidR="00336D7E" w:rsidRPr="00EF67C3" w:rsidRDefault="00336D7E" w:rsidP="00C25C93">
                  <w:pPr>
                    <w:pStyle w:val="TableBodyText"/>
                  </w:pPr>
                  <w:r w:rsidRPr="00EF67C3">
                    <w:t xml:space="preserve"> 55 007.8</w:t>
                  </w:r>
                </w:p>
              </w:tc>
              <w:tc>
                <w:tcPr>
                  <w:tcW w:w="1274" w:type="dxa"/>
                  <w:vAlign w:val="bottom"/>
                </w:tcPr>
                <w:p w:rsidR="00336D7E" w:rsidRPr="00EF67C3" w:rsidRDefault="00336D7E" w:rsidP="00C25C93">
                  <w:pPr>
                    <w:pStyle w:val="TableBodyText"/>
                  </w:pPr>
                  <w:r w:rsidRPr="00EF67C3">
                    <w:t xml:space="preserve">  3.7</w:t>
                  </w:r>
                </w:p>
              </w:tc>
            </w:tr>
            <w:tr w:rsidR="00336D7E" w:rsidRPr="00EF67C3" w:rsidTr="007655EF">
              <w:tc>
                <w:tcPr>
                  <w:tcW w:w="3544" w:type="dxa"/>
                  <w:vAlign w:val="bottom"/>
                </w:tcPr>
                <w:p w:rsidR="00336D7E" w:rsidRPr="00EF67C3" w:rsidRDefault="00336D7E" w:rsidP="00C4618F">
                  <w:pPr>
                    <w:pStyle w:val="TableBodyText"/>
                    <w:ind w:left="0"/>
                    <w:jc w:val="left"/>
                  </w:pPr>
                  <w:r w:rsidRPr="00EF67C3">
                    <w:tab/>
                    <w:t>Direct Australian Government</w:t>
                  </w:r>
                </w:p>
              </w:tc>
              <w:tc>
                <w:tcPr>
                  <w:tcW w:w="1276" w:type="dxa"/>
                  <w:shd w:val="clear" w:color="auto" w:fill="auto"/>
                  <w:vAlign w:val="bottom"/>
                </w:tcPr>
                <w:p w:rsidR="00336D7E" w:rsidRPr="00EF67C3" w:rsidRDefault="00336D7E" w:rsidP="00C25C93">
                  <w:pPr>
                    <w:pStyle w:val="TableBodyText"/>
                  </w:pPr>
                  <w:r w:rsidRPr="00EF67C3">
                    <w:t xml:space="preserve"> 1 245.0</w:t>
                  </w:r>
                </w:p>
              </w:tc>
              <w:tc>
                <w:tcPr>
                  <w:tcW w:w="1559" w:type="dxa"/>
                  <w:shd w:val="clear" w:color="auto" w:fill="auto"/>
                  <w:vAlign w:val="bottom"/>
                </w:tcPr>
                <w:p w:rsidR="00336D7E" w:rsidRPr="00EF67C3" w:rsidRDefault="00336D7E" w:rsidP="00C25C93">
                  <w:pPr>
                    <w:pStyle w:val="TableBodyText"/>
                  </w:pPr>
                  <w:r w:rsidRPr="00EF67C3">
                    <w:t xml:space="preserve"> 33 078.3</w:t>
                  </w:r>
                </w:p>
              </w:tc>
              <w:tc>
                <w:tcPr>
                  <w:tcW w:w="1134" w:type="dxa"/>
                  <w:shd w:val="clear" w:color="auto" w:fill="auto"/>
                  <w:vAlign w:val="bottom"/>
                </w:tcPr>
                <w:p w:rsidR="00336D7E" w:rsidRPr="00EF67C3" w:rsidRDefault="00336D7E" w:rsidP="00C25C93">
                  <w:pPr>
                    <w:pStyle w:val="TableBodyText"/>
                  </w:pPr>
                  <w:r w:rsidRPr="00EF67C3">
                    <w:t xml:space="preserve"> 34 323.3</w:t>
                  </w:r>
                </w:p>
              </w:tc>
              <w:tc>
                <w:tcPr>
                  <w:tcW w:w="1274" w:type="dxa"/>
                  <w:vAlign w:val="bottom"/>
                </w:tcPr>
                <w:p w:rsidR="00336D7E" w:rsidRPr="00EF67C3" w:rsidRDefault="00336D7E" w:rsidP="00C25C93">
                  <w:pPr>
                    <w:pStyle w:val="TableBodyText"/>
                  </w:pPr>
                  <w:r w:rsidRPr="00EF67C3">
                    <w:t xml:space="preserve">  3.6</w:t>
                  </w:r>
                </w:p>
              </w:tc>
            </w:tr>
            <w:tr w:rsidR="00336D7E" w:rsidRPr="00EF67C3" w:rsidTr="007655EF">
              <w:tc>
                <w:tcPr>
                  <w:tcW w:w="3544" w:type="dxa"/>
                  <w:vAlign w:val="bottom"/>
                </w:tcPr>
                <w:p w:rsidR="00336D7E" w:rsidRPr="00EF67C3" w:rsidRDefault="00336D7E" w:rsidP="00C4618F">
                  <w:pPr>
                    <w:pStyle w:val="TableBodyText"/>
                    <w:jc w:val="left"/>
                  </w:pPr>
                  <w:r w:rsidRPr="00EF67C3">
                    <w:tab/>
                    <w:t xml:space="preserve">Indirect through Australian </w:t>
                  </w:r>
                  <w:r w:rsidRPr="00EF67C3">
                    <w:tab/>
                    <w:t>State/Territory governments</w:t>
                  </w:r>
                </w:p>
              </w:tc>
              <w:tc>
                <w:tcPr>
                  <w:tcW w:w="1276" w:type="dxa"/>
                  <w:shd w:val="clear" w:color="auto" w:fill="auto"/>
                  <w:vAlign w:val="bottom"/>
                </w:tcPr>
                <w:p w:rsidR="00336D7E" w:rsidRPr="00EF67C3" w:rsidRDefault="00336D7E" w:rsidP="00C25C93">
                  <w:pPr>
                    <w:pStyle w:val="TableBodyText"/>
                  </w:pPr>
                  <w:r w:rsidRPr="00EF67C3">
                    <w:t xml:space="preserve">  746.1</w:t>
                  </w:r>
                </w:p>
              </w:tc>
              <w:tc>
                <w:tcPr>
                  <w:tcW w:w="1559" w:type="dxa"/>
                  <w:shd w:val="clear" w:color="auto" w:fill="auto"/>
                  <w:vAlign w:val="bottom"/>
                </w:tcPr>
                <w:p w:rsidR="00336D7E" w:rsidRPr="00EF67C3" w:rsidRDefault="00336D7E" w:rsidP="00C25C93">
                  <w:pPr>
                    <w:pStyle w:val="TableBodyText"/>
                  </w:pPr>
                  <w:r w:rsidRPr="00EF67C3">
                    <w:t xml:space="preserve"> 13 493.9</w:t>
                  </w:r>
                </w:p>
              </w:tc>
              <w:tc>
                <w:tcPr>
                  <w:tcW w:w="1134" w:type="dxa"/>
                  <w:shd w:val="clear" w:color="auto" w:fill="auto"/>
                  <w:vAlign w:val="bottom"/>
                </w:tcPr>
                <w:p w:rsidR="00336D7E" w:rsidRPr="00EF67C3" w:rsidRDefault="00336D7E" w:rsidP="00C25C93">
                  <w:pPr>
                    <w:pStyle w:val="TableBodyText"/>
                  </w:pPr>
                  <w:r w:rsidRPr="00EF67C3">
                    <w:t xml:space="preserve"> 14 240.0</w:t>
                  </w:r>
                </w:p>
              </w:tc>
              <w:tc>
                <w:tcPr>
                  <w:tcW w:w="1274" w:type="dxa"/>
                  <w:vAlign w:val="bottom"/>
                </w:tcPr>
                <w:p w:rsidR="00336D7E" w:rsidRPr="00EF67C3" w:rsidRDefault="00336D7E" w:rsidP="00C25C93">
                  <w:pPr>
                    <w:pStyle w:val="TableBodyText"/>
                  </w:pPr>
                  <w:r w:rsidRPr="00EF67C3">
                    <w:t xml:space="preserve">  5.2</w:t>
                  </w:r>
                </w:p>
              </w:tc>
            </w:tr>
            <w:tr w:rsidR="00336D7E" w:rsidRPr="00EF67C3" w:rsidTr="007655EF">
              <w:tc>
                <w:tcPr>
                  <w:tcW w:w="3544" w:type="dxa"/>
                  <w:vAlign w:val="bottom"/>
                </w:tcPr>
                <w:p w:rsidR="00336D7E" w:rsidRPr="00EF67C3" w:rsidRDefault="00336D7E" w:rsidP="00C4618F">
                  <w:pPr>
                    <w:pStyle w:val="TableBodyText"/>
                    <w:jc w:val="left"/>
                  </w:pPr>
                  <w:r w:rsidRPr="00EF67C3">
                    <w:tab/>
                    <w:t>Indirect through non-government</w:t>
                  </w:r>
                  <w:r w:rsidRPr="00EF67C3">
                    <w:rPr>
                      <w:rStyle w:val="NoteLabel"/>
                    </w:rPr>
                    <w:t>a</w:t>
                  </w:r>
                </w:p>
              </w:tc>
              <w:tc>
                <w:tcPr>
                  <w:tcW w:w="1276" w:type="dxa"/>
                  <w:shd w:val="clear" w:color="auto" w:fill="auto"/>
                  <w:vAlign w:val="bottom"/>
                </w:tcPr>
                <w:p w:rsidR="00336D7E" w:rsidRPr="00EF67C3" w:rsidRDefault="00336D7E" w:rsidP="00C25C93">
                  <w:pPr>
                    <w:pStyle w:val="TableBodyText"/>
                  </w:pPr>
                  <w:r w:rsidRPr="00EF67C3">
                    <w:t xml:space="preserve">  49.6</w:t>
                  </w:r>
                </w:p>
              </w:tc>
              <w:tc>
                <w:tcPr>
                  <w:tcW w:w="1559" w:type="dxa"/>
                  <w:shd w:val="clear" w:color="auto" w:fill="auto"/>
                  <w:vAlign w:val="bottom"/>
                </w:tcPr>
                <w:p w:rsidR="00336D7E" w:rsidRPr="00EF67C3" w:rsidRDefault="00336D7E" w:rsidP="00C25C93">
                  <w:pPr>
                    <w:pStyle w:val="TableBodyText"/>
                  </w:pPr>
                  <w:r w:rsidRPr="00EF67C3">
                    <w:t xml:space="preserve"> 6 394.9</w:t>
                  </w:r>
                </w:p>
              </w:tc>
              <w:tc>
                <w:tcPr>
                  <w:tcW w:w="1134" w:type="dxa"/>
                  <w:shd w:val="clear" w:color="auto" w:fill="auto"/>
                  <w:vAlign w:val="bottom"/>
                </w:tcPr>
                <w:p w:rsidR="00336D7E" w:rsidRPr="00EF67C3" w:rsidRDefault="00336D7E" w:rsidP="00C25C93">
                  <w:pPr>
                    <w:pStyle w:val="TableBodyText"/>
                  </w:pPr>
                  <w:r w:rsidRPr="00EF67C3">
                    <w:t xml:space="preserve"> 6 444.5</w:t>
                  </w:r>
                </w:p>
              </w:tc>
              <w:tc>
                <w:tcPr>
                  <w:tcW w:w="1274" w:type="dxa"/>
                  <w:vAlign w:val="bottom"/>
                </w:tcPr>
                <w:p w:rsidR="00336D7E" w:rsidRPr="00EF67C3" w:rsidRDefault="00336D7E" w:rsidP="00C25C93">
                  <w:pPr>
                    <w:pStyle w:val="TableBodyText"/>
                  </w:pPr>
                  <w:r w:rsidRPr="00EF67C3">
                    <w:t xml:space="preserve">  0.8</w:t>
                  </w:r>
                </w:p>
              </w:tc>
            </w:tr>
            <w:tr w:rsidR="00336D7E" w:rsidRPr="00EF67C3" w:rsidTr="007655EF">
              <w:tc>
                <w:tcPr>
                  <w:tcW w:w="3544" w:type="dxa"/>
                  <w:vAlign w:val="bottom"/>
                </w:tcPr>
                <w:p w:rsidR="00336D7E" w:rsidRPr="00EF67C3" w:rsidRDefault="00336D7E" w:rsidP="007655EF">
                  <w:pPr>
                    <w:pStyle w:val="TableBodyText"/>
                    <w:jc w:val="left"/>
                    <w:rPr>
                      <w:i/>
                    </w:rPr>
                  </w:pPr>
                  <w:r w:rsidRPr="00EF67C3">
                    <w:rPr>
                      <w:i/>
                    </w:rPr>
                    <w:t>All governments</w:t>
                  </w:r>
                </w:p>
              </w:tc>
              <w:tc>
                <w:tcPr>
                  <w:tcW w:w="1276" w:type="dxa"/>
                  <w:shd w:val="clear" w:color="auto" w:fill="auto"/>
                  <w:vAlign w:val="bottom"/>
                </w:tcPr>
                <w:p w:rsidR="00336D7E" w:rsidRPr="00EF67C3" w:rsidRDefault="00336D7E" w:rsidP="00C25C93">
                  <w:pPr>
                    <w:pStyle w:val="TableBodyText"/>
                  </w:pPr>
                  <w:r w:rsidRPr="00EF67C3">
                    <w:t xml:space="preserve"> 4 159.9</w:t>
                  </w:r>
                </w:p>
              </w:tc>
              <w:tc>
                <w:tcPr>
                  <w:tcW w:w="1559" w:type="dxa"/>
                  <w:shd w:val="clear" w:color="auto" w:fill="auto"/>
                  <w:vAlign w:val="bottom"/>
                </w:tcPr>
                <w:p w:rsidR="00336D7E" w:rsidRPr="00EF67C3" w:rsidRDefault="00336D7E" w:rsidP="00C25C93">
                  <w:pPr>
                    <w:pStyle w:val="TableBodyText"/>
                  </w:pPr>
                  <w:r w:rsidRPr="00EF67C3">
                    <w:t xml:space="preserve"> 81 139.2</w:t>
                  </w:r>
                </w:p>
              </w:tc>
              <w:tc>
                <w:tcPr>
                  <w:tcW w:w="1134" w:type="dxa"/>
                  <w:shd w:val="clear" w:color="auto" w:fill="auto"/>
                  <w:vAlign w:val="bottom"/>
                </w:tcPr>
                <w:p w:rsidR="00336D7E" w:rsidRPr="00EF67C3" w:rsidRDefault="00336D7E" w:rsidP="00C25C93">
                  <w:pPr>
                    <w:pStyle w:val="TableBodyText"/>
                  </w:pPr>
                  <w:r w:rsidRPr="00EF67C3">
                    <w:t xml:space="preserve"> 85 299.0</w:t>
                  </w:r>
                </w:p>
              </w:tc>
              <w:tc>
                <w:tcPr>
                  <w:tcW w:w="1274" w:type="dxa"/>
                  <w:vAlign w:val="bottom"/>
                </w:tcPr>
                <w:p w:rsidR="00336D7E" w:rsidRPr="00EF67C3" w:rsidRDefault="00336D7E" w:rsidP="00C25C93">
                  <w:pPr>
                    <w:pStyle w:val="TableBodyText"/>
                  </w:pPr>
                  <w:r w:rsidRPr="00EF67C3">
                    <w:t xml:space="preserve">  4.9</w:t>
                  </w:r>
                </w:p>
              </w:tc>
            </w:tr>
            <w:tr w:rsidR="00336D7E" w:rsidRPr="00EF67C3" w:rsidTr="007655EF">
              <w:tc>
                <w:tcPr>
                  <w:tcW w:w="3544" w:type="dxa"/>
                  <w:vAlign w:val="bottom"/>
                </w:tcPr>
                <w:p w:rsidR="00336D7E" w:rsidRPr="00EF67C3" w:rsidRDefault="00336D7E" w:rsidP="007655EF">
                  <w:pPr>
                    <w:pStyle w:val="TableBodyText"/>
                    <w:jc w:val="left"/>
                  </w:pPr>
                  <w:r w:rsidRPr="00EF67C3">
                    <w:t>Non-government</w:t>
                  </w:r>
                </w:p>
              </w:tc>
              <w:tc>
                <w:tcPr>
                  <w:tcW w:w="1276" w:type="dxa"/>
                  <w:shd w:val="clear" w:color="auto" w:fill="auto"/>
                  <w:vAlign w:val="bottom"/>
                </w:tcPr>
                <w:p w:rsidR="00336D7E" w:rsidRPr="00EF67C3" w:rsidRDefault="00336D7E" w:rsidP="00C25C93">
                  <w:pPr>
                    <w:pStyle w:val="TableBodyText"/>
                  </w:pPr>
                  <w:r w:rsidRPr="00EF67C3">
                    <w:t xml:space="preserve">  392.1</w:t>
                  </w:r>
                </w:p>
              </w:tc>
              <w:tc>
                <w:tcPr>
                  <w:tcW w:w="1559" w:type="dxa"/>
                  <w:shd w:val="clear" w:color="auto" w:fill="auto"/>
                  <w:vAlign w:val="bottom"/>
                </w:tcPr>
                <w:p w:rsidR="00336D7E" w:rsidRPr="00EF67C3" w:rsidRDefault="00336D7E" w:rsidP="00C25C93">
                  <w:pPr>
                    <w:pStyle w:val="TableBodyText"/>
                  </w:pPr>
                  <w:r w:rsidRPr="00EF67C3">
                    <w:t xml:space="preserve"> 37 964.9</w:t>
                  </w:r>
                </w:p>
              </w:tc>
              <w:tc>
                <w:tcPr>
                  <w:tcW w:w="1134" w:type="dxa"/>
                  <w:shd w:val="clear" w:color="auto" w:fill="auto"/>
                  <w:vAlign w:val="bottom"/>
                </w:tcPr>
                <w:p w:rsidR="00336D7E" w:rsidRPr="00EF67C3" w:rsidRDefault="00336D7E" w:rsidP="00C25C93">
                  <w:pPr>
                    <w:pStyle w:val="TableBodyText"/>
                  </w:pPr>
                  <w:r w:rsidRPr="00EF67C3">
                    <w:t xml:space="preserve"> 38 357.1</w:t>
                  </w:r>
                </w:p>
              </w:tc>
              <w:tc>
                <w:tcPr>
                  <w:tcW w:w="1274" w:type="dxa"/>
                  <w:vAlign w:val="bottom"/>
                </w:tcPr>
                <w:p w:rsidR="00336D7E" w:rsidRPr="00EF67C3" w:rsidRDefault="00336D7E" w:rsidP="00C25C93">
                  <w:pPr>
                    <w:pStyle w:val="TableBodyText"/>
                  </w:pPr>
                  <w:r w:rsidRPr="00EF67C3">
                    <w:t xml:space="preserve">  1.0</w:t>
                  </w:r>
                </w:p>
              </w:tc>
            </w:tr>
            <w:tr w:rsidR="00336D7E" w:rsidRPr="00EF67C3" w:rsidTr="007655EF">
              <w:tc>
                <w:tcPr>
                  <w:tcW w:w="3544" w:type="dxa"/>
                  <w:tcBorders>
                    <w:bottom w:val="single" w:sz="4" w:space="0" w:color="BFBFBF"/>
                  </w:tcBorders>
                  <w:vAlign w:val="bottom"/>
                </w:tcPr>
                <w:p w:rsidR="00336D7E" w:rsidRPr="00EF67C3" w:rsidRDefault="00336D7E" w:rsidP="007655EF">
                  <w:pPr>
                    <w:pStyle w:val="TableBodyText"/>
                    <w:jc w:val="left"/>
                    <w:rPr>
                      <w:b/>
                    </w:rPr>
                  </w:pPr>
                  <w:r w:rsidRPr="00EF67C3">
                    <w:rPr>
                      <w:b/>
                    </w:rPr>
                    <w:t>Total health</w:t>
                  </w:r>
                </w:p>
              </w:tc>
              <w:tc>
                <w:tcPr>
                  <w:tcW w:w="1276" w:type="dxa"/>
                  <w:tcBorders>
                    <w:bottom w:val="single" w:sz="4" w:space="0" w:color="BFBFBF"/>
                  </w:tcBorders>
                  <w:shd w:val="clear" w:color="auto" w:fill="auto"/>
                  <w:vAlign w:val="bottom"/>
                </w:tcPr>
                <w:p w:rsidR="00336D7E" w:rsidRPr="00EF67C3" w:rsidRDefault="00336D7E" w:rsidP="00C25C93">
                  <w:pPr>
                    <w:pStyle w:val="TableBodyText"/>
                    <w:rPr>
                      <w:b/>
                    </w:rPr>
                  </w:pPr>
                  <w:r w:rsidRPr="00EF67C3">
                    <w:rPr>
                      <w:b/>
                    </w:rPr>
                    <w:t xml:space="preserve"> 4 552.0</w:t>
                  </w:r>
                </w:p>
              </w:tc>
              <w:tc>
                <w:tcPr>
                  <w:tcW w:w="1559" w:type="dxa"/>
                  <w:tcBorders>
                    <w:bottom w:val="single" w:sz="4" w:space="0" w:color="BFBFBF"/>
                  </w:tcBorders>
                  <w:shd w:val="clear" w:color="auto" w:fill="auto"/>
                  <w:vAlign w:val="bottom"/>
                </w:tcPr>
                <w:p w:rsidR="00336D7E" w:rsidRPr="00EF67C3" w:rsidRDefault="00336D7E" w:rsidP="00C25C93">
                  <w:pPr>
                    <w:pStyle w:val="TableBodyText"/>
                    <w:rPr>
                      <w:b/>
                    </w:rPr>
                  </w:pPr>
                  <w:r w:rsidRPr="00EF67C3">
                    <w:rPr>
                      <w:b/>
                    </w:rPr>
                    <w:t xml:space="preserve"> 119 104.1</w:t>
                  </w:r>
                </w:p>
              </w:tc>
              <w:tc>
                <w:tcPr>
                  <w:tcW w:w="1134" w:type="dxa"/>
                  <w:tcBorders>
                    <w:bottom w:val="single" w:sz="4" w:space="0" w:color="BFBFBF"/>
                  </w:tcBorders>
                  <w:shd w:val="clear" w:color="auto" w:fill="auto"/>
                  <w:vAlign w:val="bottom"/>
                </w:tcPr>
                <w:p w:rsidR="00336D7E" w:rsidRPr="00EF67C3" w:rsidRDefault="00336D7E" w:rsidP="00C25C93">
                  <w:pPr>
                    <w:pStyle w:val="TableBodyText"/>
                    <w:rPr>
                      <w:b/>
                    </w:rPr>
                  </w:pPr>
                  <w:r w:rsidRPr="00EF67C3">
                    <w:rPr>
                      <w:b/>
                    </w:rPr>
                    <w:t xml:space="preserve"> 123 656.1</w:t>
                  </w:r>
                </w:p>
              </w:tc>
              <w:tc>
                <w:tcPr>
                  <w:tcW w:w="1274" w:type="dxa"/>
                  <w:tcBorders>
                    <w:bottom w:val="single" w:sz="4" w:space="0" w:color="BFBFBF"/>
                  </w:tcBorders>
                  <w:vAlign w:val="bottom"/>
                </w:tcPr>
                <w:p w:rsidR="00336D7E" w:rsidRPr="00EF67C3" w:rsidRDefault="00336D7E" w:rsidP="00C25C93">
                  <w:pPr>
                    <w:pStyle w:val="TableBodyText"/>
                    <w:rPr>
                      <w:b/>
                    </w:rPr>
                  </w:pPr>
                  <w:r w:rsidRPr="00EF67C3">
                    <w:rPr>
                      <w:b/>
                    </w:rPr>
                    <w:t xml:space="preserve">  3.7</w:t>
                  </w:r>
                </w:p>
              </w:tc>
            </w:tr>
          </w:tbl>
          <w:p w:rsidR="00336D7E" w:rsidRPr="00EF67C3" w:rsidRDefault="00336D7E" w:rsidP="007655EF">
            <w:pPr>
              <w:pStyle w:val="Box"/>
              <w:keepLines/>
            </w:pPr>
          </w:p>
        </w:tc>
      </w:tr>
      <w:tr w:rsidR="00336D7E" w:rsidRPr="00EF67C3" w:rsidTr="007655EF">
        <w:trPr>
          <w:cantSplit/>
        </w:trPr>
        <w:tc>
          <w:tcPr>
            <w:tcW w:w="8771" w:type="dxa"/>
            <w:tcBorders>
              <w:top w:val="nil"/>
              <w:left w:val="nil"/>
              <w:bottom w:val="nil"/>
              <w:right w:val="nil"/>
            </w:tcBorders>
            <w:shd w:val="clear" w:color="auto" w:fill="auto"/>
          </w:tcPr>
          <w:p w:rsidR="00336D7E" w:rsidRPr="00EF67C3" w:rsidRDefault="00336D7E" w:rsidP="007655EF">
            <w:pPr>
              <w:pStyle w:val="Note"/>
              <w:keepNext/>
            </w:pPr>
            <w:proofErr w:type="spellStart"/>
            <w:r w:rsidRPr="00EF67C3">
              <w:rPr>
                <w:rStyle w:val="NoteLabel"/>
              </w:rPr>
              <w:t>a</w:t>
            </w:r>
            <w:proofErr w:type="spellEnd"/>
            <w:r w:rsidRPr="00EF67C3">
              <w:t xml:space="preserve"> Includes private health insurance rebates for all Australians. Also includes Specific Purpose Payments covering highly specialised drugs in private hospitals and other payments.</w:t>
            </w:r>
          </w:p>
        </w:tc>
      </w:tr>
      <w:tr w:rsidR="00336D7E" w:rsidRPr="00EF67C3" w:rsidTr="007655EF">
        <w:trPr>
          <w:cantSplit/>
        </w:trPr>
        <w:tc>
          <w:tcPr>
            <w:tcW w:w="8771" w:type="dxa"/>
            <w:tcBorders>
              <w:top w:val="nil"/>
              <w:left w:val="nil"/>
              <w:bottom w:val="nil"/>
              <w:right w:val="nil"/>
            </w:tcBorders>
            <w:shd w:val="clear" w:color="auto" w:fill="auto"/>
          </w:tcPr>
          <w:p w:rsidR="00336D7E" w:rsidRPr="00EF67C3" w:rsidRDefault="00336D7E" w:rsidP="004A6580">
            <w:pPr>
              <w:pStyle w:val="Source"/>
              <w:rPr>
                <w:shd w:val="clear" w:color="auto" w:fill="F9F9F9" w:themeFill="accent4" w:themeFillTint="66"/>
              </w:rPr>
            </w:pPr>
            <w:r w:rsidRPr="00EF67C3">
              <w:rPr>
                <w:i/>
              </w:rPr>
              <w:t>Source</w:t>
            </w:r>
            <w:r w:rsidRPr="00EF67C3">
              <w:t xml:space="preserve">: AIHW (2013) </w:t>
            </w:r>
            <w:r w:rsidRPr="00EF67C3">
              <w:rPr>
                <w:i/>
              </w:rPr>
              <w:t>Expenditure on health for Aboriginal and Torres Strait Islander people 2010</w:t>
            </w:r>
            <w:r w:rsidRPr="00EF67C3">
              <w:rPr>
                <w:i/>
              </w:rPr>
              <w:noBreakHyphen/>
              <w:t>11,</w:t>
            </w:r>
            <w:r w:rsidRPr="00EF67C3">
              <w:t xml:space="preserve"> Health and Welfare Expenditure</w:t>
            </w:r>
            <w:r w:rsidR="004A6580" w:rsidRPr="00EF67C3">
              <w:t xml:space="preserve"> Series no. 48, Cat. no. </w:t>
            </w:r>
            <w:proofErr w:type="spellStart"/>
            <w:r w:rsidR="004A6580" w:rsidRPr="00EF67C3">
              <w:t>HWE</w:t>
            </w:r>
            <w:proofErr w:type="spellEnd"/>
            <w:r w:rsidR="004A6580" w:rsidRPr="00EF67C3">
              <w:t xml:space="preserve"> 57; 2015 Report, table </w:t>
            </w:r>
            <w:proofErr w:type="spellStart"/>
            <w:r w:rsidR="004A6580" w:rsidRPr="00EF67C3">
              <w:t>E.1</w:t>
            </w:r>
            <w:proofErr w:type="spellEnd"/>
            <w:r w:rsidR="004A6580" w:rsidRPr="00EF67C3">
              <w:t xml:space="preserve">, p. </w:t>
            </w:r>
            <w:proofErr w:type="spellStart"/>
            <w:r w:rsidR="004A6580" w:rsidRPr="00EF67C3">
              <w:t>E.7</w:t>
            </w:r>
            <w:proofErr w:type="spellEnd"/>
            <w:r w:rsidR="004A6580" w:rsidRPr="00EF67C3">
              <w:t>.</w:t>
            </w:r>
          </w:p>
        </w:tc>
      </w:tr>
      <w:tr w:rsidR="00336D7E" w:rsidRPr="00EF67C3" w:rsidTr="007655EF">
        <w:trPr>
          <w:cantSplit/>
        </w:trPr>
        <w:tc>
          <w:tcPr>
            <w:tcW w:w="8771" w:type="dxa"/>
            <w:tcBorders>
              <w:top w:val="nil"/>
              <w:left w:val="nil"/>
              <w:bottom w:val="single" w:sz="6" w:space="0" w:color="78A22F" w:themeColor="accent1"/>
              <w:right w:val="nil"/>
            </w:tcBorders>
            <w:shd w:val="clear" w:color="auto" w:fill="auto"/>
          </w:tcPr>
          <w:p w:rsidR="00336D7E" w:rsidRPr="00EF67C3" w:rsidRDefault="00336D7E" w:rsidP="007655EF">
            <w:pPr>
              <w:pStyle w:val="Box"/>
              <w:keepLines/>
              <w:spacing w:before="0" w:line="120" w:lineRule="exact"/>
            </w:pPr>
          </w:p>
        </w:tc>
      </w:tr>
      <w:tr w:rsidR="00336D7E" w:rsidRPr="00EF67C3" w:rsidTr="007655EF">
        <w:tc>
          <w:tcPr>
            <w:tcW w:w="8771" w:type="dxa"/>
            <w:tcBorders>
              <w:top w:val="single" w:sz="6" w:space="0" w:color="78A22F" w:themeColor="accent1"/>
              <w:left w:val="nil"/>
              <w:bottom w:val="nil"/>
              <w:right w:val="nil"/>
            </w:tcBorders>
          </w:tcPr>
          <w:p w:rsidR="00336D7E" w:rsidRPr="00EF67C3" w:rsidRDefault="00336D7E" w:rsidP="007655EF">
            <w:pPr>
              <w:pStyle w:val="BoxSpaceBelow"/>
              <w:keepLines/>
            </w:pPr>
          </w:p>
        </w:tc>
      </w:tr>
    </w:tbl>
    <w:p w:rsidR="00117312" w:rsidRPr="00EF67C3" w:rsidRDefault="00117312" w:rsidP="00117312">
      <w:pPr>
        <w:pStyle w:val="BoxSpaceAbove"/>
      </w:pPr>
      <w:bookmarkStart w:id="10" w:name="_Toc410820909"/>
    </w:p>
    <w:tbl>
      <w:tblPr>
        <w:tblW w:w="876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117312" w:rsidRPr="00EF67C3" w:rsidTr="00791CB3">
        <w:tc>
          <w:tcPr>
            <w:tcW w:w="8767" w:type="dxa"/>
            <w:tcBorders>
              <w:top w:val="single" w:sz="6" w:space="0" w:color="78A22F" w:themeColor="accent1"/>
              <w:left w:val="nil"/>
              <w:bottom w:val="nil"/>
              <w:right w:val="nil"/>
            </w:tcBorders>
            <w:shd w:val="clear" w:color="auto" w:fill="auto"/>
          </w:tcPr>
          <w:p w:rsidR="00117312" w:rsidRPr="00EF67C3" w:rsidRDefault="00117312" w:rsidP="00287CEA">
            <w:pPr>
              <w:pStyle w:val="TableTitle"/>
            </w:pPr>
            <w:r w:rsidRPr="00EF67C3">
              <w:rPr>
                <w:b w:val="0"/>
              </w:rPr>
              <w:t xml:space="preserve">Table </w:t>
            </w:r>
            <w:proofErr w:type="spellStart"/>
            <w:r w:rsidRPr="00EF67C3">
              <w:rPr>
                <w:b w:val="0"/>
              </w:rPr>
              <w:t>E.</w:t>
            </w:r>
            <w:r w:rsidRPr="00EF67C3">
              <w:rPr>
                <w:b w:val="0"/>
                <w:noProof/>
              </w:rPr>
              <w:t>2</w:t>
            </w:r>
            <w:proofErr w:type="spellEnd"/>
            <w:r w:rsidRPr="00EF67C3">
              <w:tab/>
              <w:t>Expenditure on health services for Aboriginal and Torres Strait Islander and other Australians, 2010-11</w:t>
            </w:r>
          </w:p>
        </w:tc>
      </w:tr>
      <w:tr w:rsidR="00117312" w:rsidRPr="00EF67C3" w:rsidTr="00791CB3">
        <w:trPr>
          <w:cantSplit/>
        </w:trPr>
        <w:tc>
          <w:tcPr>
            <w:tcW w:w="8767" w:type="dxa"/>
            <w:tcBorders>
              <w:top w:val="nil"/>
              <w:left w:val="nil"/>
              <w:bottom w:val="nil"/>
              <w:right w:val="nil"/>
            </w:tcBorders>
            <w:shd w:val="clear" w:color="auto" w:fill="auto"/>
          </w:tcPr>
          <w:tbl>
            <w:tblPr>
              <w:tblW w:w="8483" w:type="dxa"/>
              <w:tblLayout w:type="fixed"/>
              <w:tblCellMar>
                <w:left w:w="0" w:type="dxa"/>
                <w:right w:w="0" w:type="dxa"/>
              </w:tblCellMar>
              <w:tblLook w:val="0000" w:firstRow="0" w:lastRow="0" w:firstColumn="0" w:lastColumn="0" w:noHBand="0" w:noVBand="0"/>
            </w:tblPr>
            <w:tblGrid>
              <w:gridCol w:w="1254"/>
              <w:gridCol w:w="1010"/>
              <w:gridCol w:w="1107"/>
              <w:gridCol w:w="1001"/>
              <w:gridCol w:w="993"/>
              <w:gridCol w:w="1134"/>
              <w:gridCol w:w="1134"/>
              <w:gridCol w:w="850"/>
            </w:tblGrid>
            <w:tr w:rsidR="00C4618F" w:rsidRPr="00EF67C3" w:rsidTr="00791CB3">
              <w:tc>
                <w:tcPr>
                  <w:tcW w:w="1254" w:type="dxa"/>
                  <w:vMerge w:val="restart"/>
                  <w:tcBorders>
                    <w:top w:val="single" w:sz="4" w:space="0" w:color="BFBFBF"/>
                    <w:bottom w:val="single" w:sz="4" w:space="0" w:color="BFBFBF"/>
                  </w:tcBorders>
                  <w:shd w:val="clear" w:color="auto" w:fill="auto"/>
                  <w:vAlign w:val="bottom"/>
                </w:tcPr>
                <w:p w:rsidR="00117312" w:rsidRPr="00EF67C3" w:rsidRDefault="00117312" w:rsidP="00287CEA">
                  <w:pPr>
                    <w:pStyle w:val="TableColumnHeading"/>
                    <w:jc w:val="left"/>
                    <w:rPr>
                      <w:b/>
                    </w:rPr>
                  </w:pPr>
                  <w:r w:rsidRPr="00EF67C3">
                    <w:rPr>
                      <w:b/>
                    </w:rPr>
                    <w:t>Area of expenditure</w:t>
                  </w:r>
                </w:p>
              </w:tc>
              <w:tc>
                <w:tcPr>
                  <w:tcW w:w="3118" w:type="dxa"/>
                  <w:gridSpan w:val="3"/>
                  <w:tcBorders>
                    <w:top w:val="single" w:sz="4" w:space="0" w:color="BFBFBF"/>
                    <w:bottom w:val="single" w:sz="4" w:space="0" w:color="BFBFBF"/>
                  </w:tcBorders>
                  <w:shd w:val="clear" w:color="auto" w:fill="auto"/>
                </w:tcPr>
                <w:p w:rsidR="00117312" w:rsidRPr="00EF67C3" w:rsidRDefault="00117312" w:rsidP="00287CEA">
                  <w:pPr>
                    <w:pStyle w:val="TableColumnHeading"/>
                    <w:jc w:val="center"/>
                    <w:rPr>
                      <w:b/>
                    </w:rPr>
                  </w:pPr>
                  <w:r w:rsidRPr="00EF67C3">
                    <w:rPr>
                      <w:b/>
                    </w:rPr>
                    <w:t>Expenditure ($ million)</w:t>
                  </w:r>
                </w:p>
              </w:tc>
              <w:tc>
                <w:tcPr>
                  <w:tcW w:w="993" w:type="dxa"/>
                  <w:tcBorders>
                    <w:top w:val="single" w:sz="4" w:space="0" w:color="BFBFBF"/>
                    <w:bottom w:val="single" w:sz="4" w:space="0" w:color="BFBFBF"/>
                  </w:tcBorders>
                  <w:shd w:val="clear" w:color="auto" w:fill="auto"/>
                </w:tcPr>
                <w:p w:rsidR="00117312" w:rsidRPr="00EF67C3" w:rsidRDefault="00117312" w:rsidP="00287CEA">
                  <w:pPr>
                    <w:pStyle w:val="TableColumnHeading"/>
                    <w:jc w:val="center"/>
                    <w:rPr>
                      <w:b/>
                    </w:rPr>
                  </w:pPr>
                </w:p>
              </w:tc>
              <w:tc>
                <w:tcPr>
                  <w:tcW w:w="2268" w:type="dxa"/>
                  <w:gridSpan w:val="2"/>
                  <w:tcBorders>
                    <w:top w:val="single" w:sz="4" w:space="0" w:color="BFBFBF"/>
                    <w:bottom w:val="single" w:sz="4" w:space="0" w:color="BFBFBF"/>
                  </w:tcBorders>
                  <w:shd w:val="clear" w:color="auto" w:fill="auto"/>
                </w:tcPr>
                <w:p w:rsidR="00117312" w:rsidRPr="00EF67C3" w:rsidRDefault="00117312" w:rsidP="00287CEA">
                  <w:pPr>
                    <w:pStyle w:val="TableColumnHeading"/>
                    <w:ind w:right="28"/>
                    <w:jc w:val="center"/>
                    <w:rPr>
                      <w:b/>
                    </w:rPr>
                  </w:pPr>
                  <w:r w:rsidRPr="00EF67C3">
                    <w:rPr>
                      <w:b/>
                    </w:rPr>
                    <w:t>Expenditure per person ($)</w:t>
                  </w:r>
                </w:p>
              </w:tc>
              <w:tc>
                <w:tcPr>
                  <w:tcW w:w="850" w:type="dxa"/>
                  <w:tcBorders>
                    <w:top w:val="single" w:sz="4" w:space="0" w:color="BFBFBF"/>
                  </w:tcBorders>
                  <w:shd w:val="clear" w:color="auto" w:fill="auto"/>
                </w:tcPr>
                <w:p w:rsidR="00117312" w:rsidRPr="00EF67C3" w:rsidRDefault="00117312" w:rsidP="00287CEA">
                  <w:pPr>
                    <w:pStyle w:val="TableColumnHeading"/>
                    <w:ind w:right="28"/>
                    <w:jc w:val="center"/>
                    <w:rPr>
                      <w:b/>
                    </w:rPr>
                  </w:pPr>
                </w:p>
              </w:tc>
            </w:tr>
            <w:tr w:rsidR="00C4618F" w:rsidRPr="00EF67C3" w:rsidTr="00791CB3">
              <w:trPr>
                <w:trHeight w:val="569"/>
              </w:trPr>
              <w:tc>
                <w:tcPr>
                  <w:tcW w:w="1254" w:type="dxa"/>
                  <w:vMerge/>
                  <w:tcBorders>
                    <w:top w:val="single" w:sz="4" w:space="0" w:color="BFBFBF" w:themeColor="background2"/>
                    <w:bottom w:val="single" w:sz="4" w:space="0" w:color="BFBFBF"/>
                  </w:tcBorders>
                </w:tcPr>
                <w:p w:rsidR="00117312" w:rsidRPr="00EF67C3" w:rsidRDefault="00117312" w:rsidP="00287CEA">
                  <w:pPr>
                    <w:pStyle w:val="TableBodyText"/>
                    <w:jc w:val="left"/>
                  </w:pPr>
                </w:p>
              </w:tc>
              <w:tc>
                <w:tcPr>
                  <w:tcW w:w="1010" w:type="dxa"/>
                  <w:tcBorders>
                    <w:top w:val="single" w:sz="4" w:space="0" w:color="BFBFBF"/>
                    <w:bottom w:val="single" w:sz="4" w:space="0" w:color="BFBFBF"/>
                  </w:tcBorders>
                  <w:vAlign w:val="bottom"/>
                </w:tcPr>
                <w:p w:rsidR="00117312" w:rsidRPr="00EF67C3" w:rsidRDefault="00117312" w:rsidP="00287CEA">
                  <w:pPr>
                    <w:pStyle w:val="TableColumnHeading"/>
                  </w:pPr>
                  <w:r w:rsidRPr="00EF67C3">
                    <w:t>Aboriginal and Torres Strait Islander Australians</w:t>
                  </w:r>
                </w:p>
              </w:tc>
              <w:tc>
                <w:tcPr>
                  <w:tcW w:w="1107" w:type="dxa"/>
                  <w:tcBorders>
                    <w:top w:val="single" w:sz="4" w:space="0" w:color="BFBFBF"/>
                    <w:bottom w:val="single" w:sz="4" w:space="0" w:color="BFBFBF"/>
                  </w:tcBorders>
                  <w:shd w:val="clear" w:color="auto" w:fill="auto"/>
                  <w:vAlign w:val="bottom"/>
                </w:tcPr>
                <w:p w:rsidR="00117312" w:rsidRPr="00EF67C3" w:rsidRDefault="00117312" w:rsidP="00287CEA">
                  <w:pPr>
                    <w:pStyle w:val="TableColumnHeading"/>
                  </w:pPr>
                  <w:r w:rsidRPr="00EF67C3">
                    <w:t>Other Australians</w:t>
                  </w:r>
                </w:p>
              </w:tc>
              <w:tc>
                <w:tcPr>
                  <w:tcW w:w="1001" w:type="dxa"/>
                  <w:tcBorders>
                    <w:top w:val="single" w:sz="4" w:space="0" w:color="BFBFBF"/>
                    <w:bottom w:val="single" w:sz="4" w:space="0" w:color="BFBFBF"/>
                  </w:tcBorders>
                  <w:shd w:val="clear" w:color="auto" w:fill="auto"/>
                  <w:vAlign w:val="bottom"/>
                </w:tcPr>
                <w:p w:rsidR="00117312" w:rsidRPr="00EF67C3" w:rsidRDefault="00117312" w:rsidP="00287CEA">
                  <w:pPr>
                    <w:pStyle w:val="TableColumnHeading"/>
                  </w:pPr>
                  <w:r w:rsidRPr="00EF67C3">
                    <w:t>Total</w:t>
                  </w:r>
                </w:p>
              </w:tc>
              <w:tc>
                <w:tcPr>
                  <w:tcW w:w="993" w:type="dxa"/>
                  <w:tcBorders>
                    <w:top w:val="single" w:sz="4" w:space="0" w:color="BFBFBF"/>
                    <w:bottom w:val="single" w:sz="4" w:space="0" w:color="BFBFBF"/>
                  </w:tcBorders>
                  <w:vAlign w:val="bottom"/>
                </w:tcPr>
                <w:p w:rsidR="00117312" w:rsidRPr="00EF67C3" w:rsidRDefault="00117312" w:rsidP="00287CEA">
                  <w:pPr>
                    <w:pStyle w:val="TableColumnHeading"/>
                    <w:ind w:right="75"/>
                  </w:pPr>
                  <w:r w:rsidRPr="00EF67C3">
                    <w:t>Aboriginal and Torres Strait Islander Australians share (%)</w:t>
                  </w:r>
                </w:p>
              </w:tc>
              <w:tc>
                <w:tcPr>
                  <w:tcW w:w="1134" w:type="dxa"/>
                  <w:tcBorders>
                    <w:top w:val="single" w:sz="4" w:space="0" w:color="BFBFBF"/>
                    <w:bottom w:val="single" w:sz="4" w:space="0" w:color="BFBFBF"/>
                  </w:tcBorders>
                  <w:vAlign w:val="bottom"/>
                </w:tcPr>
                <w:p w:rsidR="00117312" w:rsidRPr="00EF67C3" w:rsidRDefault="00117312" w:rsidP="00287CEA">
                  <w:pPr>
                    <w:pStyle w:val="TableColumnHeading"/>
                  </w:pPr>
                  <w:r w:rsidRPr="00EF67C3">
                    <w:t>Aboriginal and Torres Strait Islander Australians</w:t>
                  </w:r>
                </w:p>
              </w:tc>
              <w:tc>
                <w:tcPr>
                  <w:tcW w:w="1134" w:type="dxa"/>
                  <w:tcBorders>
                    <w:top w:val="single" w:sz="4" w:space="0" w:color="BFBFBF"/>
                    <w:bottom w:val="single" w:sz="4" w:space="0" w:color="BFBFBF"/>
                  </w:tcBorders>
                  <w:vAlign w:val="bottom"/>
                </w:tcPr>
                <w:p w:rsidR="00117312" w:rsidRPr="00EF67C3" w:rsidRDefault="00117312" w:rsidP="00287CEA">
                  <w:pPr>
                    <w:pStyle w:val="TableColumnHeading"/>
                  </w:pPr>
                  <w:r w:rsidRPr="00EF67C3">
                    <w:t>Other Australians</w:t>
                  </w:r>
                </w:p>
              </w:tc>
              <w:tc>
                <w:tcPr>
                  <w:tcW w:w="850" w:type="dxa"/>
                  <w:tcBorders>
                    <w:bottom w:val="single" w:sz="4" w:space="0" w:color="BFBFBF"/>
                  </w:tcBorders>
                  <w:vAlign w:val="bottom"/>
                </w:tcPr>
                <w:p w:rsidR="00117312" w:rsidRPr="00EF67C3" w:rsidRDefault="00117312" w:rsidP="000F35F5">
                  <w:pPr>
                    <w:pStyle w:val="TableColumnHeading"/>
                    <w:ind w:right="284"/>
                  </w:pPr>
                  <w:r w:rsidRPr="00EF67C3">
                    <w:t>Ratio</w:t>
                  </w:r>
                </w:p>
              </w:tc>
            </w:tr>
            <w:tr w:rsidR="00C4618F" w:rsidRPr="00EF67C3" w:rsidTr="00791CB3">
              <w:tc>
                <w:tcPr>
                  <w:tcW w:w="1254" w:type="dxa"/>
                  <w:tcBorders>
                    <w:top w:val="single" w:sz="4" w:space="0" w:color="BFBFBF"/>
                  </w:tcBorders>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Total hospital services</w:t>
                  </w:r>
                </w:p>
              </w:tc>
              <w:tc>
                <w:tcPr>
                  <w:tcW w:w="1010" w:type="dxa"/>
                  <w:tcBorders>
                    <w:top w:val="single" w:sz="4" w:space="0" w:color="BFBFBF"/>
                  </w:tcBorders>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Cs/>
                      <w:sz w:val="18"/>
                      <w:szCs w:val="18"/>
                    </w:rPr>
                  </w:pPr>
                  <w:r w:rsidRPr="00EF67C3">
                    <w:rPr>
                      <w:rFonts w:asciiTheme="minorHAnsi" w:hAnsiTheme="minorHAnsi" w:cstheme="minorHAnsi"/>
                      <w:bCs/>
                      <w:sz w:val="18"/>
                      <w:szCs w:val="18"/>
                    </w:rPr>
                    <w:t xml:space="preserve"> 2 178.0</w:t>
                  </w:r>
                </w:p>
              </w:tc>
              <w:tc>
                <w:tcPr>
                  <w:tcW w:w="1107" w:type="dxa"/>
                  <w:tcBorders>
                    <w:top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Cs/>
                      <w:sz w:val="18"/>
                      <w:szCs w:val="18"/>
                    </w:rPr>
                  </w:pPr>
                  <w:r w:rsidRPr="00EF67C3">
                    <w:rPr>
                      <w:rFonts w:asciiTheme="minorHAnsi" w:hAnsiTheme="minorHAnsi" w:cstheme="minorHAnsi"/>
                      <w:bCs/>
                      <w:sz w:val="18"/>
                      <w:szCs w:val="18"/>
                    </w:rPr>
                    <w:t xml:space="preserve"> 47 527.6</w:t>
                  </w:r>
                </w:p>
              </w:tc>
              <w:tc>
                <w:tcPr>
                  <w:tcW w:w="1001" w:type="dxa"/>
                  <w:tcBorders>
                    <w:top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Cs/>
                      <w:sz w:val="18"/>
                      <w:szCs w:val="18"/>
                    </w:rPr>
                  </w:pPr>
                  <w:r w:rsidRPr="00EF67C3">
                    <w:rPr>
                      <w:rFonts w:asciiTheme="minorHAnsi" w:hAnsiTheme="minorHAnsi" w:cstheme="minorHAnsi"/>
                      <w:bCs/>
                      <w:sz w:val="18"/>
                      <w:szCs w:val="18"/>
                    </w:rPr>
                    <w:t xml:space="preserve"> 49 705.7</w:t>
                  </w:r>
                </w:p>
              </w:tc>
              <w:tc>
                <w:tcPr>
                  <w:tcW w:w="993" w:type="dxa"/>
                  <w:tcBorders>
                    <w:top w:val="single" w:sz="4" w:space="0" w:color="BFBFBF"/>
                  </w:tcBorders>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Cs/>
                      <w:sz w:val="18"/>
                      <w:szCs w:val="18"/>
                    </w:rPr>
                  </w:pPr>
                  <w:r w:rsidRPr="00EF67C3">
                    <w:rPr>
                      <w:rFonts w:asciiTheme="minorHAnsi" w:hAnsiTheme="minorHAnsi" w:cstheme="minorHAnsi"/>
                      <w:bCs/>
                      <w:sz w:val="18"/>
                      <w:szCs w:val="18"/>
                    </w:rPr>
                    <w:t xml:space="preserve">  4.4</w:t>
                  </w:r>
                </w:p>
              </w:tc>
              <w:tc>
                <w:tcPr>
                  <w:tcW w:w="1134" w:type="dxa"/>
                  <w:tcBorders>
                    <w:top w:val="single" w:sz="4" w:space="0" w:color="BFBFBF"/>
                  </w:tcBorders>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Cs/>
                      <w:sz w:val="18"/>
                      <w:szCs w:val="18"/>
                    </w:rPr>
                  </w:pPr>
                  <w:r w:rsidRPr="00EF67C3">
                    <w:rPr>
                      <w:rFonts w:asciiTheme="minorHAnsi" w:hAnsiTheme="minorHAnsi" w:cstheme="minorHAnsi"/>
                      <w:bCs/>
                      <w:sz w:val="18"/>
                      <w:szCs w:val="18"/>
                    </w:rPr>
                    <w:t xml:space="preserve"> 3 825.6</w:t>
                  </w:r>
                </w:p>
              </w:tc>
              <w:tc>
                <w:tcPr>
                  <w:tcW w:w="1134" w:type="dxa"/>
                  <w:tcBorders>
                    <w:top w:val="single" w:sz="4" w:space="0" w:color="BFBFBF"/>
                  </w:tcBorders>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Cs/>
                      <w:sz w:val="18"/>
                      <w:szCs w:val="18"/>
                    </w:rPr>
                  </w:pPr>
                  <w:r w:rsidRPr="00EF67C3">
                    <w:rPr>
                      <w:rFonts w:asciiTheme="minorHAnsi" w:hAnsiTheme="minorHAnsi" w:cstheme="minorHAnsi"/>
                      <w:bCs/>
                      <w:sz w:val="18"/>
                      <w:szCs w:val="18"/>
                    </w:rPr>
                    <w:t xml:space="preserve"> 2 169.4</w:t>
                  </w:r>
                </w:p>
              </w:tc>
              <w:tc>
                <w:tcPr>
                  <w:tcW w:w="850" w:type="dxa"/>
                  <w:tcBorders>
                    <w:top w:val="single" w:sz="4" w:space="0" w:color="BFBFBF"/>
                  </w:tcBorders>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bCs/>
                      <w:sz w:val="18"/>
                      <w:szCs w:val="18"/>
                    </w:rPr>
                  </w:pPr>
                  <w:r w:rsidRPr="00EF67C3">
                    <w:rPr>
                      <w:rFonts w:asciiTheme="minorHAnsi" w:hAnsiTheme="minorHAnsi" w:cstheme="minorHAnsi"/>
                      <w:bCs/>
                      <w:sz w:val="18"/>
                      <w:szCs w:val="18"/>
                    </w:rPr>
                    <w:t>1.8</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 xml:space="preserve">   Public</w:t>
                  </w:r>
                  <w:r w:rsidRPr="00EF67C3">
                    <w:rPr>
                      <w:rFonts w:asciiTheme="minorHAnsi" w:hAnsiTheme="minorHAnsi" w:cstheme="minorHAnsi"/>
                      <w:szCs w:val="18"/>
                    </w:rPr>
                    <w:br/>
                    <w:t xml:space="preserve">   hospitals</w:t>
                  </w:r>
                  <w:r w:rsidRPr="00EF67C3">
                    <w:rPr>
                      <w:rStyle w:val="NoteLabel"/>
                      <w:rFonts w:asciiTheme="minorHAnsi" w:hAnsiTheme="minorHAnsi" w:cstheme="minorHAnsi"/>
                      <w:szCs w:val="18"/>
                    </w:rPr>
                    <w:t>a</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2 067.4</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36 870.4</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38 937.8</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5.3</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3 631.3</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1 683.0</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2.2</w:t>
                  </w:r>
                </w:p>
              </w:tc>
            </w:tr>
            <w:tr w:rsidR="00C4618F" w:rsidRPr="00EF67C3" w:rsidTr="00791CB3">
              <w:tc>
                <w:tcPr>
                  <w:tcW w:w="1254" w:type="dxa"/>
                  <w:vAlign w:val="bottom"/>
                </w:tcPr>
                <w:p w:rsidR="00117312" w:rsidRPr="00EF67C3" w:rsidRDefault="000209C5" w:rsidP="000F35F5">
                  <w:pPr>
                    <w:pStyle w:val="TableBodyText"/>
                    <w:tabs>
                      <w:tab w:val="left" w:pos="322"/>
                    </w:tabs>
                    <w:ind w:left="329" w:hanging="323"/>
                    <w:jc w:val="left"/>
                    <w:rPr>
                      <w:rFonts w:asciiTheme="minorHAnsi" w:hAnsiTheme="minorHAnsi" w:cstheme="minorHAnsi"/>
                      <w:szCs w:val="18"/>
                    </w:rPr>
                  </w:pPr>
                  <w:r w:rsidRPr="00EF67C3">
                    <w:rPr>
                      <w:rFonts w:asciiTheme="minorHAnsi" w:hAnsiTheme="minorHAnsi" w:cstheme="minorHAnsi"/>
                      <w:szCs w:val="18"/>
                    </w:rPr>
                    <w:tab/>
                    <w:t xml:space="preserve">Admitted </w:t>
                  </w:r>
                  <w:r w:rsidR="00117312" w:rsidRPr="00EF67C3">
                    <w:rPr>
                      <w:rFonts w:asciiTheme="minorHAnsi" w:hAnsiTheme="minorHAnsi" w:cstheme="minorHAnsi"/>
                      <w:szCs w:val="18"/>
                    </w:rPr>
                    <w:t>patients</w:t>
                  </w:r>
                  <w:r w:rsidR="000F35F5" w:rsidRPr="00EF67C3">
                    <w:rPr>
                      <w:rStyle w:val="NoteLabel"/>
                    </w:rPr>
                    <w:t>b</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1 748.7</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31 106.6</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32 855.4</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5.3</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3 071.6</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1 419.9</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2.2</w:t>
                  </w:r>
                </w:p>
              </w:tc>
            </w:tr>
            <w:tr w:rsidR="00C4618F" w:rsidRPr="00EF67C3" w:rsidTr="00791CB3">
              <w:tc>
                <w:tcPr>
                  <w:tcW w:w="1254" w:type="dxa"/>
                  <w:vAlign w:val="bottom"/>
                </w:tcPr>
                <w:p w:rsidR="00117312" w:rsidRPr="00EF67C3" w:rsidRDefault="00C4618F" w:rsidP="00C4618F">
                  <w:pPr>
                    <w:pStyle w:val="TableBodyText"/>
                    <w:tabs>
                      <w:tab w:val="left" w:pos="305"/>
                    </w:tabs>
                    <w:ind w:left="329" w:hanging="323"/>
                    <w:jc w:val="left"/>
                    <w:rPr>
                      <w:rFonts w:asciiTheme="minorHAnsi" w:hAnsiTheme="minorHAnsi" w:cstheme="minorHAnsi"/>
                      <w:szCs w:val="18"/>
                    </w:rPr>
                  </w:pPr>
                  <w:r w:rsidRPr="00EF67C3">
                    <w:rPr>
                      <w:rFonts w:asciiTheme="minorHAnsi" w:hAnsiTheme="minorHAnsi" w:cstheme="minorHAnsi"/>
                      <w:szCs w:val="18"/>
                    </w:rPr>
                    <w:tab/>
                    <w:t>Non-Admitted patients</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333.0</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5 749.4</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6 082.4</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5.5</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584.9</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262.4</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2.2</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 xml:space="preserve">   Private</w:t>
                  </w:r>
                  <w:r w:rsidRPr="00EF67C3">
                    <w:rPr>
                      <w:rFonts w:asciiTheme="minorHAnsi" w:hAnsiTheme="minorHAnsi" w:cstheme="minorHAnsi"/>
                      <w:szCs w:val="18"/>
                    </w:rPr>
                    <w:br/>
                    <w:t xml:space="preserve">   hospitals</w:t>
                  </w:r>
                  <w:r w:rsidRPr="00EF67C3">
                    <w:rPr>
                      <w:rStyle w:val="NoteLabel"/>
                      <w:rFonts w:asciiTheme="minorHAnsi" w:hAnsiTheme="minorHAnsi" w:cstheme="minorHAnsi"/>
                      <w:szCs w:val="18"/>
                    </w:rPr>
                    <w:t>c</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110.7</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10 657.3</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10 767.9</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1.0</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194.4</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486.5</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0.4</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Patient transport</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183.4</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2 601.4</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2 784.7</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6.6</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322.1</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118.7</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2.7</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Medical</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376.3</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22 148.2</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22 524.5</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1.7</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660.9</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1 011.0</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0.7</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 xml:space="preserve">   Medicare</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286.0</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17 380.7</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17 666.8</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1.6</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502.4</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793.3</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0.6</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 xml:space="preserve">   Other</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90.2</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4 767.5</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4 857.7</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1.9</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158.5</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217.6</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0.7</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 xml:space="preserve">Dental </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84.8</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7 780.8</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7 865.5</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1.1</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148.9</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355.2</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0.4</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Community health</w:t>
                  </w:r>
                  <w:r w:rsidRPr="00EF67C3">
                    <w:rPr>
                      <w:rStyle w:val="NoteLabel"/>
                      <w:rFonts w:asciiTheme="minorHAnsi" w:hAnsiTheme="minorHAnsi" w:cstheme="minorHAnsi"/>
                      <w:szCs w:val="18"/>
                    </w:rPr>
                    <w:t>d</w:t>
                  </w:r>
                  <w:r w:rsidRPr="00EF67C3">
                    <w:rPr>
                      <w:rFonts w:asciiTheme="minorHAnsi" w:hAnsiTheme="minorHAnsi" w:cstheme="minorHAnsi"/>
                      <w:szCs w:val="18"/>
                    </w:rPr>
                    <w:t xml:space="preserve"> </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1 119.6</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5 172.0</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6 291.6</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17.8</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1 966.5</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236.1</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8.3</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 xml:space="preserve">Other professional </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43.8</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4 053.4</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4 097.2</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1.1</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77.0</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185.0</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0.4</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Public health</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185.7</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1 810.3</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1 996.1</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9.3</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326.2</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82.6</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4.0</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Medications</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209.9</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18 215.2</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18 425.0</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1.1</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368.7</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831.4</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0.4</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Aids and appliances</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15.2</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3 616.6</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3 631.8</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0.4</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26.7</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165.1</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0.2</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Research</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124.2</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4 158.5</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4 282.7</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2.9</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218.2</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189.8</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1.2</w:t>
                  </w:r>
                </w:p>
              </w:tc>
            </w:tr>
            <w:tr w:rsidR="00C4618F" w:rsidRPr="00EF67C3" w:rsidTr="00791CB3">
              <w:tc>
                <w:tcPr>
                  <w:tcW w:w="1254" w:type="dxa"/>
                  <w:vAlign w:val="bottom"/>
                </w:tcPr>
                <w:p w:rsidR="00117312" w:rsidRPr="00EF67C3" w:rsidRDefault="00117312" w:rsidP="00C4618F">
                  <w:pPr>
                    <w:pStyle w:val="TableBodyText"/>
                    <w:jc w:val="left"/>
                    <w:rPr>
                      <w:rFonts w:asciiTheme="minorHAnsi" w:hAnsiTheme="minorHAnsi" w:cstheme="minorHAnsi"/>
                      <w:szCs w:val="18"/>
                    </w:rPr>
                  </w:pPr>
                  <w:r w:rsidRPr="00EF67C3">
                    <w:rPr>
                      <w:rFonts w:asciiTheme="minorHAnsi" w:hAnsiTheme="minorHAnsi" w:cstheme="minorHAnsi"/>
                      <w:szCs w:val="18"/>
                    </w:rPr>
                    <w:t>Health administration</w:t>
                  </w:r>
                </w:p>
              </w:tc>
              <w:tc>
                <w:tcPr>
                  <w:tcW w:w="1010"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31.1</w:t>
                  </w:r>
                </w:p>
              </w:tc>
              <w:tc>
                <w:tcPr>
                  <w:tcW w:w="1107"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2 020.1</w:t>
                  </w:r>
                </w:p>
              </w:tc>
              <w:tc>
                <w:tcPr>
                  <w:tcW w:w="1001" w:type="dxa"/>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2 051.2</w:t>
                  </w:r>
                </w:p>
              </w:tc>
              <w:tc>
                <w:tcPr>
                  <w:tcW w:w="993"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1.5</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54.6</w:t>
                  </w:r>
                </w:p>
              </w:tc>
              <w:tc>
                <w:tcPr>
                  <w:tcW w:w="1134" w:type="dxa"/>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sz w:val="18"/>
                      <w:szCs w:val="18"/>
                    </w:rPr>
                  </w:pPr>
                  <w:r w:rsidRPr="00EF67C3">
                    <w:rPr>
                      <w:rFonts w:asciiTheme="minorHAnsi" w:hAnsiTheme="minorHAnsi" w:cstheme="minorHAnsi"/>
                      <w:sz w:val="18"/>
                      <w:szCs w:val="18"/>
                    </w:rPr>
                    <w:t xml:space="preserve">  92.2</w:t>
                  </w:r>
                </w:p>
              </w:tc>
              <w:tc>
                <w:tcPr>
                  <w:tcW w:w="850" w:type="dxa"/>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sz w:val="18"/>
                      <w:szCs w:val="18"/>
                    </w:rPr>
                  </w:pPr>
                  <w:r w:rsidRPr="00EF67C3">
                    <w:rPr>
                      <w:rFonts w:asciiTheme="minorHAnsi" w:hAnsiTheme="minorHAnsi" w:cstheme="minorHAnsi"/>
                      <w:sz w:val="18"/>
                      <w:szCs w:val="18"/>
                    </w:rPr>
                    <w:t>0.6</w:t>
                  </w:r>
                </w:p>
              </w:tc>
            </w:tr>
            <w:tr w:rsidR="00C4618F" w:rsidRPr="00EF67C3" w:rsidTr="00791CB3">
              <w:tc>
                <w:tcPr>
                  <w:tcW w:w="1254" w:type="dxa"/>
                  <w:tcBorders>
                    <w:bottom w:val="single" w:sz="4" w:space="0" w:color="BFBFBF"/>
                  </w:tcBorders>
                  <w:shd w:val="clear" w:color="auto" w:fill="auto"/>
                  <w:vAlign w:val="bottom"/>
                </w:tcPr>
                <w:p w:rsidR="00117312" w:rsidRPr="00EF67C3" w:rsidRDefault="00117312" w:rsidP="00C4618F">
                  <w:pPr>
                    <w:pStyle w:val="TableBodyText"/>
                    <w:jc w:val="left"/>
                    <w:rPr>
                      <w:rFonts w:asciiTheme="minorHAnsi" w:hAnsiTheme="minorHAnsi" w:cstheme="minorHAnsi"/>
                      <w:b/>
                      <w:szCs w:val="18"/>
                    </w:rPr>
                  </w:pPr>
                  <w:r w:rsidRPr="00EF67C3">
                    <w:rPr>
                      <w:rFonts w:asciiTheme="minorHAnsi" w:hAnsiTheme="minorHAnsi" w:cstheme="minorHAnsi"/>
                      <w:b/>
                      <w:szCs w:val="18"/>
                    </w:rPr>
                    <w:t>Total health</w:t>
                  </w:r>
                </w:p>
              </w:tc>
              <w:tc>
                <w:tcPr>
                  <w:tcW w:w="1010" w:type="dxa"/>
                  <w:tcBorders>
                    <w:bottom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
                      <w:bCs/>
                      <w:sz w:val="18"/>
                      <w:szCs w:val="18"/>
                    </w:rPr>
                  </w:pPr>
                  <w:r w:rsidRPr="00EF67C3">
                    <w:rPr>
                      <w:rFonts w:asciiTheme="minorHAnsi" w:hAnsiTheme="minorHAnsi" w:cstheme="minorHAnsi"/>
                      <w:b/>
                      <w:bCs/>
                      <w:sz w:val="18"/>
                      <w:szCs w:val="18"/>
                    </w:rPr>
                    <w:t xml:space="preserve"> 4 552.0</w:t>
                  </w:r>
                </w:p>
              </w:tc>
              <w:tc>
                <w:tcPr>
                  <w:tcW w:w="1107" w:type="dxa"/>
                  <w:tcBorders>
                    <w:bottom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
                      <w:bCs/>
                      <w:sz w:val="18"/>
                      <w:szCs w:val="18"/>
                    </w:rPr>
                  </w:pPr>
                  <w:r w:rsidRPr="00EF67C3">
                    <w:rPr>
                      <w:rFonts w:asciiTheme="minorHAnsi" w:hAnsiTheme="minorHAnsi" w:cstheme="minorHAnsi"/>
                      <w:b/>
                      <w:bCs/>
                      <w:sz w:val="18"/>
                      <w:szCs w:val="18"/>
                    </w:rPr>
                    <w:t xml:space="preserve"> 119 104.1</w:t>
                  </w:r>
                </w:p>
              </w:tc>
              <w:tc>
                <w:tcPr>
                  <w:tcW w:w="1001" w:type="dxa"/>
                  <w:tcBorders>
                    <w:bottom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
                      <w:bCs/>
                      <w:sz w:val="18"/>
                      <w:szCs w:val="18"/>
                    </w:rPr>
                  </w:pPr>
                  <w:r w:rsidRPr="00EF67C3">
                    <w:rPr>
                      <w:rFonts w:asciiTheme="minorHAnsi" w:hAnsiTheme="minorHAnsi" w:cstheme="minorHAnsi"/>
                      <w:b/>
                      <w:bCs/>
                      <w:sz w:val="18"/>
                      <w:szCs w:val="18"/>
                    </w:rPr>
                    <w:t xml:space="preserve"> 123 656.1</w:t>
                  </w:r>
                </w:p>
              </w:tc>
              <w:tc>
                <w:tcPr>
                  <w:tcW w:w="993" w:type="dxa"/>
                  <w:tcBorders>
                    <w:bottom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
                      <w:bCs/>
                      <w:sz w:val="18"/>
                      <w:szCs w:val="18"/>
                    </w:rPr>
                  </w:pPr>
                  <w:r w:rsidRPr="00EF67C3">
                    <w:rPr>
                      <w:rFonts w:asciiTheme="minorHAnsi" w:hAnsiTheme="minorHAnsi" w:cstheme="minorHAnsi"/>
                      <w:b/>
                      <w:bCs/>
                      <w:sz w:val="18"/>
                      <w:szCs w:val="18"/>
                    </w:rPr>
                    <w:t xml:space="preserve">  3.7</w:t>
                  </w:r>
                </w:p>
              </w:tc>
              <w:tc>
                <w:tcPr>
                  <w:tcW w:w="1134" w:type="dxa"/>
                  <w:tcBorders>
                    <w:bottom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
                      <w:bCs/>
                      <w:sz w:val="18"/>
                      <w:szCs w:val="18"/>
                    </w:rPr>
                  </w:pPr>
                  <w:r w:rsidRPr="00EF67C3">
                    <w:rPr>
                      <w:rFonts w:asciiTheme="minorHAnsi" w:hAnsiTheme="minorHAnsi" w:cstheme="minorHAnsi"/>
                      <w:b/>
                      <w:bCs/>
                      <w:sz w:val="18"/>
                      <w:szCs w:val="18"/>
                    </w:rPr>
                    <w:t xml:space="preserve"> 7 995.4</w:t>
                  </w:r>
                </w:p>
              </w:tc>
              <w:tc>
                <w:tcPr>
                  <w:tcW w:w="1134" w:type="dxa"/>
                  <w:tcBorders>
                    <w:bottom w:val="single" w:sz="4" w:space="0" w:color="BFBFBF"/>
                  </w:tcBorders>
                  <w:shd w:val="clear" w:color="auto" w:fill="auto"/>
                  <w:tcMar>
                    <w:left w:w="0" w:type="dxa"/>
                    <w:right w:w="0" w:type="dxa"/>
                  </w:tcMar>
                  <w:vAlign w:val="bottom"/>
                </w:tcPr>
                <w:p w:rsidR="00117312" w:rsidRPr="00EF67C3" w:rsidRDefault="00117312" w:rsidP="00287CEA">
                  <w:pPr>
                    <w:spacing w:afterLines="40" w:after="96" w:line="220" w:lineRule="atLeast"/>
                    <w:ind w:left="6" w:right="113"/>
                    <w:jc w:val="right"/>
                    <w:rPr>
                      <w:rFonts w:asciiTheme="minorHAnsi" w:hAnsiTheme="minorHAnsi" w:cstheme="minorHAnsi"/>
                      <w:b/>
                      <w:bCs/>
                      <w:sz w:val="18"/>
                      <w:szCs w:val="18"/>
                    </w:rPr>
                  </w:pPr>
                  <w:r w:rsidRPr="00EF67C3">
                    <w:rPr>
                      <w:rFonts w:asciiTheme="minorHAnsi" w:hAnsiTheme="minorHAnsi" w:cstheme="minorHAnsi"/>
                      <w:b/>
                      <w:bCs/>
                      <w:sz w:val="18"/>
                      <w:szCs w:val="18"/>
                    </w:rPr>
                    <w:t xml:space="preserve"> 5 436.5</w:t>
                  </w:r>
                </w:p>
              </w:tc>
              <w:tc>
                <w:tcPr>
                  <w:tcW w:w="850" w:type="dxa"/>
                  <w:tcBorders>
                    <w:bottom w:val="single" w:sz="4" w:space="0" w:color="BFBFBF"/>
                  </w:tcBorders>
                  <w:shd w:val="clear" w:color="auto" w:fill="auto"/>
                  <w:tcMar>
                    <w:left w:w="0" w:type="dxa"/>
                    <w:right w:w="0" w:type="dxa"/>
                  </w:tcMar>
                  <w:vAlign w:val="bottom"/>
                </w:tcPr>
                <w:p w:rsidR="00117312" w:rsidRPr="00EF67C3" w:rsidRDefault="00117312" w:rsidP="000F35F5">
                  <w:pPr>
                    <w:spacing w:afterLines="40" w:after="96" w:line="220" w:lineRule="atLeast"/>
                    <w:ind w:left="6" w:right="284"/>
                    <w:jc w:val="right"/>
                    <w:rPr>
                      <w:rFonts w:asciiTheme="minorHAnsi" w:hAnsiTheme="minorHAnsi" w:cstheme="minorHAnsi"/>
                      <w:b/>
                      <w:bCs/>
                      <w:sz w:val="18"/>
                      <w:szCs w:val="18"/>
                    </w:rPr>
                  </w:pPr>
                  <w:r w:rsidRPr="00EF67C3">
                    <w:rPr>
                      <w:rFonts w:asciiTheme="minorHAnsi" w:hAnsiTheme="minorHAnsi" w:cstheme="minorHAnsi"/>
                      <w:b/>
                      <w:bCs/>
                      <w:sz w:val="18"/>
                      <w:szCs w:val="18"/>
                    </w:rPr>
                    <w:t>1.5</w:t>
                  </w:r>
                </w:p>
              </w:tc>
            </w:tr>
          </w:tbl>
          <w:p w:rsidR="00117312" w:rsidRPr="00EF67C3" w:rsidRDefault="00117312" w:rsidP="00287CEA">
            <w:pPr>
              <w:pStyle w:val="Box"/>
            </w:pPr>
          </w:p>
        </w:tc>
      </w:tr>
      <w:tr w:rsidR="00117312" w:rsidRPr="00EF67C3" w:rsidTr="00791CB3">
        <w:trPr>
          <w:cantSplit/>
        </w:trPr>
        <w:tc>
          <w:tcPr>
            <w:tcW w:w="8767" w:type="dxa"/>
            <w:tcBorders>
              <w:top w:val="nil"/>
              <w:left w:val="nil"/>
              <w:bottom w:val="nil"/>
              <w:right w:val="nil"/>
            </w:tcBorders>
            <w:shd w:val="clear" w:color="auto" w:fill="auto"/>
          </w:tcPr>
          <w:p w:rsidR="00117312" w:rsidRPr="00EF67C3" w:rsidRDefault="00117312" w:rsidP="00287CEA">
            <w:pPr>
              <w:pStyle w:val="Note"/>
              <w:rPr>
                <w:i/>
              </w:rPr>
            </w:pPr>
            <w:proofErr w:type="spellStart"/>
            <w:r w:rsidRPr="00EF67C3">
              <w:rPr>
                <w:rStyle w:val="NoteLabel"/>
              </w:rPr>
              <w:t>a</w:t>
            </w:r>
            <w:proofErr w:type="spellEnd"/>
            <w:r w:rsidRPr="00EF67C3">
              <w:t xml:space="preserve"> Excludes dental services, patient transport services, community health services, public health and health research undertaken by the hospital. </w:t>
            </w:r>
            <w:r w:rsidRPr="00EF67C3">
              <w:rPr>
                <w:rStyle w:val="NoteLabel"/>
              </w:rPr>
              <w:t>b</w:t>
            </w:r>
            <w:r w:rsidRPr="00EF67C3">
              <w:t xml:space="preserve"> Admitted patient expenditure estimates are adjusted for under</w:t>
            </w:r>
            <w:r w:rsidRPr="00EF67C3">
              <w:noBreakHyphen/>
              <w:t xml:space="preserve">identification of Aboriginal and Torres Strait Islander people. </w:t>
            </w:r>
            <w:r w:rsidRPr="00EF67C3">
              <w:rPr>
                <w:rStyle w:val="NoteLabel"/>
              </w:rPr>
              <w:t>c</w:t>
            </w:r>
            <w:r w:rsidRPr="00EF67C3">
              <w:t xml:space="preserve"> Includes State/Territory governments’ expenditure for services provided for public patients in private hospitals. The estimates are not comparable to previous estimates due to improved methodology. </w:t>
            </w:r>
            <w:r w:rsidRPr="00EF67C3">
              <w:rPr>
                <w:rStyle w:val="NoteLabel"/>
              </w:rPr>
              <w:t>d</w:t>
            </w:r>
            <w:r w:rsidRPr="00EF67C3">
              <w:t xml:space="preserve"> Includes other recurrent expenditure on health not elsewhere classified, such as family planning previously reported under ‘Other health services (</w:t>
            </w:r>
            <w:proofErr w:type="spellStart"/>
            <w:r w:rsidRPr="00EF67C3">
              <w:t>n.e.c</w:t>
            </w:r>
            <w:proofErr w:type="spellEnd"/>
            <w:r w:rsidRPr="00EF67C3">
              <w:t>.)’. State and Territory expenditure on Closing the Gap initiatives have been allocated to this category for the first time.</w:t>
            </w:r>
          </w:p>
        </w:tc>
      </w:tr>
      <w:tr w:rsidR="00117312" w:rsidRPr="00EF67C3" w:rsidTr="00791CB3">
        <w:trPr>
          <w:cantSplit/>
        </w:trPr>
        <w:tc>
          <w:tcPr>
            <w:tcW w:w="8767" w:type="dxa"/>
            <w:tcBorders>
              <w:top w:val="nil"/>
              <w:left w:val="nil"/>
              <w:bottom w:val="nil"/>
              <w:right w:val="nil"/>
            </w:tcBorders>
            <w:shd w:val="clear" w:color="auto" w:fill="auto"/>
          </w:tcPr>
          <w:p w:rsidR="00117312" w:rsidRPr="00EF67C3" w:rsidRDefault="00117312" w:rsidP="00287CEA">
            <w:pPr>
              <w:pStyle w:val="Source"/>
              <w:rPr>
                <w:b/>
                <w:sz w:val="24"/>
                <w:u w:val="dotted"/>
              </w:rPr>
            </w:pPr>
            <w:r w:rsidRPr="00EF67C3">
              <w:rPr>
                <w:i/>
              </w:rPr>
              <w:t>Source</w:t>
            </w:r>
            <w:r w:rsidRPr="00EF67C3">
              <w:t xml:space="preserve">: AIHW (2013) </w:t>
            </w:r>
            <w:r w:rsidRPr="00EF67C3">
              <w:rPr>
                <w:i/>
              </w:rPr>
              <w:t>Expenditure on health for Aboriginal and Torres Strait Islander people 2010-11,</w:t>
            </w:r>
            <w:r w:rsidRPr="00EF67C3">
              <w:t xml:space="preserve"> Health and Welfare Expenditure</w:t>
            </w:r>
            <w:r w:rsidR="0085561A" w:rsidRPr="00EF67C3">
              <w:t xml:space="preserve"> Series no. 48, Cat. no. </w:t>
            </w:r>
            <w:proofErr w:type="spellStart"/>
            <w:r w:rsidR="0085561A" w:rsidRPr="00EF67C3">
              <w:t>HWE</w:t>
            </w:r>
            <w:proofErr w:type="spellEnd"/>
            <w:r w:rsidR="0085561A" w:rsidRPr="00EF67C3">
              <w:t xml:space="preserve"> 57; 2015 Report, table </w:t>
            </w:r>
            <w:proofErr w:type="spellStart"/>
            <w:r w:rsidR="0085561A" w:rsidRPr="00EF67C3">
              <w:t>E.2</w:t>
            </w:r>
            <w:proofErr w:type="spellEnd"/>
            <w:r w:rsidR="0085561A" w:rsidRPr="00EF67C3">
              <w:t xml:space="preserve">, p. </w:t>
            </w:r>
            <w:proofErr w:type="spellStart"/>
            <w:r w:rsidR="0085561A" w:rsidRPr="00EF67C3">
              <w:t>E.8</w:t>
            </w:r>
            <w:proofErr w:type="spellEnd"/>
            <w:r w:rsidR="0085561A" w:rsidRPr="00EF67C3">
              <w:t>.</w:t>
            </w:r>
          </w:p>
        </w:tc>
      </w:tr>
      <w:tr w:rsidR="00117312" w:rsidRPr="00EF67C3" w:rsidTr="00791CB3">
        <w:trPr>
          <w:cantSplit/>
        </w:trPr>
        <w:tc>
          <w:tcPr>
            <w:tcW w:w="8767" w:type="dxa"/>
            <w:tcBorders>
              <w:top w:val="nil"/>
              <w:left w:val="nil"/>
              <w:bottom w:val="single" w:sz="6" w:space="0" w:color="78A22F" w:themeColor="accent1"/>
              <w:right w:val="nil"/>
            </w:tcBorders>
            <w:shd w:val="clear" w:color="auto" w:fill="auto"/>
          </w:tcPr>
          <w:p w:rsidR="00117312" w:rsidRPr="00EF67C3" w:rsidRDefault="00117312" w:rsidP="00287CEA">
            <w:pPr>
              <w:pStyle w:val="Box"/>
              <w:spacing w:before="0" w:line="120" w:lineRule="exact"/>
            </w:pPr>
          </w:p>
        </w:tc>
      </w:tr>
      <w:tr w:rsidR="00117312" w:rsidRPr="00EF67C3" w:rsidTr="00791CB3">
        <w:tc>
          <w:tcPr>
            <w:tcW w:w="8767" w:type="dxa"/>
            <w:tcBorders>
              <w:top w:val="single" w:sz="6" w:space="0" w:color="78A22F" w:themeColor="accent1"/>
              <w:left w:val="nil"/>
              <w:bottom w:val="nil"/>
              <w:right w:val="nil"/>
            </w:tcBorders>
          </w:tcPr>
          <w:p w:rsidR="00117312" w:rsidRPr="00EF67C3" w:rsidRDefault="00117312" w:rsidP="00287CEA">
            <w:pPr>
              <w:pStyle w:val="BoxSpaceBelow"/>
            </w:pPr>
          </w:p>
        </w:tc>
      </w:tr>
    </w:tbl>
    <w:p w:rsidR="00336D7E" w:rsidRPr="00EF67C3" w:rsidRDefault="00336D7E" w:rsidP="00336D7E">
      <w:pPr>
        <w:pStyle w:val="Heading3"/>
        <w:rPr>
          <w:b w:val="0"/>
        </w:rPr>
      </w:pPr>
      <w:r w:rsidRPr="00EF67C3">
        <w:lastRenderedPageBreak/>
        <w:t>Factors affecting demand for services</w:t>
      </w:r>
      <w:bookmarkEnd w:id="10"/>
    </w:p>
    <w:p w:rsidR="00336D7E" w:rsidRPr="00EF67C3" w:rsidRDefault="00336D7E" w:rsidP="00336D7E">
      <w:pPr>
        <w:pStyle w:val="BodyText"/>
        <w:rPr>
          <w:b/>
        </w:rPr>
      </w:pPr>
      <w:r w:rsidRPr="00EF67C3">
        <w:t>Health status is linked to demand for health services and is associated with a range of demographic and socioeconomic factors. Financial, educational, geographic and cultural barriers can reduce access to health services and contribute to poorer health outcomes.</w:t>
      </w:r>
    </w:p>
    <w:p w:rsidR="00336D7E" w:rsidRPr="00EF67C3" w:rsidRDefault="00336D7E" w:rsidP="00336D7E">
      <w:pPr>
        <w:pStyle w:val="Heading4"/>
        <w:rPr>
          <w:b/>
        </w:rPr>
      </w:pPr>
      <w:r w:rsidRPr="00EF67C3">
        <w:t>Indigenous status</w:t>
      </w:r>
    </w:p>
    <w:p w:rsidR="00336D7E" w:rsidRPr="00EF67C3" w:rsidRDefault="00336D7E" w:rsidP="00336D7E">
      <w:pPr>
        <w:pStyle w:val="BodyText"/>
      </w:pPr>
      <w:r w:rsidRPr="00EF67C3">
        <w:t>Aboriginal and Torres Strait Islander people are more likely than are other Australians to experience poor health, to die at younger ages and</w:t>
      </w:r>
      <w:r w:rsidR="004A6580" w:rsidRPr="00EF67C3">
        <w:t xml:space="preserve"> to experience disability (</w:t>
      </w:r>
      <w:proofErr w:type="spellStart"/>
      <w:r w:rsidR="004A6580" w:rsidRPr="00EF67C3">
        <w:t>AIHW</w:t>
      </w:r>
      <w:proofErr w:type="spellEnd"/>
      <w:r w:rsidR="004A6580" w:rsidRPr="00EF67C3">
        <w:t xml:space="preserve"> </w:t>
      </w:r>
      <w:proofErr w:type="spellStart"/>
      <w:r w:rsidRPr="00EF67C3">
        <w:t>2014</w:t>
      </w:r>
      <w:r w:rsidR="00F05F32" w:rsidRPr="00EF67C3">
        <w:t>a</w:t>
      </w:r>
      <w:proofErr w:type="spellEnd"/>
      <w:r w:rsidRPr="00EF67C3">
        <w:t xml:space="preserve">; tables </w:t>
      </w:r>
      <w:proofErr w:type="spellStart"/>
      <w:r w:rsidRPr="00EF67C3">
        <w:t>EA.46</w:t>
      </w:r>
      <w:proofErr w:type="spellEnd"/>
      <w:r w:rsidRPr="00EF67C3">
        <w:t xml:space="preserve"> and </w:t>
      </w:r>
      <w:proofErr w:type="spellStart"/>
      <w:r w:rsidRPr="00EF67C3">
        <w:t>EA.48</w:t>
      </w:r>
      <w:proofErr w:type="spellEnd"/>
      <w:r w:rsidRPr="00EF67C3">
        <w:t xml:space="preserve">). A recent study found socioeconomic disadvantage to be the leading health risk for Aboriginal and Torres Strait Islander Australians in the NT, accounting for 42 to 54 per cent of the life expectancy gap between Aboriginal and Torres Strait Islander and other </w:t>
      </w:r>
      <w:r w:rsidR="004A6580" w:rsidRPr="00EF67C3">
        <w:t>Australians (Zhao et al. 2013).</w:t>
      </w:r>
    </w:p>
    <w:p w:rsidR="00336D7E" w:rsidRPr="00EF67C3" w:rsidRDefault="00336D7E" w:rsidP="00336D7E">
      <w:pPr>
        <w:pStyle w:val="BodyText"/>
      </w:pPr>
      <w:r w:rsidRPr="00EF67C3">
        <w:t xml:space="preserve">Aboriginal and Torres Strait Islander people have low employment and income </w:t>
      </w:r>
      <w:r w:rsidRPr="00EF67C3">
        <w:br/>
        <w:t>levels when compared to other Aus</w:t>
      </w:r>
      <w:r w:rsidR="004A6580" w:rsidRPr="00EF67C3">
        <w:t xml:space="preserve">tralians (see chapter 2, tables </w:t>
      </w:r>
      <w:proofErr w:type="spellStart"/>
      <w:r w:rsidR="004A6580" w:rsidRPr="00EF67C3">
        <w:t>2A.32</w:t>
      </w:r>
      <w:proofErr w:type="spellEnd"/>
      <w:r w:rsidR="004A6580" w:rsidRPr="00EF67C3">
        <w:t xml:space="preserve">–34 and </w:t>
      </w:r>
      <w:r w:rsidR="004A6580" w:rsidRPr="00EF67C3">
        <w:br/>
      </w:r>
      <w:proofErr w:type="spellStart"/>
      <w:r w:rsidR="004A6580" w:rsidRPr="00EF67C3">
        <w:t>2A.39</w:t>
      </w:r>
      <w:proofErr w:type="spellEnd"/>
      <w:r w:rsidR="004A6580" w:rsidRPr="00EF67C3">
        <w:t>–</w:t>
      </w:r>
      <w:r w:rsidRPr="00EF67C3">
        <w:t>46). Aboriginal and Torres Strait Islander Australians have relatively high rates for many health risk factors and are more likely to smoke and to consume alcohol at risky levels (ABS</w:t>
      </w:r>
      <w:r w:rsidR="004A6580" w:rsidRPr="00EF67C3">
        <w:t xml:space="preserve"> </w:t>
      </w:r>
      <w:proofErr w:type="spellStart"/>
      <w:r w:rsidRPr="00EF67C3">
        <w:t>2013a</w:t>
      </w:r>
      <w:proofErr w:type="spellEnd"/>
      <w:r w:rsidRPr="00EF67C3">
        <w:t xml:space="preserve">, </w:t>
      </w:r>
      <w:proofErr w:type="spellStart"/>
      <w:r w:rsidRPr="00EF67C3">
        <w:t>2014a</w:t>
      </w:r>
      <w:proofErr w:type="spellEnd"/>
      <w:r w:rsidRPr="00EF67C3">
        <w:t xml:space="preserve">; Zhao et al. 2013). Aboriginal and Torres Strait Islander Australians are more likely to live in inadequate </w:t>
      </w:r>
      <w:r w:rsidR="004A6580" w:rsidRPr="00EF67C3">
        <w:t xml:space="preserve">and overcrowded housing </w:t>
      </w:r>
      <w:r w:rsidR="004A6580" w:rsidRPr="00EF67C3">
        <w:br/>
        <w:t xml:space="preserve">(SCRGSP </w:t>
      </w:r>
      <w:r w:rsidRPr="00EF67C3">
        <w:t>2014) and in remote areas with more limited access to heal</w:t>
      </w:r>
      <w:r w:rsidR="004A6580" w:rsidRPr="00EF67C3">
        <w:t>th services. In 2006, 51</w:t>
      </w:r>
      <w:r w:rsidR="00EF67C3" w:rsidRPr="00EF67C3">
        <w:t> </w:t>
      </w:r>
      <w:r w:rsidRPr="00EF67C3">
        <w:t>992 Aboriginal and Torres Strait Islander Australians were living in discrete Aboriginal and Torres Strait Islander communities that were 100 kilometres or more</w:t>
      </w:r>
      <w:r w:rsidR="004A6580" w:rsidRPr="00EF67C3">
        <w:t xml:space="preserve"> from the nearest hospital (ABS </w:t>
      </w:r>
      <w:r w:rsidRPr="00EF67C3">
        <w:t>2007).</w:t>
      </w:r>
    </w:p>
    <w:p w:rsidR="00336D7E" w:rsidRPr="00EF67C3" w:rsidRDefault="00336D7E" w:rsidP="00336D7E">
      <w:pPr>
        <w:pStyle w:val="BodyText"/>
      </w:pPr>
      <w:r w:rsidRPr="00EF67C3">
        <w:t>Nationally, 3.0 per cent of the total population identified as Aboriginal and Torres Strait Islander in 2011. The projected population of those identifying as Aboriginal and Torres Strait Islander people made up less than 5 per cent of the population in each State and Territory except the NT, where the figure was</w:t>
      </w:r>
      <w:r w:rsidR="004A6580" w:rsidRPr="00EF67C3">
        <w:t xml:space="preserve"> 29.7 per cent, in 2013 (</w:t>
      </w:r>
      <w:r w:rsidR="00A16D65" w:rsidRPr="00EF67C3">
        <w:t xml:space="preserve">2015 Report, </w:t>
      </w:r>
      <w:r w:rsidR="004A6580" w:rsidRPr="00EF67C3">
        <w:t>table</w:t>
      </w:r>
      <w:r w:rsidR="00A16D65" w:rsidRPr="00EF67C3">
        <w:t>s</w:t>
      </w:r>
      <w:r w:rsidR="00EE366A">
        <w:t> </w:t>
      </w:r>
      <w:proofErr w:type="spellStart"/>
      <w:r w:rsidR="00A16D65" w:rsidRPr="00EF67C3">
        <w:t>2A.1</w:t>
      </w:r>
      <w:proofErr w:type="spellEnd"/>
      <w:r w:rsidR="00A16D65" w:rsidRPr="00EF67C3">
        <w:t xml:space="preserve"> and </w:t>
      </w:r>
      <w:proofErr w:type="spellStart"/>
      <w:r w:rsidRPr="00EF67C3">
        <w:t>2A.14</w:t>
      </w:r>
      <w:proofErr w:type="spellEnd"/>
      <w:r w:rsidR="003539F0" w:rsidRPr="00EF67C3">
        <w:t>)</w:t>
      </w:r>
      <w:r w:rsidRPr="00EF67C3">
        <w:t>.</w:t>
      </w:r>
    </w:p>
    <w:p w:rsidR="00336D7E" w:rsidRPr="00EF67C3" w:rsidRDefault="00336D7E" w:rsidP="00336D7E">
      <w:pPr>
        <w:pStyle w:val="Heading3"/>
      </w:pPr>
      <w:bookmarkStart w:id="11" w:name="_Toc410820910"/>
      <w:r w:rsidRPr="00EF67C3">
        <w:t>Service-sector objectives</w:t>
      </w:r>
      <w:bookmarkEnd w:id="11"/>
    </w:p>
    <w:p w:rsidR="00336D7E" w:rsidRPr="00EF67C3" w:rsidRDefault="00336D7E" w:rsidP="00336D7E">
      <w:pPr>
        <w:pStyle w:val="BodyText"/>
      </w:pPr>
      <w:r w:rsidRPr="00EF67C3">
        <w:t>Government involvement in health services is predicated on the desire to improve the health of all Australians and to ensure equity of access and the sustainability of th</w:t>
      </w:r>
      <w:r w:rsidR="004A6580" w:rsidRPr="00EF67C3">
        <w:t xml:space="preserve">e Australian health system. Box </w:t>
      </w:r>
      <w:proofErr w:type="spellStart"/>
      <w:r w:rsidRPr="00EF67C3">
        <w:t>E.1</w:t>
      </w:r>
      <w:proofErr w:type="spellEnd"/>
      <w:r w:rsidRPr="00EF67C3">
        <w:t xml:space="preserve"> presents the overall objectives of the health system as summarised for this Report, which are consistent with the objectives outlined in the National Healthcare Agreement (</w:t>
      </w:r>
      <w:r w:rsidR="00EF67C3" w:rsidRPr="00EF67C3">
        <w:t>COAG</w:t>
      </w:r>
      <w:r w:rsidRPr="00EF67C3">
        <w:t xml:space="preserve"> 2012). Governments provide a variety of services in different settings to fulfil these objectives.</w:t>
      </w:r>
    </w:p>
    <w:p w:rsidR="00336D7E" w:rsidRPr="00EF67C3"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EF67C3" w:rsidTr="007655EF">
        <w:tc>
          <w:tcPr>
            <w:tcW w:w="8771" w:type="dxa"/>
            <w:tcBorders>
              <w:top w:val="single" w:sz="6" w:space="0" w:color="78A22F"/>
              <w:left w:val="nil"/>
              <w:bottom w:val="nil"/>
              <w:right w:val="nil"/>
            </w:tcBorders>
            <w:shd w:val="clear" w:color="auto" w:fill="F2F2F2" w:themeFill="background1" w:themeFillShade="F2"/>
          </w:tcPr>
          <w:p w:rsidR="00336D7E" w:rsidRPr="00EF67C3" w:rsidRDefault="00336D7E" w:rsidP="007655EF">
            <w:pPr>
              <w:pStyle w:val="BoxTitle"/>
            </w:pPr>
            <w:r w:rsidRPr="00EF67C3">
              <w:rPr>
                <w:b w:val="0"/>
              </w:rPr>
              <w:t xml:space="preserve">Box </w:t>
            </w:r>
            <w:proofErr w:type="spellStart"/>
            <w:r w:rsidRPr="00EF67C3">
              <w:rPr>
                <w:b w:val="0"/>
              </w:rPr>
              <w:t>E.</w:t>
            </w:r>
            <w:r w:rsidRPr="00EF67C3">
              <w:rPr>
                <w:b w:val="0"/>
                <w:noProof/>
              </w:rPr>
              <w:t>1</w:t>
            </w:r>
            <w:proofErr w:type="spellEnd"/>
            <w:r w:rsidRPr="00EF67C3">
              <w:tab/>
              <w:t>Overall objectives of the health system</w:t>
            </w:r>
          </w:p>
        </w:tc>
      </w:tr>
      <w:tr w:rsidR="00336D7E" w:rsidRPr="00EF67C3" w:rsidTr="007655EF">
        <w:trPr>
          <w:cantSplit/>
        </w:trPr>
        <w:tc>
          <w:tcPr>
            <w:tcW w:w="8771" w:type="dxa"/>
            <w:tcBorders>
              <w:top w:val="nil"/>
              <w:left w:val="nil"/>
              <w:bottom w:val="nil"/>
              <w:right w:val="nil"/>
            </w:tcBorders>
            <w:shd w:val="clear" w:color="auto" w:fill="F2F2F2" w:themeFill="background1" w:themeFillShade="F2"/>
          </w:tcPr>
          <w:p w:rsidR="00336D7E" w:rsidRPr="00EF67C3" w:rsidRDefault="00336D7E" w:rsidP="007655EF">
            <w:pPr>
              <w:pStyle w:val="Box"/>
            </w:pPr>
            <w:r w:rsidRPr="00EF67C3">
              <w:t>Government involvement in the health system is aimed at efficiently and effectively improving health outcomes for all Australians and ensuring the sustainability of the Australian health system, achieving the following outcomes:</w:t>
            </w:r>
          </w:p>
          <w:p w:rsidR="00336D7E" w:rsidRPr="00EF67C3" w:rsidRDefault="00336D7E" w:rsidP="007655EF">
            <w:pPr>
              <w:pStyle w:val="BoxListBullet"/>
            </w:pPr>
            <w:r w:rsidRPr="00EF67C3">
              <w:t>Australians are born and remain healthy</w:t>
            </w:r>
          </w:p>
          <w:p w:rsidR="00336D7E" w:rsidRPr="00EF67C3" w:rsidRDefault="00336D7E" w:rsidP="007655EF">
            <w:pPr>
              <w:pStyle w:val="BoxListBullet"/>
            </w:pPr>
            <w:r w:rsidRPr="00EF67C3">
              <w:t>Australians receive appropriate high quality and affordable primary and community health services</w:t>
            </w:r>
          </w:p>
          <w:p w:rsidR="00336D7E" w:rsidRPr="00EF67C3" w:rsidRDefault="00336D7E" w:rsidP="007655EF">
            <w:pPr>
              <w:pStyle w:val="BoxListBullet"/>
            </w:pPr>
            <w:r w:rsidRPr="00EF67C3">
              <w:t xml:space="preserve">Australians receive appropriate high quality and affordable hospital and hospital related care </w:t>
            </w:r>
          </w:p>
          <w:p w:rsidR="00336D7E" w:rsidRPr="00EF67C3" w:rsidRDefault="00336D7E" w:rsidP="007655EF">
            <w:pPr>
              <w:pStyle w:val="BoxListBullet"/>
            </w:pPr>
            <w:r w:rsidRPr="00EF67C3">
              <w:t xml:space="preserve">Australians have positive health care experiences which take account of individual circumstances and care needs </w:t>
            </w:r>
          </w:p>
          <w:p w:rsidR="00336D7E" w:rsidRPr="00EF67C3" w:rsidRDefault="00336D7E" w:rsidP="007655EF">
            <w:pPr>
              <w:pStyle w:val="BoxListBullet"/>
            </w:pPr>
            <w:r w:rsidRPr="00EF67C3">
              <w:t xml:space="preserve">Australians have a health system that promotes social inclusion and reduces disadvantage, especially for Aboriginal and Torres Strait Islander Australians </w:t>
            </w:r>
          </w:p>
          <w:p w:rsidR="00336D7E" w:rsidRPr="00EF67C3" w:rsidRDefault="00336D7E" w:rsidP="007655EF">
            <w:pPr>
              <w:pStyle w:val="BoxListBullet"/>
            </w:pPr>
            <w:r w:rsidRPr="00EF67C3">
              <w:t>Australians have a sustainable health system.</w:t>
            </w:r>
          </w:p>
        </w:tc>
      </w:tr>
      <w:tr w:rsidR="00336D7E" w:rsidRPr="00EF67C3"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EF67C3" w:rsidRDefault="00336D7E" w:rsidP="007655EF">
            <w:pPr>
              <w:pStyle w:val="Box"/>
              <w:spacing w:before="0" w:line="120" w:lineRule="exact"/>
            </w:pPr>
          </w:p>
        </w:tc>
      </w:tr>
      <w:tr w:rsidR="00336D7E" w:rsidRPr="00EF67C3" w:rsidTr="007655EF">
        <w:tc>
          <w:tcPr>
            <w:tcW w:w="8771" w:type="dxa"/>
            <w:tcBorders>
              <w:top w:val="single" w:sz="6" w:space="0" w:color="78A22F"/>
              <w:left w:val="nil"/>
              <w:bottom w:val="nil"/>
              <w:right w:val="nil"/>
            </w:tcBorders>
          </w:tcPr>
          <w:p w:rsidR="00336D7E" w:rsidRPr="00EF67C3" w:rsidRDefault="00336D7E" w:rsidP="007655EF">
            <w:pPr>
              <w:pStyle w:val="BoxSpaceBelow"/>
            </w:pPr>
          </w:p>
        </w:tc>
      </w:tr>
    </w:tbl>
    <w:p w:rsidR="004A6580" w:rsidRPr="00EF67C3" w:rsidRDefault="004A6580" w:rsidP="004A6580">
      <w:pPr>
        <w:pStyle w:val="Heading3"/>
      </w:pPr>
      <w:bookmarkStart w:id="12" w:name="_Toc313526273"/>
      <w:bookmarkStart w:id="13" w:name="_Toc320630246"/>
      <w:bookmarkStart w:id="14" w:name="_Toc320774584"/>
      <w:bookmarkStart w:id="15" w:name="_Toc347820250"/>
      <w:bookmarkStart w:id="16" w:name="_Toc348342537"/>
      <w:bookmarkStart w:id="17" w:name="_Toc351389462"/>
      <w:bookmarkStart w:id="18" w:name="_Toc380475119"/>
      <w:bookmarkStart w:id="19" w:name="_Toc383409155"/>
      <w:bookmarkStart w:id="20" w:name="_Toc383680466"/>
      <w:bookmarkStart w:id="21" w:name="_Toc410820911"/>
      <w:r w:rsidRPr="00EF67C3">
        <w:t>Sector performance indicator framework</w:t>
      </w:r>
      <w:bookmarkEnd w:id="12"/>
      <w:bookmarkEnd w:id="13"/>
      <w:bookmarkEnd w:id="14"/>
      <w:bookmarkEnd w:id="15"/>
      <w:bookmarkEnd w:id="16"/>
      <w:bookmarkEnd w:id="17"/>
      <w:bookmarkEnd w:id="18"/>
      <w:bookmarkEnd w:id="19"/>
      <w:bookmarkEnd w:id="20"/>
      <w:bookmarkEnd w:id="21"/>
    </w:p>
    <w:p w:rsidR="00336D7E" w:rsidRPr="00EF67C3" w:rsidRDefault="00336D7E" w:rsidP="00336D7E">
      <w:pPr>
        <w:pStyle w:val="BodyText"/>
      </w:pPr>
      <w:r w:rsidRPr="00EF67C3">
        <w:t>This sector overview is based on a sector performance indicator framework made up of</w:t>
      </w:r>
      <w:r w:rsidR="004A6580" w:rsidRPr="00EF67C3">
        <w:t xml:space="preserve"> the following elements (figure </w:t>
      </w:r>
      <w:proofErr w:type="spellStart"/>
      <w:r w:rsidR="004A6580" w:rsidRPr="00EF67C3">
        <w:t>E.1</w:t>
      </w:r>
      <w:proofErr w:type="spellEnd"/>
      <w:r w:rsidRPr="00EF67C3">
        <w:t>):</w:t>
      </w:r>
    </w:p>
    <w:p w:rsidR="00336D7E" w:rsidRPr="00EF67C3" w:rsidRDefault="00336D7E" w:rsidP="00336D7E">
      <w:pPr>
        <w:pStyle w:val="ListBullet"/>
      </w:pPr>
      <w:r w:rsidRPr="00EF67C3">
        <w:t xml:space="preserve">Sector objectives — three sector objectives are a précis of the key objectives of the health system and reflect the outcomes in the </w:t>
      </w:r>
      <w:proofErr w:type="spellStart"/>
      <w:r w:rsidRPr="00EF67C3">
        <w:t>NHA</w:t>
      </w:r>
      <w:proofErr w:type="spellEnd"/>
      <w:r w:rsidRPr="00EF67C3">
        <w:t xml:space="preserve"> (box </w:t>
      </w:r>
      <w:proofErr w:type="spellStart"/>
      <w:r w:rsidRPr="00EF67C3">
        <w:t>E.1</w:t>
      </w:r>
      <w:proofErr w:type="spellEnd"/>
      <w:r w:rsidRPr="00EF67C3">
        <w:t>).</w:t>
      </w:r>
    </w:p>
    <w:p w:rsidR="00336D7E" w:rsidRPr="00EF67C3" w:rsidRDefault="00336D7E" w:rsidP="00336D7E">
      <w:pPr>
        <w:pStyle w:val="ListBullet"/>
      </w:pPr>
      <w:r w:rsidRPr="00EF67C3">
        <w:t>Sector-wide indicators — seven sector-wide indicators relate to the overarching service sector objectives identified in the NHA.</w:t>
      </w:r>
    </w:p>
    <w:p w:rsidR="00336D7E" w:rsidRPr="00EF67C3" w:rsidRDefault="00336D7E" w:rsidP="00336D7E">
      <w:pPr>
        <w:pStyle w:val="ListBullet"/>
      </w:pPr>
      <w:r w:rsidRPr="00EF67C3">
        <w:t>Information from the service-specific performance indicator frameworks that relate to health services. Discussed in more detail in chapters 10, 11 and 12, the service-specific frameworks provide comprehensive information on the equity, effectiveness and efficiency of these services.</w:t>
      </w:r>
    </w:p>
    <w:p w:rsidR="002C69A4" w:rsidRPr="00EF67C3" w:rsidRDefault="00336D7E" w:rsidP="002C69A4">
      <w:pPr>
        <w:pStyle w:val="BodyText"/>
      </w:pPr>
      <w:r w:rsidRPr="00EF67C3">
        <w:t>This sector overview provides an overview of relevant performance information. Chapters 10, 11 and 12 and their associated attachment tables provide more detailed information.</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69A4" w:rsidRPr="00EF67C3" w:rsidTr="00287CEA">
        <w:tc>
          <w:tcPr>
            <w:tcW w:w="8771" w:type="dxa"/>
            <w:tcBorders>
              <w:top w:val="single" w:sz="6" w:space="0" w:color="78A22F"/>
              <w:left w:val="nil"/>
              <w:bottom w:val="nil"/>
              <w:right w:val="nil"/>
            </w:tcBorders>
            <w:shd w:val="clear" w:color="auto" w:fill="auto"/>
          </w:tcPr>
          <w:p w:rsidR="002C69A4" w:rsidRPr="00EF67C3" w:rsidRDefault="002C69A4" w:rsidP="002C69A4">
            <w:pPr>
              <w:pStyle w:val="FigureTitle"/>
            </w:pPr>
            <w:r w:rsidRPr="00EF67C3">
              <w:rPr>
                <w:b w:val="0"/>
              </w:rPr>
              <w:lastRenderedPageBreak/>
              <w:t xml:space="preserve">Figure </w:t>
            </w:r>
            <w:proofErr w:type="spellStart"/>
            <w:r w:rsidRPr="00EF67C3">
              <w:rPr>
                <w:b w:val="0"/>
              </w:rPr>
              <w:t>E.</w:t>
            </w:r>
            <w:r w:rsidRPr="00EF67C3">
              <w:rPr>
                <w:b w:val="0"/>
                <w:noProof/>
              </w:rPr>
              <w:t>1</w:t>
            </w:r>
            <w:proofErr w:type="spellEnd"/>
            <w:r w:rsidRPr="00EF67C3">
              <w:tab/>
            </w:r>
            <w:r w:rsidRPr="00EF67C3">
              <w:rPr>
                <w:shd w:val="clear" w:color="auto" w:fill="FFFFFF" w:themeFill="background1"/>
              </w:rPr>
              <w:t>Health services sector performance indicator framework</w:t>
            </w:r>
          </w:p>
        </w:tc>
      </w:tr>
      <w:tr w:rsidR="002C69A4" w:rsidRPr="00EF67C3" w:rsidTr="002C69A4">
        <w:trPr>
          <w:trHeight w:val="12314"/>
        </w:trPr>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C69A4" w:rsidRPr="00EF67C3" w:rsidTr="00287CEA">
              <w:tc>
                <w:tcPr>
                  <w:tcW w:w="5000" w:type="pct"/>
                  <w:tcBorders>
                    <w:top w:val="nil"/>
                    <w:bottom w:val="nil"/>
                  </w:tcBorders>
                </w:tcPr>
                <w:p w:rsidR="002C69A4" w:rsidRPr="00EF67C3" w:rsidRDefault="002C69A4" w:rsidP="00287CEA">
                  <w:pPr>
                    <w:pStyle w:val="Figure"/>
                    <w:spacing w:before="60" w:after="60"/>
                  </w:pPr>
                  <w:r w:rsidRPr="00EF67C3">
                    <w:rPr>
                      <w:noProof/>
                    </w:rPr>
                    <w:drawing>
                      <wp:inline distT="0" distB="0" distL="0" distR="0" wp14:anchorId="5F8BA05B" wp14:editId="0A93BF5E">
                        <wp:extent cx="5369442" cy="7814930"/>
                        <wp:effectExtent l="0" t="0" r="3175" b="0"/>
                        <wp:docPr id="3" name="Picture 3" descr="Figure E.3 Health services sector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9442" cy="7814930"/>
                                </a:xfrm>
                                <a:prstGeom prst="rect">
                                  <a:avLst/>
                                </a:prstGeom>
                                <a:noFill/>
                                <a:ln>
                                  <a:noFill/>
                                </a:ln>
                              </pic:spPr>
                            </pic:pic>
                          </a:graphicData>
                        </a:graphic>
                      </wp:inline>
                    </w:drawing>
                  </w:r>
                </w:p>
              </w:tc>
            </w:tr>
          </w:tbl>
          <w:p w:rsidR="002C69A4" w:rsidRPr="00EF67C3" w:rsidRDefault="002C69A4" w:rsidP="00287CEA">
            <w:pPr>
              <w:pStyle w:val="Figure"/>
            </w:pPr>
          </w:p>
        </w:tc>
      </w:tr>
      <w:tr w:rsidR="002C69A4" w:rsidRPr="00EF67C3" w:rsidTr="002C69A4">
        <w:trPr>
          <w:trHeight w:val="72"/>
        </w:trPr>
        <w:tc>
          <w:tcPr>
            <w:tcW w:w="8771" w:type="dxa"/>
            <w:tcBorders>
              <w:top w:val="single" w:sz="6" w:space="0" w:color="78A22F"/>
              <w:left w:val="nil"/>
              <w:bottom w:val="nil"/>
              <w:right w:val="nil"/>
            </w:tcBorders>
          </w:tcPr>
          <w:p w:rsidR="002C69A4" w:rsidRPr="00EF67C3" w:rsidRDefault="002C69A4" w:rsidP="00287CEA">
            <w:pPr>
              <w:pStyle w:val="BoxSpaceBelow"/>
            </w:pPr>
          </w:p>
        </w:tc>
      </w:tr>
    </w:tbl>
    <w:p w:rsidR="004A6580" w:rsidRPr="00EF67C3" w:rsidRDefault="004A6580" w:rsidP="004A6580">
      <w:pPr>
        <w:pStyle w:val="Source"/>
      </w:pPr>
      <w:r w:rsidRPr="00EF67C3">
        <w:rPr>
          <w:i/>
        </w:rPr>
        <w:t>Source</w:t>
      </w:r>
      <w:r w:rsidRPr="00EF67C3">
        <w:t xml:space="preserve">: 2015 Report, figure </w:t>
      </w:r>
      <w:proofErr w:type="spellStart"/>
      <w:r w:rsidRPr="00EF67C3">
        <w:t>E.3</w:t>
      </w:r>
      <w:proofErr w:type="spellEnd"/>
      <w:r w:rsidRPr="00EF67C3">
        <w:t xml:space="preserve">, p. </w:t>
      </w:r>
      <w:proofErr w:type="spellStart"/>
      <w:r w:rsidRPr="00EF67C3">
        <w:t>E.12</w:t>
      </w:r>
      <w:proofErr w:type="spellEnd"/>
      <w:r w:rsidRPr="00EF67C3">
        <w:t>.</w:t>
      </w:r>
    </w:p>
    <w:p w:rsidR="00336D7E" w:rsidRPr="00EF67C3" w:rsidRDefault="00336D7E" w:rsidP="00336D7E">
      <w:pPr>
        <w:pStyle w:val="Heading3"/>
      </w:pPr>
      <w:bookmarkStart w:id="22" w:name="_Toc410820912"/>
      <w:r w:rsidRPr="00EF67C3">
        <w:lastRenderedPageBreak/>
        <w:t>Sector-wide performance indicators</w:t>
      </w:r>
      <w:bookmarkEnd w:id="22"/>
    </w:p>
    <w:p w:rsidR="00336D7E" w:rsidRPr="00EF67C3" w:rsidRDefault="00336D7E" w:rsidP="00336D7E">
      <w:pPr>
        <w:pStyle w:val="BodyText"/>
      </w:pPr>
      <w:r w:rsidRPr="00EF67C3">
        <w:t>This section includes high level indicators of health outcomes. While many factors affect outcomes — not solely the performance of government services — outcomes inform the development of appropriate policies and delivery of government services.</w:t>
      </w:r>
    </w:p>
    <w:p w:rsidR="00336D7E" w:rsidRPr="00EF67C3" w:rsidRDefault="002C69A4" w:rsidP="00336D7E">
      <w:pPr>
        <w:pStyle w:val="Heading4"/>
      </w:pPr>
      <w:r w:rsidRPr="00EF67C3">
        <w:t>Babies born of low birth weight</w:t>
      </w:r>
    </w:p>
    <w:p w:rsidR="00336D7E" w:rsidRPr="00EF67C3" w:rsidRDefault="00336D7E" w:rsidP="00336D7E">
      <w:pPr>
        <w:pStyle w:val="BodyText"/>
      </w:pPr>
      <w:r w:rsidRPr="00EF67C3">
        <w:t xml:space="preserve">‘Babies born of low birth weight’ is an indicator of governments’ objective that Australians are born and remain healthy (box </w:t>
      </w:r>
      <w:proofErr w:type="spellStart"/>
      <w:r w:rsidRPr="00EF67C3">
        <w:t>E.2</w:t>
      </w:r>
      <w:proofErr w:type="spellEnd"/>
      <w:r w:rsidRPr="00EF67C3">
        <w:t>). Birthweight is a key indicator of infant health and a principal determinant of a baby’s chance of prospective survival, good health, development and wellbeing (</w:t>
      </w:r>
      <w:proofErr w:type="spellStart"/>
      <w:r w:rsidRPr="00EF67C3">
        <w:t>AIHW</w:t>
      </w:r>
      <w:proofErr w:type="spellEnd"/>
      <w:r w:rsidRPr="00EF67C3">
        <w:t xml:space="preserve"> </w:t>
      </w:r>
      <w:proofErr w:type="spellStart"/>
      <w:r w:rsidRPr="00EF67C3">
        <w:t>NPESU</w:t>
      </w:r>
      <w:proofErr w:type="spellEnd"/>
      <w:r w:rsidRPr="00EF67C3">
        <w:t xml:space="preserve"> and </w:t>
      </w:r>
      <w:proofErr w:type="spellStart"/>
      <w:r w:rsidRPr="00EF67C3">
        <w:t>AIHW</w:t>
      </w:r>
      <w:proofErr w:type="spellEnd"/>
      <w:r w:rsidRPr="00EF67C3">
        <w:t xml:space="preserve"> 2013). Low birth weight babies have a greater risk of poor health and dying and are more likely to develop chronic diseases later in life (</w:t>
      </w:r>
      <w:proofErr w:type="spellStart"/>
      <w:r w:rsidRPr="00EF67C3">
        <w:t>AIHW</w:t>
      </w:r>
      <w:proofErr w:type="spellEnd"/>
      <w:r w:rsidRPr="00EF67C3">
        <w:t xml:space="preserve"> </w:t>
      </w:r>
      <w:proofErr w:type="spellStart"/>
      <w:r w:rsidRPr="00EF67C3">
        <w:t>2014</w:t>
      </w:r>
      <w:r w:rsidR="00F05F32" w:rsidRPr="00EF67C3">
        <w:t>b</w:t>
      </w:r>
      <w:proofErr w:type="spellEnd"/>
      <w:r w:rsidRPr="00EF67C3">
        <w:t>).</w:t>
      </w:r>
    </w:p>
    <w:p w:rsidR="00336D7E" w:rsidRPr="00EF67C3"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EF67C3" w:rsidTr="007655EF">
        <w:tc>
          <w:tcPr>
            <w:tcW w:w="8771" w:type="dxa"/>
            <w:tcBorders>
              <w:top w:val="single" w:sz="6" w:space="0" w:color="78A22F"/>
              <w:left w:val="nil"/>
              <w:bottom w:val="nil"/>
              <w:right w:val="nil"/>
            </w:tcBorders>
            <w:shd w:val="clear" w:color="auto" w:fill="F2F2F2" w:themeFill="background1" w:themeFillShade="F2"/>
          </w:tcPr>
          <w:p w:rsidR="00336D7E" w:rsidRPr="00EF67C3" w:rsidRDefault="00336D7E" w:rsidP="007655EF">
            <w:pPr>
              <w:pStyle w:val="BoxTitle"/>
            </w:pPr>
            <w:r w:rsidRPr="00EF67C3">
              <w:rPr>
                <w:b w:val="0"/>
              </w:rPr>
              <w:t xml:space="preserve">Box </w:t>
            </w:r>
            <w:proofErr w:type="spellStart"/>
            <w:r w:rsidRPr="00EF67C3">
              <w:rPr>
                <w:b w:val="0"/>
              </w:rPr>
              <w:t>E.</w:t>
            </w:r>
            <w:r w:rsidRPr="00EF67C3">
              <w:rPr>
                <w:b w:val="0"/>
                <w:noProof/>
              </w:rPr>
              <w:t>2</w:t>
            </w:r>
            <w:proofErr w:type="spellEnd"/>
            <w:r w:rsidRPr="00EF67C3">
              <w:tab/>
              <w:t>Low birth weight of babies</w:t>
            </w:r>
          </w:p>
        </w:tc>
      </w:tr>
      <w:tr w:rsidR="00336D7E" w:rsidRPr="00EF67C3" w:rsidTr="007655EF">
        <w:trPr>
          <w:cantSplit/>
        </w:trPr>
        <w:tc>
          <w:tcPr>
            <w:tcW w:w="8771" w:type="dxa"/>
            <w:tcBorders>
              <w:top w:val="nil"/>
              <w:left w:val="nil"/>
              <w:bottom w:val="nil"/>
              <w:right w:val="nil"/>
            </w:tcBorders>
            <w:shd w:val="clear" w:color="auto" w:fill="F2F2F2" w:themeFill="background1" w:themeFillShade="F2"/>
          </w:tcPr>
          <w:p w:rsidR="00336D7E" w:rsidRPr="00EF67C3" w:rsidRDefault="00336D7E" w:rsidP="007655EF">
            <w:pPr>
              <w:pStyle w:val="Box"/>
            </w:pPr>
            <w:r w:rsidRPr="00EF67C3">
              <w:t>Babies’ birth weight is defined as l</w:t>
            </w:r>
            <w:r w:rsidR="00C25C93" w:rsidRPr="00EF67C3">
              <w:t xml:space="preserve">ow if they weigh less than 2500 </w:t>
            </w:r>
            <w:r w:rsidRPr="00EF67C3">
              <w:t>grams, very l</w:t>
            </w:r>
            <w:r w:rsidR="00C25C93" w:rsidRPr="00EF67C3">
              <w:t xml:space="preserve">ow if they weigh less than 1500 </w:t>
            </w:r>
            <w:r w:rsidRPr="00EF67C3">
              <w:t xml:space="preserve">grams and extremely low if they weigh </w:t>
            </w:r>
            <w:r w:rsidR="004D3B45" w:rsidRPr="00EF67C3">
              <w:t xml:space="preserve">less than 1000 grams (Li et al. </w:t>
            </w:r>
            <w:r w:rsidRPr="00EF67C3">
              <w:t>2013).</w:t>
            </w:r>
          </w:p>
          <w:p w:rsidR="00336D7E" w:rsidRPr="00EF67C3" w:rsidRDefault="00336D7E" w:rsidP="007655EF">
            <w:pPr>
              <w:pStyle w:val="Box"/>
            </w:pPr>
            <w:r w:rsidRPr="00EF67C3">
              <w:t xml:space="preserve">A low or decreasing number of low birth weight babies is desirable. </w:t>
            </w:r>
          </w:p>
          <w:p w:rsidR="00336D7E" w:rsidRPr="00EF67C3" w:rsidRDefault="00336D7E" w:rsidP="007655EF">
            <w:pPr>
              <w:pStyle w:val="Box"/>
            </w:pPr>
            <w:r w:rsidRPr="00EF67C3">
              <w:t>Factors external to the health system also have a strong influence on the birth weight of babies. Some factors contributing to low birth weight include socioeconomic status, size of parents, age of mother, number of babies previously born, mother’s nutritional status, smoking and alcohol intake, and illness during pregnancy (Li et al.</w:t>
            </w:r>
            <w:r w:rsidR="004D3B45" w:rsidRPr="00EF67C3">
              <w:t xml:space="preserve"> </w:t>
            </w:r>
            <w:r w:rsidRPr="00EF67C3">
              <w:t>2013).</w:t>
            </w:r>
          </w:p>
          <w:p w:rsidR="00336D7E" w:rsidRPr="00EF67C3" w:rsidRDefault="00336D7E" w:rsidP="007655EF">
            <w:pPr>
              <w:pStyle w:val="Box"/>
            </w:pPr>
            <w:r w:rsidRPr="00EF67C3">
              <w:t>Data reported for this indicator are:</w:t>
            </w:r>
          </w:p>
          <w:p w:rsidR="00336D7E" w:rsidRPr="00EF67C3" w:rsidRDefault="00336D7E" w:rsidP="007655EF">
            <w:pPr>
              <w:pStyle w:val="BoxListBullet"/>
            </w:pPr>
            <w:r w:rsidRPr="00EF67C3">
              <w:t>comparable (subject to caveats) across jurisdictions and over time</w:t>
            </w:r>
          </w:p>
          <w:p w:rsidR="00336D7E" w:rsidRPr="00EF67C3" w:rsidRDefault="00336D7E" w:rsidP="007655EF">
            <w:pPr>
              <w:pStyle w:val="BoxListBullet"/>
            </w:pPr>
            <w:r w:rsidRPr="00EF67C3">
              <w:t>complete (subject to caveats) for the current reporting period. All required 2012 data are available for all jurisdictions.</w:t>
            </w:r>
          </w:p>
          <w:p w:rsidR="00336D7E" w:rsidRPr="00EF67C3" w:rsidRDefault="00336D7E" w:rsidP="007655EF">
            <w:pPr>
              <w:pStyle w:val="Box"/>
            </w:pPr>
            <w:r w:rsidRPr="00EF67C3">
              <w:rPr>
                <w:rFonts w:cs="Arial"/>
                <w:szCs w:val="22"/>
              </w:rPr>
              <w:t xml:space="preserve">Data quality Information for this indicator is at </w:t>
            </w:r>
            <w:r w:rsidR="00EF67C3" w:rsidRPr="00EF67C3">
              <w:rPr>
                <w:rFonts w:cs="Arial"/>
                <w:szCs w:val="22"/>
              </w:rPr>
              <w:t>www.pc.gov.au/research/recurring/report-on-government-services</w:t>
            </w:r>
            <w:r w:rsidRPr="00EF67C3">
              <w:rPr>
                <w:rFonts w:cs="Arial"/>
                <w:szCs w:val="22"/>
              </w:rPr>
              <w:t>.</w:t>
            </w:r>
          </w:p>
        </w:tc>
      </w:tr>
      <w:tr w:rsidR="00336D7E" w:rsidRPr="00EF67C3"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EF67C3" w:rsidRDefault="00336D7E" w:rsidP="007655EF">
            <w:pPr>
              <w:pStyle w:val="Box"/>
              <w:spacing w:before="0" w:line="120" w:lineRule="exact"/>
            </w:pPr>
          </w:p>
        </w:tc>
      </w:tr>
      <w:tr w:rsidR="00336D7E" w:rsidRPr="00EF67C3" w:rsidTr="007655EF">
        <w:tc>
          <w:tcPr>
            <w:tcW w:w="8771" w:type="dxa"/>
            <w:tcBorders>
              <w:top w:val="single" w:sz="6" w:space="0" w:color="78A22F"/>
              <w:left w:val="nil"/>
              <w:bottom w:val="nil"/>
              <w:right w:val="nil"/>
            </w:tcBorders>
          </w:tcPr>
          <w:p w:rsidR="00336D7E" w:rsidRPr="00EF67C3" w:rsidRDefault="00336D7E" w:rsidP="007655EF">
            <w:pPr>
              <w:pStyle w:val="BoxSpaceBelow"/>
            </w:pPr>
          </w:p>
        </w:tc>
      </w:tr>
    </w:tbl>
    <w:p w:rsidR="00336D7E" w:rsidRPr="00EF67C3" w:rsidRDefault="00336D7E" w:rsidP="00336D7E">
      <w:pPr>
        <w:pStyle w:val="BodyText"/>
      </w:pPr>
      <w:r w:rsidRPr="00EF67C3">
        <w:t xml:space="preserve">Nationally, the average birth weight for </w:t>
      </w:r>
      <w:proofErr w:type="spellStart"/>
      <w:r w:rsidRPr="00EF67C3">
        <w:t>liveborn</w:t>
      </w:r>
      <w:proofErr w:type="spellEnd"/>
      <w:r w:rsidRPr="00EF67C3">
        <w:t xml:space="preserve"> babies of Aboriginal and Torres S</w:t>
      </w:r>
      <w:r w:rsidR="00546751" w:rsidRPr="00EF67C3">
        <w:t xml:space="preserve">trait Islander mothers was 3211 grams in 2012 (table </w:t>
      </w:r>
      <w:proofErr w:type="spellStart"/>
      <w:r w:rsidRPr="00EF67C3">
        <w:t>EA.10</w:t>
      </w:r>
      <w:proofErr w:type="spellEnd"/>
      <w:r w:rsidRPr="00EF67C3">
        <w:t xml:space="preserve">). Among </w:t>
      </w:r>
      <w:proofErr w:type="spellStart"/>
      <w:r w:rsidRPr="00EF67C3">
        <w:t>liveborn</w:t>
      </w:r>
      <w:proofErr w:type="spellEnd"/>
      <w:r w:rsidRPr="00EF67C3">
        <w:t xml:space="preserve"> singleton babies born to Aboriginal and Torres Strait Islander mothers in 2012, the proportion with low birth weight was more than twice that of thos</w:t>
      </w:r>
      <w:r w:rsidR="00546751" w:rsidRPr="00EF67C3">
        <w:t xml:space="preserve">e born to other mothers (figure </w:t>
      </w:r>
      <w:proofErr w:type="spellStart"/>
      <w:r w:rsidRPr="00EF67C3">
        <w:t>E.</w:t>
      </w:r>
      <w:r w:rsidR="00546751" w:rsidRPr="00EF67C3">
        <w:t>2</w:t>
      </w:r>
      <w:proofErr w:type="spellEnd"/>
      <w:r w:rsidRPr="00EF67C3">
        <w:t>).</w:t>
      </w:r>
    </w:p>
    <w:p w:rsidR="00336D7E" w:rsidRPr="00EF67C3"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EF67C3" w:rsidTr="007655EF">
        <w:tc>
          <w:tcPr>
            <w:tcW w:w="8771" w:type="dxa"/>
            <w:tcBorders>
              <w:top w:val="single" w:sz="6" w:space="0" w:color="78A22F"/>
              <w:left w:val="nil"/>
              <w:bottom w:val="nil"/>
              <w:right w:val="nil"/>
            </w:tcBorders>
            <w:shd w:val="clear" w:color="auto" w:fill="auto"/>
          </w:tcPr>
          <w:p w:rsidR="00336D7E" w:rsidRPr="00EF67C3" w:rsidRDefault="00336D7E" w:rsidP="00546751">
            <w:pPr>
              <w:pStyle w:val="FigureTitle"/>
            </w:pPr>
            <w:r w:rsidRPr="00EF67C3">
              <w:rPr>
                <w:b w:val="0"/>
              </w:rPr>
              <w:t xml:space="preserve">Figure </w:t>
            </w:r>
            <w:proofErr w:type="spellStart"/>
            <w:r w:rsidRPr="00EF67C3">
              <w:rPr>
                <w:b w:val="0"/>
              </w:rPr>
              <w:t>E.</w:t>
            </w:r>
            <w:r w:rsidR="00546751" w:rsidRPr="00EF67C3">
              <w:rPr>
                <w:b w:val="0"/>
                <w:noProof/>
              </w:rPr>
              <w:t>2</w:t>
            </w:r>
            <w:proofErr w:type="spellEnd"/>
            <w:r w:rsidRPr="00EF67C3">
              <w:tab/>
            </w:r>
            <w:r w:rsidRPr="00EF67C3">
              <w:rPr>
                <w:bCs/>
              </w:rPr>
              <w:t>Proportion of live-born singleton babies of low birthweight, by maternal Indigenous status, 2012</w:t>
            </w:r>
            <w:r w:rsidRPr="00EF67C3">
              <w:rPr>
                <w:rStyle w:val="NoteLabel"/>
                <w:b/>
              </w:rPr>
              <w:t>a,</w:t>
            </w:r>
            <w:r w:rsidR="00546751" w:rsidRPr="00EF67C3">
              <w:rPr>
                <w:rStyle w:val="NoteLabel"/>
                <w:b/>
              </w:rPr>
              <w:t xml:space="preserve"> </w:t>
            </w:r>
            <w:r w:rsidRPr="00EF67C3">
              <w:rPr>
                <w:rStyle w:val="NoteLabel"/>
                <w:b/>
              </w:rPr>
              <w:t>b,</w:t>
            </w:r>
            <w:r w:rsidR="00546751" w:rsidRPr="00EF67C3">
              <w:rPr>
                <w:b w:val="0"/>
              </w:rPr>
              <w:t xml:space="preserve"> </w:t>
            </w:r>
            <w:r w:rsidRPr="00EF67C3">
              <w:rPr>
                <w:rStyle w:val="NoteLabel"/>
                <w:b/>
              </w:rPr>
              <w:t>c,</w:t>
            </w:r>
            <w:r w:rsidR="00546751" w:rsidRPr="00EF67C3">
              <w:rPr>
                <w:rStyle w:val="NoteLabel"/>
                <w:b/>
              </w:rPr>
              <w:t xml:space="preserve"> d, </w:t>
            </w:r>
            <w:r w:rsidRPr="00EF67C3">
              <w:rPr>
                <w:rStyle w:val="NoteLabel"/>
                <w:b/>
              </w:rPr>
              <w:t>e</w:t>
            </w:r>
          </w:p>
        </w:tc>
      </w:tr>
      <w:tr w:rsidR="00336D7E" w:rsidRPr="00EF67C3" w:rsidTr="007655EF">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36D7E" w:rsidRPr="00EF67C3" w:rsidTr="007655EF">
              <w:tc>
                <w:tcPr>
                  <w:tcW w:w="5000" w:type="pct"/>
                  <w:tcBorders>
                    <w:top w:val="nil"/>
                    <w:bottom w:val="nil"/>
                  </w:tcBorders>
                </w:tcPr>
                <w:p w:rsidR="00336D7E" w:rsidRPr="00EF67C3" w:rsidRDefault="00336D7E" w:rsidP="007655EF">
                  <w:pPr>
                    <w:pStyle w:val="Figure"/>
                    <w:spacing w:before="60" w:after="60"/>
                  </w:pPr>
                  <w:r w:rsidRPr="00EF67C3">
                    <w:rPr>
                      <w:noProof/>
                    </w:rPr>
                    <w:drawing>
                      <wp:inline distT="0" distB="0" distL="0" distR="0" wp14:anchorId="612139BC" wp14:editId="52B0D12A">
                        <wp:extent cx="5386705" cy="2693670"/>
                        <wp:effectExtent l="0" t="0" r="4445" b="0"/>
                        <wp:docPr id="7" name="Picture 7" descr="Figure E.4 Proportion of live-born singleton babies of low birthweight, by maternal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6705" cy="2693670"/>
                                </a:xfrm>
                                <a:prstGeom prst="rect">
                                  <a:avLst/>
                                </a:prstGeom>
                                <a:noFill/>
                                <a:ln>
                                  <a:noFill/>
                                </a:ln>
                              </pic:spPr>
                            </pic:pic>
                          </a:graphicData>
                        </a:graphic>
                      </wp:inline>
                    </w:drawing>
                  </w:r>
                </w:p>
              </w:tc>
            </w:tr>
          </w:tbl>
          <w:p w:rsidR="00336D7E" w:rsidRPr="00EF67C3" w:rsidRDefault="00336D7E" w:rsidP="007655EF">
            <w:pPr>
              <w:pStyle w:val="Figure"/>
            </w:pPr>
          </w:p>
        </w:tc>
      </w:tr>
      <w:tr w:rsidR="00336D7E" w:rsidRPr="00EF67C3" w:rsidTr="007655EF">
        <w:tc>
          <w:tcPr>
            <w:tcW w:w="8771" w:type="dxa"/>
            <w:tcBorders>
              <w:top w:val="nil"/>
              <w:left w:val="nil"/>
              <w:bottom w:val="nil"/>
              <w:right w:val="nil"/>
            </w:tcBorders>
            <w:shd w:val="clear" w:color="auto" w:fill="auto"/>
          </w:tcPr>
          <w:p w:rsidR="00336D7E" w:rsidRPr="00EF67C3" w:rsidRDefault="00336D7E" w:rsidP="007655EF">
            <w:pPr>
              <w:pStyle w:val="Note"/>
            </w:pPr>
            <w:r w:rsidRPr="00EF67C3">
              <w:rPr>
                <w:rStyle w:val="NoteLabel"/>
              </w:rPr>
              <w:t>a</w:t>
            </w:r>
            <w:r w:rsidRPr="00EF67C3">
              <w:sym w:font="Symbol" w:char="F020"/>
            </w:r>
            <w:r w:rsidRPr="00EF67C3">
              <w:t xml:space="preserve">Low birth weight is defined as less than 2500 grams. </w:t>
            </w:r>
            <w:r w:rsidRPr="00EF67C3">
              <w:rPr>
                <w:rStyle w:val="NoteLabel"/>
              </w:rPr>
              <w:t>b</w:t>
            </w:r>
            <w:r w:rsidRPr="00EF67C3">
              <w:sym w:font="Symbol" w:char="F020"/>
            </w:r>
            <w:r w:rsidRPr="00EF67C3">
              <w:t xml:space="preserve">Disaggregation by State/Territory is by place of usual residence of the mother. </w:t>
            </w:r>
            <w:r w:rsidRPr="00EF67C3">
              <w:rPr>
                <w:rStyle w:val="NoteLabel"/>
              </w:rPr>
              <w:t>c</w:t>
            </w:r>
            <w:r w:rsidRPr="00EF67C3">
              <w:sym w:font="Symbol" w:char="F020"/>
            </w:r>
            <w:r w:rsidRPr="00EF67C3">
              <w:t xml:space="preserve">Data excludes Australian non-residents, residents of external territories and where State/Territory of residence was not stated. </w:t>
            </w:r>
            <w:r w:rsidRPr="00EF67C3">
              <w:rPr>
                <w:rStyle w:val="NoteLabel"/>
              </w:rPr>
              <w:t>d</w:t>
            </w:r>
            <w:r w:rsidRPr="00EF67C3">
              <w:sym w:font="Symbol" w:char="F020"/>
            </w:r>
            <w:r w:rsidRPr="00EF67C3">
              <w:t>Excludes stillbirths and multiple births. Births were included if they were at least 20 weeks gestation or at least 400 grams birth weight</w:t>
            </w:r>
            <w:r w:rsidR="00627E95" w:rsidRPr="00EF67C3">
              <w:t xml:space="preserve">. </w:t>
            </w:r>
            <w:r w:rsidR="00627E95" w:rsidRPr="00EF67C3">
              <w:rPr>
                <w:rStyle w:val="NoteLabel"/>
              </w:rPr>
              <w:t>e</w:t>
            </w:r>
            <w:r w:rsidR="00546751" w:rsidRPr="00EF67C3">
              <w:sym w:font="Symbol" w:char="F020"/>
            </w:r>
            <w:r w:rsidRPr="00EF67C3">
              <w:t>Birth weight data on babies born to Aboriginal and Torres Strait Islander mothers residing in the ACT and Tasmania should be viewed with caution as they are based on small numbers of births.</w:t>
            </w:r>
          </w:p>
        </w:tc>
      </w:tr>
      <w:tr w:rsidR="00336D7E" w:rsidRPr="00EF67C3" w:rsidTr="007655EF">
        <w:tc>
          <w:tcPr>
            <w:tcW w:w="8771" w:type="dxa"/>
            <w:tcBorders>
              <w:top w:val="nil"/>
              <w:left w:val="nil"/>
              <w:bottom w:val="nil"/>
              <w:right w:val="nil"/>
            </w:tcBorders>
            <w:shd w:val="clear" w:color="auto" w:fill="auto"/>
          </w:tcPr>
          <w:p w:rsidR="00336D7E" w:rsidRPr="00EF67C3" w:rsidRDefault="00336D7E" w:rsidP="007655EF">
            <w:pPr>
              <w:pStyle w:val="Source"/>
            </w:pPr>
            <w:r w:rsidRPr="00EF67C3">
              <w:rPr>
                <w:i/>
              </w:rPr>
              <w:t>Source</w:t>
            </w:r>
            <w:r w:rsidR="004D3B45" w:rsidRPr="00EF67C3">
              <w:t xml:space="preserve">: AIHW </w:t>
            </w:r>
            <w:r w:rsidRPr="00EF67C3">
              <w:t>(unpublished) National P</w:t>
            </w:r>
            <w:r w:rsidR="00546751" w:rsidRPr="00EF67C3">
              <w:t xml:space="preserve">erinatal Data Collection; table </w:t>
            </w:r>
            <w:proofErr w:type="spellStart"/>
            <w:r w:rsidR="00627E95" w:rsidRPr="00EF67C3">
              <w:t>EA.8</w:t>
            </w:r>
            <w:proofErr w:type="spellEnd"/>
            <w:r w:rsidR="00627E95" w:rsidRPr="00EF67C3">
              <w:t xml:space="preserve">; 2015 Report, figure </w:t>
            </w:r>
            <w:proofErr w:type="spellStart"/>
            <w:r w:rsidR="00627E95" w:rsidRPr="00EF67C3">
              <w:t>E.4</w:t>
            </w:r>
            <w:proofErr w:type="spellEnd"/>
            <w:r w:rsidR="00627E95" w:rsidRPr="00EF67C3">
              <w:t xml:space="preserve">, </w:t>
            </w:r>
            <w:r w:rsidR="00627E95" w:rsidRPr="00EF67C3">
              <w:br/>
              <w:t xml:space="preserve">p. </w:t>
            </w:r>
            <w:proofErr w:type="spellStart"/>
            <w:r w:rsidR="00627E95" w:rsidRPr="00EF67C3">
              <w:t>E.14</w:t>
            </w:r>
            <w:proofErr w:type="spellEnd"/>
            <w:r w:rsidR="00627E95" w:rsidRPr="00EF67C3">
              <w:t>.</w:t>
            </w:r>
          </w:p>
        </w:tc>
      </w:tr>
      <w:tr w:rsidR="00336D7E" w:rsidRPr="00EF67C3" w:rsidTr="007655EF">
        <w:tc>
          <w:tcPr>
            <w:tcW w:w="8771" w:type="dxa"/>
            <w:tcBorders>
              <w:top w:val="nil"/>
              <w:left w:val="nil"/>
              <w:bottom w:val="single" w:sz="6" w:space="0" w:color="78A22F"/>
              <w:right w:val="nil"/>
            </w:tcBorders>
            <w:shd w:val="clear" w:color="auto" w:fill="auto"/>
          </w:tcPr>
          <w:p w:rsidR="00336D7E" w:rsidRPr="00EF67C3" w:rsidRDefault="00336D7E" w:rsidP="007655EF">
            <w:pPr>
              <w:pStyle w:val="Figurespace"/>
            </w:pPr>
          </w:p>
        </w:tc>
      </w:tr>
      <w:tr w:rsidR="00336D7E" w:rsidRPr="00EF67C3" w:rsidTr="007655EF">
        <w:tc>
          <w:tcPr>
            <w:tcW w:w="8771" w:type="dxa"/>
            <w:tcBorders>
              <w:top w:val="single" w:sz="6" w:space="0" w:color="78A22F"/>
              <w:left w:val="nil"/>
              <w:bottom w:val="nil"/>
              <w:right w:val="nil"/>
            </w:tcBorders>
          </w:tcPr>
          <w:p w:rsidR="00336D7E" w:rsidRPr="00EF67C3" w:rsidRDefault="00336D7E" w:rsidP="007655EF">
            <w:pPr>
              <w:pStyle w:val="BoxSpaceBelow"/>
            </w:pPr>
          </w:p>
        </w:tc>
      </w:tr>
    </w:tbl>
    <w:p w:rsidR="00336D7E" w:rsidRPr="00EF67C3" w:rsidRDefault="00336D7E" w:rsidP="00336D7E">
      <w:pPr>
        <w:pStyle w:val="Heading4"/>
      </w:pPr>
      <w:r w:rsidRPr="00EF67C3">
        <w:t>Prevalence of risk factors to the health of Australians</w:t>
      </w:r>
    </w:p>
    <w:p w:rsidR="00336D7E" w:rsidRPr="00EF67C3" w:rsidRDefault="00336D7E" w:rsidP="00336D7E">
      <w:pPr>
        <w:pStyle w:val="BodyText"/>
      </w:pPr>
      <w:r w:rsidRPr="00EF67C3">
        <w:t>‘Prevalence of risk factors to the health of Australians’ is an indicator of governments’ objective that Australians are bor</w:t>
      </w:r>
      <w:r w:rsidR="00627E95" w:rsidRPr="00EF67C3">
        <w:t xml:space="preserve">n and remain healthy (box </w:t>
      </w:r>
      <w:proofErr w:type="spellStart"/>
      <w:r w:rsidR="00627E95" w:rsidRPr="00EF67C3">
        <w:t>E.3</w:t>
      </w:r>
      <w:proofErr w:type="spellEnd"/>
      <w:r w:rsidR="00627E95" w:rsidRPr="00EF67C3">
        <w:t>).</w:t>
      </w:r>
    </w:p>
    <w:p w:rsidR="00336D7E" w:rsidRPr="00EF67C3" w:rsidRDefault="00336D7E" w:rsidP="00336D7E">
      <w:pPr>
        <w:pStyle w:val="BodyText"/>
      </w:pPr>
      <w:r w:rsidRPr="00EF67C3">
        <w:t>A number of behaviours create risks to health outcomes; for example, lack of exercise, smoking, excessive alcohol consumption, excessive sun exposure and unhealthy dietary habits (</w:t>
      </w:r>
      <w:proofErr w:type="spellStart"/>
      <w:r w:rsidRPr="00EF67C3">
        <w:t>AIHW</w:t>
      </w:r>
      <w:proofErr w:type="spellEnd"/>
      <w:r w:rsidRPr="00EF67C3">
        <w:t xml:space="preserve"> </w:t>
      </w:r>
      <w:proofErr w:type="spellStart"/>
      <w:r w:rsidRPr="00EF67C3">
        <w:t>2014</w:t>
      </w:r>
      <w:r w:rsidR="00F05F32" w:rsidRPr="00EF67C3">
        <w:t>a</w:t>
      </w:r>
      <w:proofErr w:type="spellEnd"/>
      <w:r w:rsidRPr="00EF67C3">
        <w:t>). Health services are concerned with promoting, restoring and maintaining a healthy society. An important part of this activity is aimed at raising awareness of health issues to reduce the risk a</w:t>
      </w:r>
      <w:r w:rsidR="00627E95" w:rsidRPr="00EF67C3">
        <w:t>nd onset of illness and injury.</w:t>
      </w:r>
    </w:p>
    <w:p w:rsidR="00336D7E" w:rsidRPr="00EF67C3"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EF67C3" w:rsidTr="007655EF">
        <w:tc>
          <w:tcPr>
            <w:tcW w:w="8771" w:type="dxa"/>
            <w:tcBorders>
              <w:top w:val="single" w:sz="6" w:space="0" w:color="78A22F"/>
              <w:left w:val="nil"/>
              <w:bottom w:val="nil"/>
              <w:right w:val="nil"/>
            </w:tcBorders>
            <w:shd w:val="clear" w:color="auto" w:fill="F2F2F2" w:themeFill="background1" w:themeFillShade="F2"/>
          </w:tcPr>
          <w:p w:rsidR="00336D7E" w:rsidRPr="00EF67C3" w:rsidRDefault="00336D7E" w:rsidP="007655EF">
            <w:pPr>
              <w:pStyle w:val="BoxTitle"/>
            </w:pPr>
            <w:r w:rsidRPr="00EF67C3">
              <w:rPr>
                <w:b w:val="0"/>
              </w:rPr>
              <w:t xml:space="preserve">Box </w:t>
            </w:r>
            <w:proofErr w:type="spellStart"/>
            <w:r w:rsidRPr="00EF67C3">
              <w:rPr>
                <w:b w:val="0"/>
              </w:rPr>
              <w:t>E.</w:t>
            </w:r>
            <w:r w:rsidRPr="00EF67C3">
              <w:rPr>
                <w:b w:val="0"/>
                <w:noProof/>
              </w:rPr>
              <w:t>3</w:t>
            </w:r>
            <w:proofErr w:type="spellEnd"/>
            <w:r w:rsidRPr="00EF67C3">
              <w:tab/>
              <w:t>Prevalence of risk factors to the health of Australians</w:t>
            </w:r>
          </w:p>
        </w:tc>
      </w:tr>
      <w:tr w:rsidR="00336D7E" w:rsidRPr="00EF67C3" w:rsidTr="007655EF">
        <w:trPr>
          <w:cantSplit/>
        </w:trPr>
        <w:tc>
          <w:tcPr>
            <w:tcW w:w="8771" w:type="dxa"/>
            <w:tcBorders>
              <w:top w:val="nil"/>
              <w:left w:val="nil"/>
              <w:bottom w:val="nil"/>
              <w:right w:val="nil"/>
            </w:tcBorders>
            <w:shd w:val="clear" w:color="auto" w:fill="F2F2F2" w:themeFill="background1" w:themeFillShade="F2"/>
          </w:tcPr>
          <w:p w:rsidR="00336D7E" w:rsidRPr="00EF67C3" w:rsidRDefault="00336D7E" w:rsidP="007655EF">
            <w:pPr>
              <w:pStyle w:val="Box"/>
            </w:pPr>
            <w:r w:rsidRPr="00EF67C3">
              <w:t>‘Prevalence of risk factors to the health of Australians’ is defined by the following measures:</w:t>
            </w:r>
          </w:p>
          <w:p w:rsidR="00336D7E" w:rsidRPr="00EF67C3" w:rsidRDefault="00336D7E" w:rsidP="007655EF">
            <w:pPr>
              <w:pStyle w:val="BoxListBullet"/>
            </w:pPr>
            <w:r w:rsidRPr="00EF67C3">
              <w:t>Prevalence of overweight and obesity — the number of people with a Body Mass Index (BMI) in the categories of either overweight or obese, as a percentage of the population. BMI is calculated as weight (kg) divided by the square of height (m). BMI values are grouped according to World Health Organization and National Health and Medic</w:t>
            </w:r>
            <w:r w:rsidR="00627E95" w:rsidRPr="00EF67C3">
              <w:t>al Research Council guidelines.</w:t>
            </w:r>
          </w:p>
          <w:p w:rsidR="00336D7E" w:rsidRPr="00EF67C3" w:rsidRDefault="00336D7E" w:rsidP="007655EF">
            <w:pPr>
              <w:pStyle w:val="BoxListBullet"/>
              <w:numPr>
                <w:ilvl w:val="0"/>
                <w:numId w:val="0"/>
              </w:numPr>
              <w:ind w:left="284"/>
            </w:pPr>
            <w:r w:rsidRPr="00EF67C3">
              <w:t>Among adults, a BMI of 25 to less than 30 is considered overweight and a BMI of 30 or over is considered to be obese (WHO</w:t>
            </w:r>
            <w:r w:rsidR="00627E95" w:rsidRPr="00EF67C3">
              <w:t xml:space="preserve"> </w:t>
            </w:r>
            <w:r w:rsidRPr="00EF67C3">
              <w:t xml:space="preserve">2000; </w:t>
            </w:r>
            <w:proofErr w:type="spellStart"/>
            <w:r w:rsidRPr="00EF67C3">
              <w:t>NHMRC</w:t>
            </w:r>
            <w:proofErr w:type="spellEnd"/>
            <w:r w:rsidR="00627E95" w:rsidRPr="00EF67C3">
              <w:t xml:space="preserve"> 2013).</w:t>
            </w:r>
          </w:p>
          <w:p w:rsidR="00336D7E" w:rsidRPr="00EF67C3" w:rsidRDefault="00336D7E" w:rsidP="007655EF">
            <w:pPr>
              <w:pStyle w:val="BoxListBullet"/>
              <w:numPr>
                <w:ilvl w:val="0"/>
                <w:numId w:val="0"/>
              </w:numPr>
              <w:ind w:left="284"/>
            </w:pPr>
            <w:r w:rsidRPr="00EF67C3">
              <w:t>Children are defined as people aged 5–17 years. For children, obesity is defined as BMI (appropriate for age and sex) that is likely to</w:t>
            </w:r>
            <w:r w:rsidR="00627E95" w:rsidRPr="00EF67C3">
              <w:t xml:space="preserve"> be 30 or more at age 18 years.</w:t>
            </w:r>
          </w:p>
          <w:p w:rsidR="00336D7E" w:rsidRPr="00EF67C3" w:rsidRDefault="00336D7E" w:rsidP="007655EF">
            <w:pPr>
              <w:pStyle w:val="BoxListBullet"/>
            </w:pPr>
            <w:r w:rsidRPr="00EF67C3">
              <w:t>Rates of current daily smokers — number of people aged 18 years or over who smoke tobacco every day as a percentage of the population age</w:t>
            </w:r>
            <w:r w:rsidR="00627E95" w:rsidRPr="00EF67C3">
              <w:t>d 18 years or over.</w:t>
            </w:r>
          </w:p>
          <w:p w:rsidR="00336D7E" w:rsidRPr="00EF67C3" w:rsidRDefault="00336D7E" w:rsidP="007655EF">
            <w:pPr>
              <w:pStyle w:val="BoxListBullet"/>
            </w:pPr>
            <w:r w:rsidRPr="00EF67C3">
              <w:t>Risk of alcohol related harm over a lifetime — people aged 18 years or over assessed as having an alcohol consumption pattern that puts them at risk of long</w:t>
            </w:r>
            <w:r w:rsidRPr="00EF67C3">
              <w:noBreakHyphen/>
              <w:t xml:space="preserve">term alcohol related harm, as a percentage of the population aged 18 years or </w:t>
            </w:r>
            <w:r w:rsidR="00627E95" w:rsidRPr="00EF67C3">
              <w:t>over.</w:t>
            </w:r>
          </w:p>
          <w:p w:rsidR="00336D7E" w:rsidRPr="00EF67C3" w:rsidRDefault="00336D7E" w:rsidP="007655EF">
            <w:pPr>
              <w:pStyle w:val="BoxListBullet"/>
              <w:numPr>
                <w:ilvl w:val="0"/>
                <w:numId w:val="0"/>
              </w:numPr>
              <w:ind w:left="284"/>
            </w:pPr>
            <w:r w:rsidRPr="00EF67C3">
              <w:t>‘Lifetime risk of alcohol related harm’ is defined according to the 2009 National Health and Medical Research Council guidelines: for males and females, no more than two standard drinks on any day. This has been operationalised as: for both males and females, an average of more than 2 standard drinks per day in the last week.</w:t>
            </w:r>
          </w:p>
          <w:p w:rsidR="00336D7E" w:rsidRPr="00EF67C3" w:rsidRDefault="00336D7E" w:rsidP="007655EF">
            <w:pPr>
              <w:pStyle w:val="Box"/>
            </w:pPr>
            <w:r w:rsidRPr="00EF67C3">
              <w:t>Rates for all three measures are age standardised.</w:t>
            </w:r>
          </w:p>
          <w:p w:rsidR="00336D7E" w:rsidRPr="00EF67C3" w:rsidRDefault="00336D7E" w:rsidP="007655EF">
            <w:pPr>
              <w:pStyle w:val="Box"/>
            </w:pPr>
            <w:r w:rsidRPr="00EF67C3">
              <w:t>A low or decreasing rate is desirable for each health risk factor.</w:t>
            </w:r>
          </w:p>
          <w:p w:rsidR="00336D7E" w:rsidRPr="00EF67C3" w:rsidRDefault="00336D7E" w:rsidP="007655EF">
            <w:pPr>
              <w:pStyle w:val="Box"/>
            </w:pPr>
            <w:r w:rsidRPr="00EF67C3">
              <w:t>Data reported for this indicator are:</w:t>
            </w:r>
          </w:p>
          <w:p w:rsidR="00336D7E" w:rsidRPr="00EF67C3" w:rsidRDefault="00336D7E" w:rsidP="007655EF">
            <w:pPr>
              <w:pStyle w:val="BoxListBullet"/>
            </w:pPr>
            <w:r w:rsidRPr="00EF67C3">
              <w:t>comparable (subject to caveats) across jurisdictions and over time</w:t>
            </w:r>
          </w:p>
          <w:p w:rsidR="00336D7E" w:rsidRPr="00EF67C3" w:rsidRDefault="00336D7E" w:rsidP="007655EF">
            <w:pPr>
              <w:pStyle w:val="BoxListBullet"/>
            </w:pPr>
            <w:r w:rsidRPr="00EF67C3">
              <w:t xml:space="preserve">complete (subject to caveats) for the current reporting period. All required </w:t>
            </w:r>
            <w:r w:rsidRPr="00EF67C3">
              <w:br/>
              <w:t>2011</w:t>
            </w:r>
            <w:r w:rsidRPr="00EF67C3">
              <w:rPr>
                <w:rFonts w:cs="Arial"/>
              </w:rPr>
              <w:t>–</w:t>
            </w:r>
            <w:r w:rsidRPr="00EF67C3">
              <w:t>2013 data are a</w:t>
            </w:r>
            <w:r w:rsidR="00627E95" w:rsidRPr="00EF67C3">
              <w:t>vailable for all jurisdictions.</w:t>
            </w:r>
          </w:p>
          <w:p w:rsidR="00336D7E" w:rsidRPr="00EF67C3" w:rsidRDefault="00336D7E" w:rsidP="007655EF">
            <w:pPr>
              <w:pStyle w:val="Box"/>
            </w:pPr>
            <w:r w:rsidRPr="00EF67C3">
              <w:rPr>
                <w:rFonts w:cs="Arial"/>
                <w:szCs w:val="22"/>
              </w:rPr>
              <w:t xml:space="preserve">Data quality Information for this indicator is at </w:t>
            </w:r>
            <w:r w:rsidR="00EF67C3" w:rsidRPr="00EF67C3">
              <w:rPr>
                <w:rFonts w:cs="Arial"/>
                <w:szCs w:val="22"/>
              </w:rPr>
              <w:t>www.pc.gov.au/research/recurring/report-on-government-services</w:t>
            </w:r>
            <w:r w:rsidRPr="00EF67C3">
              <w:rPr>
                <w:rFonts w:cs="Arial"/>
                <w:szCs w:val="22"/>
              </w:rPr>
              <w:t>.</w:t>
            </w:r>
          </w:p>
        </w:tc>
      </w:tr>
      <w:tr w:rsidR="00336D7E" w:rsidRPr="00EF67C3"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EF67C3" w:rsidRDefault="00336D7E" w:rsidP="007655EF">
            <w:pPr>
              <w:pStyle w:val="Box"/>
              <w:spacing w:before="0" w:line="120" w:lineRule="exact"/>
            </w:pPr>
          </w:p>
        </w:tc>
      </w:tr>
      <w:tr w:rsidR="00336D7E" w:rsidRPr="00EF67C3" w:rsidTr="007655EF">
        <w:tc>
          <w:tcPr>
            <w:tcW w:w="8771" w:type="dxa"/>
            <w:tcBorders>
              <w:top w:val="single" w:sz="6" w:space="0" w:color="78A22F"/>
              <w:left w:val="nil"/>
              <w:bottom w:val="nil"/>
              <w:right w:val="nil"/>
            </w:tcBorders>
          </w:tcPr>
          <w:p w:rsidR="00336D7E" w:rsidRPr="00EF67C3" w:rsidRDefault="00336D7E" w:rsidP="007655EF">
            <w:pPr>
              <w:pStyle w:val="BoxSpaceBelow"/>
            </w:pPr>
          </w:p>
        </w:tc>
      </w:tr>
    </w:tbl>
    <w:p w:rsidR="00336D7E" w:rsidRPr="00EF67C3" w:rsidRDefault="00336D7E" w:rsidP="00336D7E">
      <w:pPr>
        <w:pStyle w:val="Heading5"/>
      </w:pPr>
      <w:r w:rsidRPr="00EF67C3">
        <w:t>Preva</w:t>
      </w:r>
      <w:r w:rsidR="00627E95" w:rsidRPr="00EF67C3">
        <w:t>lence of overweight and obesity</w:t>
      </w:r>
    </w:p>
    <w:p w:rsidR="00336D7E" w:rsidRPr="00EF67C3" w:rsidRDefault="00336D7E" w:rsidP="00336D7E">
      <w:pPr>
        <w:pStyle w:val="BodyText"/>
      </w:pPr>
      <w:r w:rsidRPr="00EF67C3">
        <w:t>Being overweight or obese increases the risk of an individual developing diseases such as</w:t>
      </w:r>
      <w:r w:rsidR="00095336" w:rsidRPr="00EF67C3">
        <w:t xml:space="preserve"> heart disease, stroke and Type </w:t>
      </w:r>
      <w:r w:rsidRPr="00EF67C3">
        <w:t>2 diabetes. In 2011-12, over a third of Australians’ measured BMI was in the overweight</w:t>
      </w:r>
      <w:r w:rsidRPr="00EF67C3">
        <w:rPr>
          <w:shd w:val="clear" w:color="auto" w:fill="FFFFFF" w:themeFill="background1"/>
        </w:rPr>
        <w:t xml:space="preserve"> range and over a quarter were obese (</w:t>
      </w:r>
      <w:r w:rsidR="00627E95" w:rsidRPr="00EF67C3">
        <w:rPr>
          <w:shd w:val="clear" w:color="auto" w:fill="FFFFFF" w:themeFill="background1"/>
        </w:rPr>
        <w:t xml:space="preserve">2015 Report, figure </w:t>
      </w:r>
      <w:proofErr w:type="spellStart"/>
      <w:r w:rsidR="00627E95" w:rsidRPr="00EF67C3">
        <w:rPr>
          <w:shd w:val="clear" w:color="auto" w:fill="FFFFFF" w:themeFill="background1"/>
        </w:rPr>
        <w:t>E.5</w:t>
      </w:r>
      <w:proofErr w:type="spellEnd"/>
      <w:r w:rsidR="00627E95" w:rsidRPr="00EF67C3">
        <w:rPr>
          <w:shd w:val="clear" w:color="auto" w:fill="FFFFFF" w:themeFill="background1"/>
        </w:rPr>
        <w:t xml:space="preserve">; table </w:t>
      </w:r>
      <w:proofErr w:type="spellStart"/>
      <w:r w:rsidRPr="00EF67C3">
        <w:rPr>
          <w:shd w:val="clear" w:color="auto" w:fill="FFFFFF" w:themeFill="background1"/>
        </w:rPr>
        <w:t>EA.12</w:t>
      </w:r>
      <w:proofErr w:type="spellEnd"/>
      <w:r w:rsidRPr="00EF67C3">
        <w:rPr>
          <w:shd w:val="clear" w:color="auto" w:fill="FFFFFF" w:themeFill="background1"/>
        </w:rPr>
        <w:t>).</w:t>
      </w:r>
    </w:p>
    <w:p w:rsidR="00336D7E" w:rsidRPr="00EF67C3" w:rsidRDefault="00336D7E" w:rsidP="00336D7E">
      <w:pPr>
        <w:pStyle w:val="BodyText"/>
      </w:pPr>
      <w:r w:rsidRPr="00EF67C3">
        <w:t>Nationally, the rate of overweight and obesity was higher for Aboriginal and Torr</w:t>
      </w:r>
      <w:r w:rsidR="00627E95" w:rsidRPr="00EF67C3">
        <w:t xml:space="preserve">es Strait Islander adults (72.4 per </w:t>
      </w:r>
      <w:r w:rsidRPr="00EF67C3">
        <w:t xml:space="preserve">cent) </w:t>
      </w:r>
      <w:r w:rsidR="00627E95" w:rsidRPr="00EF67C3">
        <w:t xml:space="preserve">than for other adults (62.6 per cent) in 2011–13 </w:t>
      </w:r>
      <w:r w:rsidR="00627E95" w:rsidRPr="00EF67C3">
        <w:br/>
        <w:t xml:space="preserve">(table </w:t>
      </w:r>
      <w:proofErr w:type="spellStart"/>
      <w:r w:rsidRPr="00EF67C3">
        <w:t>EA.16</w:t>
      </w:r>
      <w:proofErr w:type="spellEnd"/>
      <w:r w:rsidRPr="00EF67C3">
        <w:t xml:space="preserve">). Data for the rate of overweight and obesity for children by Indigenous status are reported in table </w:t>
      </w:r>
      <w:proofErr w:type="spellStart"/>
      <w:r w:rsidRPr="00EF67C3">
        <w:t>EA.18</w:t>
      </w:r>
      <w:proofErr w:type="spellEnd"/>
      <w:r w:rsidRPr="00EF67C3">
        <w:t>.</w:t>
      </w:r>
    </w:p>
    <w:p w:rsidR="00336D7E" w:rsidRPr="00EF67C3" w:rsidRDefault="00336D7E" w:rsidP="00336D7E">
      <w:pPr>
        <w:pStyle w:val="Heading5"/>
      </w:pPr>
      <w:r w:rsidRPr="00EF67C3">
        <w:lastRenderedPageBreak/>
        <w:t>Rates of current daily smokers</w:t>
      </w:r>
    </w:p>
    <w:p w:rsidR="00336D7E" w:rsidRPr="00EF67C3" w:rsidRDefault="00336D7E" w:rsidP="00336D7E">
      <w:pPr>
        <w:pStyle w:val="BodyText"/>
      </w:pPr>
      <w:r w:rsidRPr="00EF67C3">
        <w:t xml:space="preserve">Smoking is an important risk factor for heart disease, stroke and lung cancer. These were the three leading causes of </w:t>
      </w:r>
      <w:r w:rsidR="003671A7" w:rsidRPr="00EF67C3">
        <w:t xml:space="preserve">death in Australia in 2011 (ABS </w:t>
      </w:r>
      <w:proofErr w:type="spellStart"/>
      <w:r w:rsidRPr="00EF67C3">
        <w:t>2014b</w:t>
      </w:r>
      <w:proofErr w:type="spellEnd"/>
      <w:r w:rsidRPr="00EF67C3">
        <w:t>). Smoki</w:t>
      </w:r>
      <w:r w:rsidR="003671A7" w:rsidRPr="00EF67C3">
        <w:t xml:space="preserve">ng is responsible for around 80 per </w:t>
      </w:r>
      <w:r w:rsidRPr="00EF67C3">
        <w:t>cent o</w:t>
      </w:r>
      <w:r w:rsidR="003671A7" w:rsidRPr="00EF67C3">
        <w:t xml:space="preserve">f all lung cancer deaths and 20 per </w:t>
      </w:r>
      <w:r w:rsidRPr="00EF67C3">
        <w:t xml:space="preserve">cent of </w:t>
      </w:r>
      <w:r w:rsidR="003671A7" w:rsidRPr="00EF67C3">
        <w:t>all cancer deaths (</w:t>
      </w:r>
      <w:proofErr w:type="spellStart"/>
      <w:r w:rsidR="003671A7" w:rsidRPr="00EF67C3">
        <w:t>HealthInsite</w:t>
      </w:r>
      <w:proofErr w:type="spellEnd"/>
      <w:r w:rsidR="003671A7" w:rsidRPr="00EF67C3">
        <w:t xml:space="preserve"> 2011).</w:t>
      </w:r>
    </w:p>
    <w:p w:rsidR="00336D7E" w:rsidRPr="00EF67C3" w:rsidRDefault="00336D7E" w:rsidP="00336D7E">
      <w:pPr>
        <w:pStyle w:val="BodyText"/>
      </w:pPr>
      <w:r w:rsidRPr="00EF67C3">
        <w:t>Nationally, Aboriginal and Torres Strait Islander Australians had higher age</w:t>
      </w:r>
      <w:r w:rsidRPr="00EF67C3">
        <w:noBreakHyphen/>
        <w:t>standardis</w:t>
      </w:r>
      <w:r w:rsidR="00CF6ED5" w:rsidRPr="00EF67C3">
        <w:t xml:space="preserve">ed rates of daily smoking (42.0 per </w:t>
      </w:r>
      <w:r w:rsidRPr="00EF67C3">
        <w:t>cent) than other Australians (16.0</w:t>
      </w:r>
      <w:r w:rsidR="00CF6ED5" w:rsidRPr="00EF67C3">
        <w:t xml:space="preserve"> per cent) in 2011–13 (table </w:t>
      </w:r>
      <w:proofErr w:type="spellStart"/>
      <w:r w:rsidRPr="00EF67C3">
        <w:t>EA.21</w:t>
      </w:r>
      <w:proofErr w:type="spellEnd"/>
      <w:r w:rsidRPr="00EF67C3">
        <w:t>).</w:t>
      </w:r>
    </w:p>
    <w:p w:rsidR="00336D7E" w:rsidRPr="00EF67C3" w:rsidRDefault="00336D7E" w:rsidP="00336D7E">
      <w:pPr>
        <w:pStyle w:val="Heading5"/>
      </w:pPr>
      <w:r w:rsidRPr="00EF67C3">
        <w:t>Levels of risky alcohol consumption</w:t>
      </w:r>
    </w:p>
    <w:p w:rsidR="00336D7E" w:rsidRPr="00EF67C3" w:rsidRDefault="00336D7E" w:rsidP="00336D7E">
      <w:pPr>
        <w:pStyle w:val="BodyText"/>
      </w:pPr>
      <w:r w:rsidRPr="00EF67C3">
        <w:t>The National Health and Medical Research Council (</w:t>
      </w:r>
      <w:proofErr w:type="spellStart"/>
      <w:r w:rsidRPr="00EF67C3">
        <w:t>NHMRC</w:t>
      </w:r>
      <w:proofErr w:type="spellEnd"/>
      <w:r w:rsidRPr="00EF67C3">
        <w:t>) reports that excessive long term alcohol consumption increases the risk of heart disease, diabetes, liver cirrhosis and some types of cancers. It can contribute to injury and death through accidents, violence, suicide and homicide, and also to financial problems, family breakdown, and child abuse and neglect (</w:t>
      </w:r>
      <w:proofErr w:type="spellStart"/>
      <w:r w:rsidRPr="00EF67C3">
        <w:t>NHM</w:t>
      </w:r>
      <w:r w:rsidR="00CF6ED5" w:rsidRPr="00EF67C3">
        <w:t>RC</w:t>
      </w:r>
      <w:proofErr w:type="spellEnd"/>
      <w:r w:rsidR="00CF6ED5" w:rsidRPr="00EF67C3">
        <w:t xml:space="preserve"> </w:t>
      </w:r>
      <w:r w:rsidRPr="00EF67C3">
        <w:t>2009).</w:t>
      </w:r>
    </w:p>
    <w:p w:rsidR="00336D7E" w:rsidRPr="00EF67C3" w:rsidRDefault="00336D7E" w:rsidP="00336D7E">
      <w:pPr>
        <w:pStyle w:val="BodyText"/>
        <w:rPr>
          <w:b/>
        </w:rPr>
      </w:pPr>
      <w:r w:rsidRPr="00EF67C3">
        <w:t xml:space="preserve">Nationally, the age standardised proportion of adults at </w:t>
      </w:r>
      <w:r w:rsidRPr="00EF67C3">
        <w:rPr>
          <w:lang w:val="en-US"/>
        </w:rPr>
        <w:t>risk of alcohol related harm over a lifetime</w:t>
      </w:r>
      <w:r w:rsidRPr="00EF67C3">
        <w:t xml:space="preserve"> (2009 </w:t>
      </w:r>
      <w:proofErr w:type="spellStart"/>
      <w:r w:rsidRPr="00EF67C3">
        <w:t>NHMRC</w:t>
      </w:r>
      <w:proofErr w:type="spellEnd"/>
      <w:r w:rsidRPr="00EF67C3">
        <w:t xml:space="preserve"> guidelines) was similar for Aboriginal and Torres St</w:t>
      </w:r>
      <w:r w:rsidR="00CF6ED5" w:rsidRPr="00EF67C3">
        <w:t xml:space="preserve">rait Islander Australians (19.2 per </w:t>
      </w:r>
      <w:r w:rsidRPr="00EF67C3">
        <w:t>ce</w:t>
      </w:r>
      <w:r w:rsidR="00CF6ED5" w:rsidRPr="00EF67C3">
        <w:t xml:space="preserve">nt) and other Australians (19.5 per </w:t>
      </w:r>
      <w:r w:rsidRPr="00EF67C3">
        <w:t>cent) in 2011–13, although results var</w:t>
      </w:r>
      <w:r w:rsidR="00CF6ED5" w:rsidRPr="00EF67C3">
        <w:t>ied across jurisdictions (table</w:t>
      </w:r>
      <w:r w:rsidRPr="00EF67C3">
        <w:t xml:space="preserve"> </w:t>
      </w:r>
      <w:proofErr w:type="spellStart"/>
      <w:r w:rsidRPr="00EF67C3">
        <w:t>EA.24</w:t>
      </w:r>
      <w:proofErr w:type="spellEnd"/>
      <w:r w:rsidRPr="00EF67C3">
        <w:t>). Nationally, the age standardised proportion of adults who abstained from alcohol in the previous 12 months was higher for Aboriginal and Torr</w:t>
      </w:r>
      <w:r w:rsidR="00CF6ED5" w:rsidRPr="00EF67C3">
        <w:t xml:space="preserve">es Strait Islander people (26.1 per </w:t>
      </w:r>
      <w:r w:rsidRPr="00EF67C3">
        <w:t>cent) t</w:t>
      </w:r>
      <w:r w:rsidR="00CF6ED5" w:rsidRPr="00EF67C3">
        <w:t xml:space="preserve">han for other Australians (16.3 per cent) in 2011–13 (table </w:t>
      </w:r>
      <w:proofErr w:type="spellStart"/>
      <w:r w:rsidRPr="00EF67C3">
        <w:t>EA.25</w:t>
      </w:r>
      <w:proofErr w:type="spellEnd"/>
      <w:r w:rsidRPr="00EF67C3">
        <w:t>).</w:t>
      </w:r>
    </w:p>
    <w:p w:rsidR="00336D7E" w:rsidRPr="00EF67C3" w:rsidRDefault="00336D7E" w:rsidP="00336D7E">
      <w:pPr>
        <w:pStyle w:val="Heading4"/>
        <w:spacing w:before="360"/>
      </w:pPr>
      <w:r w:rsidRPr="00EF67C3">
        <w:t>Selected potenti</w:t>
      </w:r>
      <w:r w:rsidR="00CF6ED5" w:rsidRPr="00EF67C3">
        <w:t>ally preventable diseases</w:t>
      </w:r>
    </w:p>
    <w:p w:rsidR="00336D7E" w:rsidRPr="00EF67C3" w:rsidRDefault="00336D7E" w:rsidP="00336D7E">
      <w:pPr>
        <w:pStyle w:val="BodyText"/>
      </w:pPr>
      <w:r w:rsidRPr="00EF67C3">
        <w:t xml:space="preserve">‘Selected potentially preventable diseases’ is an indicator of governments’ objective that Australians are born and remain healthy (box </w:t>
      </w:r>
      <w:proofErr w:type="spellStart"/>
      <w:r w:rsidRPr="00EF67C3">
        <w:t>E.4</w:t>
      </w:r>
      <w:proofErr w:type="spellEnd"/>
      <w:r w:rsidRPr="00EF67C3">
        <w:t>).</w:t>
      </w:r>
    </w:p>
    <w:p w:rsidR="00336D7E" w:rsidRPr="00EF67C3"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EF67C3" w:rsidTr="007655EF">
        <w:tc>
          <w:tcPr>
            <w:tcW w:w="8771" w:type="dxa"/>
            <w:tcBorders>
              <w:top w:val="single" w:sz="6" w:space="0" w:color="78A22F"/>
              <w:left w:val="nil"/>
              <w:bottom w:val="nil"/>
              <w:right w:val="nil"/>
            </w:tcBorders>
            <w:shd w:val="clear" w:color="auto" w:fill="F2F2F2" w:themeFill="background1" w:themeFillShade="F2"/>
          </w:tcPr>
          <w:p w:rsidR="00336D7E" w:rsidRPr="00EF67C3" w:rsidRDefault="00336D7E" w:rsidP="007655EF">
            <w:pPr>
              <w:pStyle w:val="BoxTitle"/>
            </w:pPr>
            <w:r w:rsidRPr="00EF67C3">
              <w:rPr>
                <w:b w:val="0"/>
              </w:rPr>
              <w:t xml:space="preserve">Box </w:t>
            </w:r>
            <w:proofErr w:type="spellStart"/>
            <w:r w:rsidRPr="00EF67C3">
              <w:rPr>
                <w:b w:val="0"/>
              </w:rPr>
              <w:t>E.</w:t>
            </w:r>
            <w:r w:rsidRPr="00EF67C3">
              <w:rPr>
                <w:b w:val="0"/>
                <w:noProof/>
              </w:rPr>
              <w:t>4</w:t>
            </w:r>
            <w:proofErr w:type="spellEnd"/>
            <w:r w:rsidRPr="00EF67C3">
              <w:tab/>
              <w:t>Selected potentially preventable diseases</w:t>
            </w:r>
          </w:p>
        </w:tc>
      </w:tr>
      <w:tr w:rsidR="00336D7E" w:rsidRPr="00EF67C3" w:rsidTr="007655EF">
        <w:trPr>
          <w:cantSplit/>
        </w:trPr>
        <w:tc>
          <w:tcPr>
            <w:tcW w:w="8771" w:type="dxa"/>
            <w:tcBorders>
              <w:top w:val="nil"/>
              <w:left w:val="nil"/>
              <w:bottom w:val="nil"/>
              <w:right w:val="nil"/>
            </w:tcBorders>
            <w:shd w:val="clear" w:color="auto" w:fill="F2F2F2" w:themeFill="background1" w:themeFillShade="F2"/>
          </w:tcPr>
          <w:p w:rsidR="00336D7E" w:rsidRPr="00EF67C3" w:rsidRDefault="00336D7E" w:rsidP="007655EF">
            <w:pPr>
              <w:pStyle w:val="Box"/>
            </w:pPr>
            <w:r w:rsidRPr="00EF67C3">
              <w:t>‘Selected potentially preventable diseases’ is defined by the following measures:</w:t>
            </w:r>
          </w:p>
          <w:p w:rsidR="00336D7E" w:rsidRPr="00EF67C3" w:rsidRDefault="00336D7E" w:rsidP="007655EF">
            <w:pPr>
              <w:pStyle w:val="BoxListBullet"/>
            </w:pPr>
            <w:r w:rsidRPr="00EF67C3">
              <w:t>Incidence of selected cancers — incidence of selected cancers of public health importance.</w:t>
            </w:r>
          </w:p>
          <w:p w:rsidR="00336D7E" w:rsidRPr="00EF67C3" w:rsidRDefault="00336D7E" w:rsidP="007655EF">
            <w:pPr>
              <w:pStyle w:val="BoxListBullet2"/>
            </w:pPr>
            <w:r w:rsidRPr="00EF67C3">
              <w:t>For melanoma, lung and bowel cancer, the measure is defined as the number of new cases in the reported year expressed as a directly age standardised rate.</w:t>
            </w:r>
          </w:p>
          <w:p w:rsidR="00336D7E" w:rsidRPr="00EF67C3" w:rsidRDefault="00336D7E" w:rsidP="007655EF">
            <w:pPr>
              <w:pStyle w:val="BoxListBullet2"/>
            </w:pPr>
            <w:r w:rsidRPr="00EF67C3">
              <w:t>For breast and cervical cancer in females, the measure is defined as the number of new cases in women in the reported year expressed as a directly age standardised rate.</w:t>
            </w:r>
          </w:p>
          <w:p w:rsidR="00336D7E" w:rsidRPr="00EF67C3" w:rsidRDefault="00336D7E" w:rsidP="007655EF">
            <w:pPr>
              <w:pStyle w:val="BoxListBullet2"/>
            </w:pPr>
            <w:r w:rsidRPr="00EF67C3">
              <w:t>Data reported for this measure are:</w:t>
            </w:r>
          </w:p>
          <w:p w:rsidR="00336D7E" w:rsidRPr="00EF67C3" w:rsidRDefault="00336D7E" w:rsidP="007655EF">
            <w:pPr>
              <w:pStyle w:val="BoxListBullet3"/>
            </w:pPr>
            <w:r w:rsidRPr="00EF67C3">
              <w:t>comparable (subject to caveats) across jurisdictions and over time except for NSW and the ACT, for which data for 2010 and 2011 are estimated</w:t>
            </w:r>
          </w:p>
          <w:p w:rsidR="00336D7E" w:rsidRPr="00EF67C3" w:rsidRDefault="00336D7E" w:rsidP="007655EF">
            <w:pPr>
              <w:pStyle w:val="BoxListBullet3"/>
            </w:pPr>
            <w:r w:rsidRPr="00EF67C3">
              <w:t>incomplete for the current reporting period. Data for 2010 and 2011 were not available for NSW or the ACT and estimates are reported for these jurisdictions.</w:t>
            </w:r>
          </w:p>
          <w:p w:rsidR="00336D7E" w:rsidRPr="00EF67C3" w:rsidRDefault="00336D7E" w:rsidP="007655EF">
            <w:pPr>
              <w:pStyle w:val="BoxListBullet"/>
            </w:pPr>
            <w:r w:rsidRPr="00EF67C3">
              <w:t>Incidence of heart attacks (acute coronary events) — the number of deaths recorded as acute coronary heart disease deaths plus the number of non-fatal hospitalisations for acute myocardial infarction or unstable angina not ending in a transfer to another acute hospital, expressed as a directly age-standardised rate.</w:t>
            </w:r>
          </w:p>
          <w:p w:rsidR="00336D7E" w:rsidRPr="00EF67C3" w:rsidRDefault="00336D7E" w:rsidP="007655EF">
            <w:pPr>
              <w:pStyle w:val="BoxListBullet2"/>
            </w:pPr>
            <w:r w:rsidRPr="00EF67C3">
              <w:t>Data reported for this measure are:</w:t>
            </w:r>
          </w:p>
          <w:p w:rsidR="00336D7E" w:rsidRPr="00EF67C3" w:rsidRDefault="00336D7E" w:rsidP="007655EF">
            <w:pPr>
              <w:pStyle w:val="BoxListBullet3"/>
            </w:pPr>
            <w:r w:rsidRPr="00EF67C3">
              <w:t>comparable (subject to caveats) over time at the national level but are not comparable across jurisdictions</w:t>
            </w:r>
          </w:p>
          <w:p w:rsidR="00336D7E" w:rsidRPr="00EF67C3" w:rsidRDefault="00336D7E" w:rsidP="007655EF">
            <w:pPr>
              <w:pStyle w:val="BoxListBullet3"/>
            </w:pPr>
            <w:r w:rsidRPr="00EF67C3">
              <w:t xml:space="preserve">complete for the current reporting period. All required 2012 data are reported for all jurisdictions. </w:t>
            </w:r>
          </w:p>
          <w:p w:rsidR="00336D7E" w:rsidRPr="00EF67C3" w:rsidRDefault="00336D7E" w:rsidP="007655EF">
            <w:pPr>
              <w:pStyle w:val="BoxListBullet"/>
            </w:pPr>
            <w:r w:rsidRPr="00EF67C3">
              <w:t>Prevalence of type 2 diabetes — the number of people recorded as having Type 2 diabetes as a percentage of the total population aged 18 years or over.</w:t>
            </w:r>
          </w:p>
          <w:p w:rsidR="00336D7E" w:rsidRPr="00EF67C3" w:rsidRDefault="00336D7E" w:rsidP="007655EF">
            <w:pPr>
              <w:pStyle w:val="BoxListBullet2"/>
            </w:pPr>
            <w:r w:rsidRPr="00EF67C3">
              <w:t>Data reported for this measure are:</w:t>
            </w:r>
          </w:p>
          <w:p w:rsidR="00336D7E" w:rsidRPr="00EF67C3" w:rsidRDefault="00336D7E" w:rsidP="007655EF">
            <w:pPr>
              <w:pStyle w:val="BoxListBullet3"/>
            </w:pPr>
            <w:r w:rsidRPr="00EF67C3">
              <w:t xml:space="preserve">comparable across jurisdictions except for the NT where people in very remote areas, for which data are not available, comprise around 23 per cent of the population (see caveats in attachment tables) but are not comparable over time </w:t>
            </w:r>
          </w:p>
          <w:p w:rsidR="00336D7E" w:rsidRPr="00EF67C3" w:rsidRDefault="00336D7E" w:rsidP="007655EF">
            <w:pPr>
              <w:pStyle w:val="BoxListBullet3"/>
            </w:pPr>
            <w:r w:rsidRPr="00EF67C3">
              <w:t>complete for the current reporting period except for the NT. All required 2011–13 data are reported for all jurisdictions except the NT.</w:t>
            </w:r>
          </w:p>
          <w:p w:rsidR="00336D7E" w:rsidRPr="00EF67C3" w:rsidRDefault="00336D7E" w:rsidP="007655EF">
            <w:pPr>
              <w:pStyle w:val="Box"/>
            </w:pPr>
            <w:r w:rsidRPr="00EF67C3">
              <w:t>A low or decreasing rate is desirable for each incidence/prevalence rate.</w:t>
            </w:r>
          </w:p>
          <w:p w:rsidR="00336D7E" w:rsidRPr="00EF67C3" w:rsidRDefault="00336D7E" w:rsidP="007655EF">
            <w:pPr>
              <w:pStyle w:val="Box"/>
            </w:pPr>
            <w:r w:rsidRPr="00EF67C3">
              <w:t>Incidence is defined as the number of new cases in the reported year and is expressed as a rate of the relevant population.</w:t>
            </w:r>
          </w:p>
          <w:p w:rsidR="00336D7E" w:rsidRPr="00EF67C3" w:rsidRDefault="00336D7E" w:rsidP="007655EF">
            <w:pPr>
              <w:pStyle w:val="Box"/>
            </w:pPr>
            <w:r w:rsidRPr="00EF67C3">
              <w:t>Prevalence is defined as the proportion of the population suffering from a disorder.</w:t>
            </w:r>
          </w:p>
          <w:p w:rsidR="00336D7E" w:rsidRPr="00EF67C3" w:rsidRDefault="00336D7E" w:rsidP="007655EF">
            <w:pPr>
              <w:pStyle w:val="Box"/>
              <w:rPr>
                <w:color w:val="78A22F" w:themeColor="hyperlink"/>
                <w:u w:val="single"/>
              </w:rPr>
            </w:pPr>
            <w:r w:rsidRPr="00EF67C3">
              <w:rPr>
                <w:rFonts w:cs="Arial"/>
                <w:szCs w:val="22"/>
              </w:rPr>
              <w:t xml:space="preserve">Data quality Information for this indicator is at </w:t>
            </w:r>
            <w:r w:rsidR="00EF67C3" w:rsidRPr="00EF67C3">
              <w:rPr>
                <w:rFonts w:cs="Arial"/>
                <w:szCs w:val="22"/>
              </w:rPr>
              <w:t>www.pc.gov.au/research/recurring/report-on-government-services</w:t>
            </w:r>
            <w:r w:rsidRPr="00EF67C3">
              <w:t>.</w:t>
            </w:r>
          </w:p>
        </w:tc>
      </w:tr>
      <w:tr w:rsidR="00336D7E" w:rsidRPr="00EF67C3"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EF67C3" w:rsidRDefault="00336D7E" w:rsidP="007655EF">
            <w:pPr>
              <w:pStyle w:val="Box"/>
              <w:spacing w:before="0" w:line="120" w:lineRule="exact"/>
            </w:pPr>
          </w:p>
        </w:tc>
      </w:tr>
      <w:tr w:rsidR="00336D7E" w:rsidRPr="00EF67C3" w:rsidTr="007655EF">
        <w:tc>
          <w:tcPr>
            <w:tcW w:w="8771" w:type="dxa"/>
            <w:tcBorders>
              <w:top w:val="single" w:sz="6" w:space="0" w:color="78A22F"/>
              <w:left w:val="nil"/>
              <w:bottom w:val="nil"/>
              <w:right w:val="nil"/>
            </w:tcBorders>
          </w:tcPr>
          <w:p w:rsidR="00336D7E" w:rsidRPr="00EF67C3" w:rsidRDefault="00336D7E" w:rsidP="007655EF">
            <w:pPr>
              <w:pStyle w:val="BoxSpaceBelow"/>
            </w:pPr>
          </w:p>
        </w:tc>
      </w:tr>
    </w:tbl>
    <w:p w:rsidR="00336D7E" w:rsidRPr="00EF67C3" w:rsidRDefault="00336D7E" w:rsidP="00336D7E">
      <w:pPr>
        <w:pStyle w:val="ListBullet"/>
        <w:numPr>
          <w:ilvl w:val="0"/>
          <w:numId w:val="0"/>
        </w:numPr>
      </w:pPr>
      <w:r w:rsidRPr="00EF67C3">
        <w:t>As well as addressing health risk factors, well-planned disease prevention and early intervention programs help prevent a number of diseases (or more successfully treat diseases through early identification). A number of programs form an important element of preventing disease and improving the health of Australians (</w:t>
      </w:r>
      <w:proofErr w:type="spellStart"/>
      <w:r w:rsidR="00CF6ED5" w:rsidRPr="00EF67C3">
        <w:rPr>
          <w:iCs/>
        </w:rPr>
        <w:t>NPHT</w:t>
      </w:r>
      <w:proofErr w:type="spellEnd"/>
      <w:r w:rsidR="00CF6ED5" w:rsidRPr="00EF67C3">
        <w:rPr>
          <w:iCs/>
        </w:rPr>
        <w:t xml:space="preserve"> </w:t>
      </w:r>
      <w:r w:rsidRPr="00EF67C3">
        <w:rPr>
          <w:iCs/>
        </w:rPr>
        <w:t xml:space="preserve">2009), </w:t>
      </w:r>
      <w:r w:rsidRPr="00EF67C3">
        <w:t>such as:</w:t>
      </w:r>
    </w:p>
    <w:p w:rsidR="00336D7E" w:rsidRPr="00EF67C3" w:rsidRDefault="00336D7E" w:rsidP="00336D7E">
      <w:pPr>
        <w:pStyle w:val="ListBullet"/>
      </w:pPr>
      <w:r w:rsidRPr="00EF67C3">
        <w:t>immunisation</w:t>
      </w:r>
    </w:p>
    <w:p w:rsidR="00336D7E" w:rsidRPr="00EF67C3" w:rsidRDefault="00336D7E" w:rsidP="00336D7E">
      <w:pPr>
        <w:pStyle w:val="ListBullet"/>
      </w:pPr>
      <w:r w:rsidRPr="00EF67C3">
        <w:lastRenderedPageBreak/>
        <w:t>cancer screening and early treatment</w:t>
      </w:r>
    </w:p>
    <w:p w:rsidR="00336D7E" w:rsidRPr="00EF67C3" w:rsidRDefault="00336D7E" w:rsidP="00336D7E">
      <w:pPr>
        <w:pStyle w:val="ListBullet"/>
      </w:pPr>
      <w:r w:rsidRPr="00EF67C3">
        <w:t>early detection and intervention</w:t>
      </w:r>
    </w:p>
    <w:p w:rsidR="00336D7E" w:rsidRPr="00EF67C3" w:rsidRDefault="00336D7E" w:rsidP="00336D7E">
      <w:pPr>
        <w:pStyle w:val="ListBullet"/>
      </w:pPr>
      <w:r w:rsidRPr="00EF67C3">
        <w:t>individual disease risk assessments and early intervention for biomedical risk factors such as: high blood pressure, high blood cholesterol, or impaired glucose tolerance</w:t>
      </w:r>
    </w:p>
    <w:p w:rsidR="00336D7E" w:rsidRPr="00EF67C3" w:rsidRDefault="00336D7E" w:rsidP="00336D7E">
      <w:pPr>
        <w:pStyle w:val="ListBullet"/>
      </w:pPr>
      <w:r w:rsidRPr="00EF67C3">
        <w:t>childhood infectious diseases control</w:t>
      </w:r>
    </w:p>
    <w:p w:rsidR="00336D7E" w:rsidRPr="00EF67C3" w:rsidRDefault="00336D7E" w:rsidP="00336D7E">
      <w:pPr>
        <w:pStyle w:val="ListBullet"/>
      </w:pPr>
      <w:r w:rsidRPr="00EF67C3">
        <w:t>sexually transmitted infections control.</w:t>
      </w:r>
    </w:p>
    <w:p w:rsidR="00336D7E" w:rsidRPr="00EF67C3" w:rsidRDefault="00CF6ED5" w:rsidP="00336D7E">
      <w:pPr>
        <w:pStyle w:val="Heading5"/>
      </w:pPr>
      <w:r w:rsidRPr="00EF67C3">
        <w:t>Incidence of selected cancers</w:t>
      </w:r>
    </w:p>
    <w:p w:rsidR="00857D6C" w:rsidRPr="00EF67C3" w:rsidRDefault="00857D6C" w:rsidP="00D27427">
      <w:pPr>
        <w:pStyle w:val="BodyText"/>
      </w:pPr>
      <w:r w:rsidRPr="00EF67C3">
        <w:t xml:space="preserve">The incidence of certain largely preventable cancers are reported by Indigenous status for 2011 in table </w:t>
      </w:r>
      <w:proofErr w:type="spellStart"/>
      <w:r w:rsidRPr="00EF67C3">
        <w:t>EA.29</w:t>
      </w:r>
      <w:proofErr w:type="spellEnd"/>
      <w:r w:rsidRPr="00EF67C3">
        <w:t>.</w:t>
      </w:r>
    </w:p>
    <w:p w:rsidR="00857D6C" w:rsidRPr="00EF67C3" w:rsidRDefault="00857D6C" w:rsidP="00D27427">
      <w:pPr>
        <w:pStyle w:val="Heading5"/>
        <w:rPr>
          <w:lang w:val="en"/>
        </w:rPr>
      </w:pPr>
      <w:r w:rsidRPr="00EF67C3">
        <w:rPr>
          <w:lang w:val="en"/>
        </w:rPr>
        <w:t>Incidence of heart attacks (acute coronary events)</w:t>
      </w:r>
    </w:p>
    <w:p w:rsidR="00336D7E" w:rsidRPr="00EF67C3" w:rsidRDefault="00336D7E" w:rsidP="00336D7E">
      <w:pPr>
        <w:pStyle w:val="BodyText"/>
        <w:rPr>
          <w:lang w:val="en"/>
        </w:rPr>
      </w:pPr>
      <w:r w:rsidRPr="00EF67C3">
        <w:rPr>
          <w:lang w:val="en"/>
        </w:rPr>
        <w:t>Nationally, the rate of heart attacks (acute coronary ev</w:t>
      </w:r>
      <w:r w:rsidR="00CF6ED5" w:rsidRPr="00EF67C3">
        <w:rPr>
          <w:lang w:val="en"/>
        </w:rPr>
        <w:t xml:space="preserve">ents) was 406 new cases per 100 </w:t>
      </w:r>
      <w:r w:rsidRPr="00EF67C3">
        <w:rPr>
          <w:lang w:val="en"/>
        </w:rPr>
        <w:t>000 people in 2012 (</w:t>
      </w:r>
      <w:r w:rsidR="00CF6ED5" w:rsidRPr="00EF67C3">
        <w:rPr>
          <w:lang w:val="en"/>
        </w:rPr>
        <w:t xml:space="preserve">2015 Report, table </w:t>
      </w:r>
      <w:proofErr w:type="spellStart"/>
      <w:r w:rsidRPr="00EF67C3">
        <w:rPr>
          <w:lang w:val="en"/>
        </w:rPr>
        <w:t>EA.30</w:t>
      </w:r>
      <w:proofErr w:type="spellEnd"/>
      <w:r w:rsidRPr="00EF67C3">
        <w:rPr>
          <w:lang w:val="en"/>
        </w:rPr>
        <w:t xml:space="preserve">). The incidence of heart attacks (acute coronary events) was more than twice as high for Aboriginal and Torres Strait Islander people </w:t>
      </w:r>
      <w:r w:rsidR="00CF6ED5" w:rsidRPr="00EF67C3">
        <w:rPr>
          <w:lang w:val="en"/>
        </w:rPr>
        <w:t xml:space="preserve">as for other Australians (table </w:t>
      </w:r>
      <w:proofErr w:type="spellStart"/>
      <w:r w:rsidRPr="00EF67C3">
        <w:rPr>
          <w:lang w:val="en"/>
        </w:rPr>
        <w:t>EA.31</w:t>
      </w:r>
      <w:proofErr w:type="spellEnd"/>
      <w:r w:rsidRPr="00EF67C3">
        <w:rPr>
          <w:lang w:val="en"/>
        </w:rPr>
        <w:t>).</w:t>
      </w:r>
    </w:p>
    <w:p w:rsidR="00336D7E" w:rsidRPr="00EF67C3" w:rsidRDefault="00336D7E" w:rsidP="00336D7E">
      <w:pPr>
        <w:pStyle w:val="Heading5"/>
      </w:pPr>
      <w:r w:rsidRPr="00EF67C3">
        <w:t>Prevalence of type 2 diabe</w:t>
      </w:r>
      <w:r w:rsidR="00CF6ED5" w:rsidRPr="00EF67C3">
        <w:t>tes</w:t>
      </w:r>
    </w:p>
    <w:p w:rsidR="00336D7E" w:rsidRPr="00EF67C3" w:rsidRDefault="00336D7E" w:rsidP="00336D7E">
      <w:pPr>
        <w:pStyle w:val="BodyText"/>
      </w:pPr>
      <w:r w:rsidRPr="00EF67C3">
        <w:t>Nationally, an es</w:t>
      </w:r>
      <w:r w:rsidR="00CF6ED5" w:rsidRPr="00EF67C3">
        <w:t xml:space="preserve">timated 4.3 </w:t>
      </w:r>
      <w:r w:rsidRPr="00EF67C3">
        <w:t>per cent of people aged 18 years or over had type 2 diabetes in 2011</w:t>
      </w:r>
      <w:r w:rsidRPr="00EF67C3">
        <w:noBreakHyphen/>
        <w:t>12 (</w:t>
      </w:r>
      <w:r w:rsidR="00CF6ED5" w:rsidRPr="00EF67C3">
        <w:t xml:space="preserve">2015 Report, table </w:t>
      </w:r>
      <w:proofErr w:type="spellStart"/>
      <w:r w:rsidRPr="00EF67C3">
        <w:t>EA.40</w:t>
      </w:r>
      <w:proofErr w:type="spellEnd"/>
      <w:r w:rsidRPr="00EF67C3">
        <w:t>). The prevalence of type 2 diabetes among Aboriginal and Torres Strait Islander adults was around three times higher than for other Australians in the period 2</w:t>
      </w:r>
      <w:r w:rsidR="00CF6ED5" w:rsidRPr="00EF67C3">
        <w:t xml:space="preserve">011–13 (tables </w:t>
      </w:r>
      <w:proofErr w:type="spellStart"/>
      <w:r w:rsidRPr="00EF67C3">
        <w:t>EA.41</w:t>
      </w:r>
      <w:proofErr w:type="spellEnd"/>
      <w:r w:rsidRPr="00EF67C3">
        <w:t>-42).</w:t>
      </w:r>
    </w:p>
    <w:p w:rsidR="00336D7E" w:rsidRPr="00EF67C3" w:rsidRDefault="00336D7E" w:rsidP="00336D7E">
      <w:pPr>
        <w:pStyle w:val="Heading4"/>
        <w:spacing w:before="360"/>
      </w:pPr>
      <w:r w:rsidRPr="00EF67C3">
        <w:t>Potentially avoidable deaths</w:t>
      </w:r>
    </w:p>
    <w:p w:rsidR="00336D7E" w:rsidRPr="00EF67C3" w:rsidRDefault="00336D7E" w:rsidP="00336D7E">
      <w:pPr>
        <w:pStyle w:val="BodyText"/>
      </w:pPr>
      <w:r w:rsidRPr="00EF67C3">
        <w:t xml:space="preserve">‘Potentially avoidable deaths’ is an indicator of governments’ objective that Australians are born and remain healthy (box </w:t>
      </w:r>
      <w:proofErr w:type="spellStart"/>
      <w:r w:rsidRPr="00EF67C3">
        <w:t>E.5</w:t>
      </w:r>
      <w:proofErr w:type="spellEnd"/>
      <w:r w:rsidRPr="00EF67C3">
        <w:t>). Avoidable deaths reflect the effectiveness of current and past preventative health activities.</w:t>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left w:val="nil"/>
              <w:bottom w:val="nil"/>
              <w:right w:val="nil"/>
            </w:tcBorders>
            <w:shd w:val="clear" w:color="auto" w:fill="F2F2F2" w:themeFill="background1" w:themeFillShade="F2"/>
          </w:tcPr>
          <w:p w:rsidR="00336D7E" w:rsidRPr="001D1B1C" w:rsidRDefault="00336D7E" w:rsidP="007655EF">
            <w:pPr>
              <w:pStyle w:val="BoxTitle"/>
            </w:pPr>
            <w:r w:rsidRPr="001D1B1C">
              <w:rPr>
                <w:b w:val="0"/>
              </w:rPr>
              <w:t xml:space="preserve">Box </w:t>
            </w:r>
            <w:proofErr w:type="spellStart"/>
            <w:r w:rsidRPr="001D1B1C">
              <w:rPr>
                <w:b w:val="0"/>
              </w:rPr>
              <w:t>E.</w:t>
            </w:r>
            <w:r w:rsidRPr="001D1B1C">
              <w:rPr>
                <w:b w:val="0"/>
                <w:noProof/>
              </w:rPr>
              <w:t>5</w:t>
            </w:r>
            <w:proofErr w:type="spellEnd"/>
            <w:r w:rsidRPr="001D1B1C">
              <w:tab/>
              <w:t>Potentially avoidable deaths</w:t>
            </w:r>
          </w:p>
        </w:tc>
      </w:tr>
      <w:tr w:rsidR="00336D7E" w:rsidRPr="001D1B1C" w:rsidTr="007655EF">
        <w:trPr>
          <w:cantSplit/>
        </w:trPr>
        <w:tc>
          <w:tcPr>
            <w:tcW w:w="8771" w:type="dxa"/>
            <w:tcBorders>
              <w:top w:val="nil"/>
              <w:left w:val="nil"/>
              <w:bottom w:val="nil"/>
              <w:right w:val="nil"/>
            </w:tcBorders>
            <w:shd w:val="clear" w:color="auto" w:fill="F2F2F2" w:themeFill="background1" w:themeFillShade="F2"/>
          </w:tcPr>
          <w:p w:rsidR="00336D7E" w:rsidRPr="001D1B1C" w:rsidRDefault="00336D7E" w:rsidP="007655EF">
            <w:pPr>
              <w:pStyle w:val="Box"/>
            </w:pPr>
            <w:r w:rsidRPr="001D1B1C">
              <w:t>‘Potentially avoidable deaths’ is defined as deaths from conditions that are potentially preventable through individualised care and/or treatable through timely and effective primary or hospital care.</w:t>
            </w:r>
          </w:p>
          <w:p w:rsidR="00336D7E" w:rsidRPr="001D1B1C" w:rsidRDefault="00336D7E" w:rsidP="007655EF">
            <w:pPr>
              <w:pStyle w:val="Box"/>
            </w:pPr>
            <w:r w:rsidRPr="001D1B1C">
              <w:t>A low or decreasing potentially avo</w:t>
            </w:r>
            <w:r w:rsidR="00CF6ED5" w:rsidRPr="001D1B1C">
              <w:t>idable death rate is desirable.</w:t>
            </w:r>
          </w:p>
          <w:p w:rsidR="00336D7E" w:rsidRPr="001D1B1C" w:rsidRDefault="00336D7E" w:rsidP="007655EF">
            <w:pPr>
              <w:pStyle w:val="Box"/>
            </w:pPr>
            <w:r w:rsidRPr="001D1B1C">
              <w:t>Most components of the health system can influence potentially avoidable death rates, although there can be decades between the action and the effect. Factors external to the health system also have a strong influence on potentially avoidable death rates.</w:t>
            </w:r>
          </w:p>
          <w:p w:rsidR="00336D7E" w:rsidRPr="001D1B1C" w:rsidRDefault="00336D7E" w:rsidP="007655EF">
            <w:pPr>
              <w:pStyle w:val="Box"/>
            </w:pPr>
            <w:r w:rsidRPr="001D1B1C">
              <w:t>Data reported for this indicator are:</w:t>
            </w:r>
          </w:p>
          <w:p w:rsidR="00336D7E" w:rsidRPr="001D1B1C" w:rsidRDefault="00336D7E" w:rsidP="007655EF">
            <w:pPr>
              <w:pStyle w:val="BoxListBullet"/>
            </w:pPr>
            <w:r w:rsidRPr="001D1B1C">
              <w:t>comparable (subject to caveats) across jurisdictions and over time</w:t>
            </w:r>
          </w:p>
          <w:p w:rsidR="00336D7E" w:rsidRPr="001D1B1C" w:rsidRDefault="00336D7E" w:rsidP="007655EF">
            <w:pPr>
              <w:pStyle w:val="BoxListBullet"/>
            </w:pPr>
            <w:r w:rsidRPr="001D1B1C">
              <w:t xml:space="preserve">complete (subject to caveats) for the current reporting period. All required </w:t>
            </w:r>
            <w:r w:rsidRPr="001D1B1C">
              <w:br/>
              <w:t>2012 data are available for all jurisdictions.</w:t>
            </w:r>
          </w:p>
          <w:p w:rsidR="00336D7E" w:rsidRPr="001D1B1C" w:rsidRDefault="00336D7E" w:rsidP="007655EF">
            <w:pPr>
              <w:pStyle w:val="Box"/>
            </w:pPr>
            <w:r w:rsidRPr="001D1B1C">
              <w:t xml:space="preserve">Data quality information for this indicator is at </w:t>
            </w:r>
            <w:r w:rsidR="00EF67C3" w:rsidRPr="001D1B1C">
              <w:t>www.pc.gov.au/research/recurring/report-on-government-services</w:t>
            </w:r>
            <w:r w:rsidRPr="001D1B1C">
              <w:t>.</w:t>
            </w:r>
          </w:p>
        </w:tc>
      </w:tr>
      <w:tr w:rsidR="00336D7E" w:rsidRPr="001D1B1C"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1D1B1C" w:rsidRDefault="00336D7E" w:rsidP="007655EF">
            <w:pPr>
              <w:pStyle w:val="Box"/>
              <w:spacing w:before="0" w:line="120" w:lineRule="exact"/>
            </w:pPr>
          </w:p>
        </w:tc>
      </w:tr>
      <w:tr w:rsidR="00336D7E" w:rsidRPr="001D1B1C" w:rsidTr="007655EF">
        <w:tc>
          <w:tcPr>
            <w:tcW w:w="8771" w:type="dxa"/>
            <w:tcBorders>
              <w:top w:val="single" w:sz="6" w:space="0" w:color="78A22F"/>
              <w:left w:val="nil"/>
              <w:bottom w:val="nil"/>
              <w:right w:val="nil"/>
            </w:tcBorders>
          </w:tcPr>
          <w:p w:rsidR="00336D7E" w:rsidRPr="001D1B1C" w:rsidRDefault="00336D7E" w:rsidP="007655EF">
            <w:pPr>
              <w:pStyle w:val="BoxSpaceBelow"/>
            </w:pPr>
          </w:p>
        </w:tc>
      </w:tr>
    </w:tbl>
    <w:p w:rsidR="00336D7E" w:rsidRPr="001D1B1C" w:rsidRDefault="00336D7E" w:rsidP="00336D7E">
      <w:pPr>
        <w:pStyle w:val="BodyText"/>
      </w:pPr>
      <w:r w:rsidRPr="001D1B1C">
        <w:t>Nationally, there were</w:t>
      </w:r>
      <w:r w:rsidR="00CF6ED5" w:rsidRPr="001D1B1C">
        <w:t xml:space="preserve"> 107.8 avoidable deaths per 100 </w:t>
      </w:r>
      <w:r w:rsidRPr="001D1B1C">
        <w:t>000 people in 2012 (</w:t>
      </w:r>
      <w:r w:rsidR="00CF6ED5" w:rsidRPr="001D1B1C">
        <w:t xml:space="preserve">2015 Report, </w:t>
      </w:r>
      <w:r w:rsidRPr="001D1B1C">
        <w:t xml:space="preserve">table </w:t>
      </w:r>
      <w:proofErr w:type="spellStart"/>
      <w:r w:rsidRPr="001D1B1C">
        <w:t>EA.43</w:t>
      </w:r>
      <w:proofErr w:type="spellEnd"/>
      <w:r w:rsidRPr="001D1B1C">
        <w:t xml:space="preserve">). The rate of avoidable deaths was considerably higher for Aboriginal and Torres Strait Islander people than for other Australians in all jurisdictions for which data were available </w:t>
      </w:r>
      <w:r w:rsidR="00CF6ED5" w:rsidRPr="001D1B1C">
        <w:t xml:space="preserve">in the period 2008–2012 (figure </w:t>
      </w:r>
      <w:proofErr w:type="spellStart"/>
      <w:r w:rsidRPr="001D1B1C">
        <w:t>E.</w:t>
      </w:r>
      <w:r w:rsidR="00CF6ED5" w:rsidRPr="001D1B1C">
        <w:t>3</w:t>
      </w:r>
      <w:proofErr w:type="spellEnd"/>
      <w:r w:rsidR="00CF6ED5" w:rsidRPr="001D1B1C">
        <w:t xml:space="preserve"> and table </w:t>
      </w:r>
      <w:proofErr w:type="spellStart"/>
      <w:r w:rsidRPr="001D1B1C">
        <w:t>EA.44</w:t>
      </w:r>
      <w:proofErr w:type="spellEnd"/>
      <w:r w:rsidRPr="001D1B1C">
        <w:t>).</w:t>
      </w:r>
    </w:p>
    <w:p w:rsidR="001E4F29" w:rsidRPr="001D1B1C" w:rsidRDefault="001E4F29">
      <w:pPr>
        <w:rPr>
          <w:szCs w:val="20"/>
        </w:rPr>
      </w:pPr>
      <w:r w:rsidRPr="001D1B1C">
        <w:br w:type="page"/>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left w:val="nil"/>
              <w:bottom w:val="nil"/>
              <w:right w:val="nil"/>
            </w:tcBorders>
            <w:shd w:val="clear" w:color="auto" w:fill="auto"/>
          </w:tcPr>
          <w:p w:rsidR="00336D7E" w:rsidRPr="001D1B1C" w:rsidRDefault="00336D7E" w:rsidP="00CF6ED5">
            <w:pPr>
              <w:pStyle w:val="FigureTitle"/>
            </w:pPr>
            <w:r w:rsidRPr="001D1B1C">
              <w:rPr>
                <w:b w:val="0"/>
              </w:rPr>
              <w:t xml:space="preserve">Figure </w:t>
            </w:r>
            <w:proofErr w:type="spellStart"/>
            <w:r w:rsidRPr="001D1B1C">
              <w:rPr>
                <w:b w:val="0"/>
              </w:rPr>
              <w:t>E.</w:t>
            </w:r>
            <w:r w:rsidR="00CF6ED5" w:rsidRPr="001D1B1C">
              <w:rPr>
                <w:b w:val="0"/>
                <w:noProof/>
              </w:rPr>
              <w:t>3</w:t>
            </w:r>
            <w:proofErr w:type="spellEnd"/>
            <w:r w:rsidRPr="001D1B1C">
              <w:tab/>
              <w:t>Age standardised mortality rates for potentially avoidable deaths, under 75 years, 2008–2012</w:t>
            </w:r>
            <w:r w:rsidRPr="001D1B1C">
              <w:rPr>
                <w:rStyle w:val="NoteLabel"/>
                <w:b/>
              </w:rPr>
              <w:t>a,</w:t>
            </w:r>
            <w:r w:rsidR="00CF6ED5" w:rsidRPr="001D1B1C">
              <w:rPr>
                <w:b w:val="0"/>
              </w:rPr>
              <w:t xml:space="preserve"> </w:t>
            </w:r>
            <w:r w:rsidRPr="001D1B1C">
              <w:rPr>
                <w:rStyle w:val="NoteLabel"/>
                <w:b/>
              </w:rPr>
              <w:t>b,</w:t>
            </w:r>
            <w:r w:rsidR="00CF6ED5" w:rsidRPr="001D1B1C">
              <w:rPr>
                <w:b w:val="0"/>
              </w:rPr>
              <w:t xml:space="preserve"> </w:t>
            </w:r>
            <w:r w:rsidRPr="001D1B1C">
              <w:rPr>
                <w:rStyle w:val="NoteLabel"/>
                <w:b/>
              </w:rPr>
              <w:t>c,</w:t>
            </w:r>
            <w:r w:rsidR="00CF6ED5" w:rsidRPr="001D1B1C">
              <w:rPr>
                <w:b w:val="0"/>
              </w:rPr>
              <w:t xml:space="preserve"> </w:t>
            </w:r>
            <w:r w:rsidRPr="001D1B1C">
              <w:rPr>
                <w:rStyle w:val="NoteLabel"/>
                <w:b/>
              </w:rPr>
              <w:t>d,</w:t>
            </w:r>
            <w:r w:rsidR="00CF6ED5" w:rsidRPr="001D1B1C">
              <w:rPr>
                <w:b w:val="0"/>
              </w:rPr>
              <w:t xml:space="preserve"> </w:t>
            </w:r>
            <w:r w:rsidRPr="001D1B1C">
              <w:rPr>
                <w:rStyle w:val="NoteLabel"/>
                <w:b/>
              </w:rPr>
              <w:t>e,</w:t>
            </w:r>
            <w:r w:rsidR="00CF6ED5" w:rsidRPr="001D1B1C">
              <w:rPr>
                <w:b w:val="0"/>
              </w:rPr>
              <w:t xml:space="preserve"> </w:t>
            </w:r>
            <w:r w:rsidR="001D1B1C" w:rsidRPr="001D1B1C">
              <w:rPr>
                <w:rStyle w:val="NoteLabel"/>
                <w:b/>
              </w:rPr>
              <w:t xml:space="preserve">f, g, h, </w:t>
            </w:r>
            <w:proofErr w:type="spellStart"/>
            <w:r w:rsidR="001D1B1C" w:rsidRPr="001D1B1C">
              <w:rPr>
                <w:rStyle w:val="NoteLabel"/>
                <w:b/>
              </w:rPr>
              <w:t>i</w:t>
            </w:r>
            <w:proofErr w:type="spellEnd"/>
          </w:p>
        </w:tc>
      </w:tr>
      <w:tr w:rsidR="00336D7E" w:rsidRPr="001D1B1C" w:rsidTr="007655EF">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36D7E" w:rsidRPr="001D1B1C" w:rsidTr="007655EF">
              <w:tc>
                <w:tcPr>
                  <w:tcW w:w="5000" w:type="pct"/>
                  <w:tcBorders>
                    <w:top w:val="nil"/>
                    <w:bottom w:val="nil"/>
                  </w:tcBorders>
                </w:tcPr>
                <w:p w:rsidR="00336D7E" w:rsidRPr="001D1B1C" w:rsidRDefault="003742D0" w:rsidP="007655EF">
                  <w:pPr>
                    <w:pStyle w:val="Figure"/>
                    <w:spacing w:before="60" w:after="60"/>
                  </w:pPr>
                  <w:r>
                    <w:rPr>
                      <w:noProof/>
                    </w:rPr>
                    <w:drawing>
                      <wp:inline distT="0" distB="0" distL="0" distR="0">
                        <wp:extent cx="5390515" cy="2700655"/>
                        <wp:effectExtent l="0" t="0" r="635" b="4445"/>
                        <wp:docPr id="2" name="Picture 2" descr="Figure E.3 Age standardised mortality rates for potentially avoidable deaths, under 75 years, 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336D7E" w:rsidRPr="001D1B1C" w:rsidRDefault="00336D7E" w:rsidP="007655EF">
            <w:pPr>
              <w:pStyle w:val="Figure"/>
            </w:pP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7655EF">
            <w:pPr>
              <w:pStyle w:val="Note"/>
            </w:pPr>
            <w:r w:rsidRPr="001D1B1C">
              <w:rPr>
                <w:rStyle w:val="NoteLabel"/>
              </w:rPr>
              <w:t>a</w:t>
            </w:r>
            <w:r w:rsidRPr="001D1B1C">
              <w:t xml:space="preserve"> </w:t>
            </w:r>
            <w:proofErr w:type="spellStart"/>
            <w:r w:rsidRPr="001D1B1C">
              <w:rPr>
                <w:snapToGrid w:val="0"/>
                <w:lang w:val="en-US"/>
              </w:rPr>
              <w:t>Standardised</w:t>
            </w:r>
            <w:proofErr w:type="spellEnd"/>
            <w:r w:rsidRPr="001D1B1C">
              <w:rPr>
                <w:snapToGrid w:val="0"/>
                <w:lang w:val="en-US"/>
              </w:rPr>
              <w:t xml:space="preserve"> death rates calculated using the direct method, age-</w:t>
            </w:r>
            <w:proofErr w:type="spellStart"/>
            <w:r w:rsidRPr="001D1B1C">
              <w:rPr>
                <w:snapToGrid w:val="0"/>
                <w:lang w:val="en-US"/>
              </w:rPr>
              <w:t>standardised</w:t>
            </w:r>
            <w:proofErr w:type="spellEnd"/>
            <w:r w:rsidRPr="001D1B1C">
              <w:rPr>
                <w:snapToGrid w:val="0"/>
                <w:lang w:val="en-US"/>
              </w:rPr>
              <w:t xml:space="preserve"> by 5 year age groups to less than 75 years. </w:t>
            </w:r>
            <w:r w:rsidRPr="001D1B1C">
              <w:rPr>
                <w:rStyle w:val="NoteLabel"/>
              </w:rPr>
              <w:t>b</w:t>
            </w:r>
            <w:r w:rsidRPr="001D1B1C">
              <w:sym w:font="Symbol" w:char="F020"/>
            </w:r>
            <w:r w:rsidRPr="001D1B1C">
              <w:t xml:space="preserve">Excludes deaths where Indigenous status was not provided. </w:t>
            </w:r>
            <w:r w:rsidRPr="001D1B1C">
              <w:rPr>
                <w:rStyle w:val="NoteLabel"/>
              </w:rPr>
              <w:t>c</w:t>
            </w:r>
            <w:r w:rsidRPr="001D1B1C">
              <w:sym w:font="Symbol" w:char="F020"/>
            </w:r>
            <w:r w:rsidRPr="001D1B1C">
              <w:t xml:space="preserve">Potentially avoidable deaths refer to deaths from certain conditions that are considered avoidable given timely and effective health care. Specifications for avoidable deaths have been revised and data are not comparable to data in previous reports. </w:t>
            </w:r>
            <w:r w:rsidRPr="001D1B1C">
              <w:rPr>
                <w:rStyle w:val="NoteLabel"/>
              </w:rPr>
              <w:t>d</w:t>
            </w:r>
            <w:r w:rsidRPr="001D1B1C">
              <w:sym w:font="Symbol" w:char="F020"/>
            </w:r>
            <w:r w:rsidRPr="001D1B1C">
              <w:t xml:space="preserve">Data based on year of registration. </w:t>
            </w:r>
            <w:r w:rsidRPr="001D1B1C">
              <w:rPr>
                <w:rStyle w:val="NoteLabel"/>
              </w:rPr>
              <w:t>e</w:t>
            </w:r>
            <w:r w:rsidRPr="001D1B1C">
              <w:sym w:font="Symbol" w:char="F020"/>
            </w:r>
            <w:r w:rsidRPr="001D1B1C">
              <w:t xml:space="preserve">Data are reported by jurisdiction of residence only for NSW, Queensland, WA, SA and the NT — these jurisdictions have sufficient level of identification and number of Aboriginal and Torres Strait Islander deaths to support mortality analysis. </w:t>
            </w:r>
            <w:r w:rsidRPr="001D1B1C">
              <w:rPr>
                <w:rStyle w:val="NoteLabel"/>
              </w:rPr>
              <w:t>f</w:t>
            </w:r>
            <w:r w:rsidRPr="001D1B1C">
              <w:rPr>
                <w:color w:val="FF0000"/>
              </w:rPr>
              <w:sym w:font="Symbol" w:char="F020"/>
            </w:r>
            <w:r w:rsidRPr="001D1B1C">
              <w:t xml:space="preserve">Queensland deaths data for 2010 were adjusted to minimise the impact of late registration of deaths on mortality indicators. </w:t>
            </w:r>
            <w:r w:rsidRPr="001D1B1C">
              <w:rPr>
                <w:rStyle w:val="NoteLabel"/>
              </w:rPr>
              <w:t>g</w:t>
            </w:r>
            <w:r w:rsidRPr="001D1B1C">
              <w:sym w:font="Symbol" w:char="F020"/>
            </w:r>
            <w:r w:rsidRPr="001D1B1C">
              <w:t xml:space="preserve">For WA, Aboriginal and Torres Strait Islander deaths data for 2007, 2008 and 2009 have been revised. </w:t>
            </w:r>
            <w:r w:rsidRPr="001D1B1C">
              <w:rPr>
                <w:rStyle w:val="NoteLabel"/>
              </w:rPr>
              <w:t>h</w:t>
            </w:r>
            <w:r w:rsidRPr="001D1B1C">
              <w:sym w:font="Symbol" w:char="F020"/>
            </w:r>
            <w:r w:rsidRPr="001D1B1C">
              <w:t xml:space="preserve">Total includes data for NSW, Queensland, WA, SA and the NT only. </w:t>
            </w:r>
            <w:proofErr w:type="spellStart"/>
            <w:r w:rsidR="001D1B1C" w:rsidRPr="001D1B1C">
              <w:rPr>
                <w:rStyle w:val="NoteLabel"/>
              </w:rPr>
              <w:t>i</w:t>
            </w:r>
            <w:proofErr w:type="spellEnd"/>
            <w:r w:rsidRPr="001D1B1C">
              <w:sym w:font="Symbol" w:char="F020"/>
            </w:r>
            <w:r w:rsidRPr="001D1B1C">
              <w:t xml:space="preserve">See </w:t>
            </w:r>
            <w:proofErr w:type="spellStart"/>
            <w:r w:rsidRPr="001D1B1C">
              <w:t>DQI</w:t>
            </w:r>
            <w:proofErr w:type="spellEnd"/>
            <w:r w:rsidRPr="001D1B1C">
              <w:t xml:space="preserve"> for more information.</w:t>
            </w: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4D3B45">
            <w:pPr>
              <w:pStyle w:val="Source"/>
              <w:spacing w:before="60" w:after="80" w:line="200" w:lineRule="exact"/>
            </w:pPr>
            <w:r w:rsidRPr="001D1B1C">
              <w:rPr>
                <w:i/>
              </w:rPr>
              <w:t>Source</w:t>
            </w:r>
            <w:r w:rsidRPr="001D1B1C">
              <w:t>: ABS</w:t>
            </w:r>
            <w:r w:rsidR="004D3B45" w:rsidRPr="001D1B1C">
              <w:t xml:space="preserve"> </w:t>
            </w:r>
            <w:r w:rsidRPr="001D1B1C">
              <w:t xml:space="preserve">(unpublished) </w:t>
            </w:r>
            <w:r w:rsidRPr="001D1B1C">
              <w:rPr>
                <w:i/>
              </w:rPr>
              <w:t>Causes of Deaths, Australia, 2012</w:t>
            </w:r>
            <w:r w:rsidRPr="001D1B1C">
              <w:t xml:space="preserve">, Cat. no. 3303.0; ABS (unpublished) Estimated Resident Population; ABS (2014) </w:t>
            </w:r>
            <w:r w:rsidRPr="001D1B1C">
              <w:rPr>
                <w:i/>
              </w:rPr>
              <w:t>Estimates and Projections, Aboriginal and Torres Strait Islander Australians, 2001 to 2026</w:t>
            </w:r>
            <w:r w:rsidR="001E4F29" w:rsidRPr="001D1B1C">
              <w:t xml:space="preserve">, Cat. no. 3238.0; table </w:t>
            </w:r>
            <w:proofErr w:type="spellStart"/>
            <w:r w:rsidR="001E4F29" w:rsidRPr="001D1B1C">
              <w:t>EA.44</w:t>
            </w:r>
            <w:proofErr w:type="spellEnd"/>
            <w:r w:rsidR="001E4F29" w:rsidRPr="001D1B1C">
              <w:t xml:space="preserve">; 2015 Report, figure </w:t>
            </w:r>
            <w:proofErr w:type="spellStart"/>
            <w:r w:rsidR="001E4F29" w:rsidRPr="001D1B1C">
              <w:t>E.9</w:t>
            </w:r>
            <w:proofErr w:type="spellEnd"/>
            <w:r w:rsidR="001E4F29" w:rsidRPr="001D1B1C">
              <w:t xml:space="preserve">, p. </w:t>
            </w:r>
            <w:proofErr w:type="spellStart"/>
            <w:r w:rsidR="001E4F29" w:rsidRPr="001D1B1C">
              <w:t>E.24</w:t>
            </w:r>
            <w:proofErr w:type="spellEnd"/>
            <w:r w:rsidR="001E4F29" w:rsidRPr="001D1B1C">
              <w:t>.</w:t>
            </w:r>
          </w:p>
        </w:tc>
      </w:tr>
      <w:tr w:rsidR="00336D7E" w:rsidRPr="001D1B1C" w:rsidTr="007655EF">
        <w:tc>
          <w:tcPr>
            <w:tcW w:w="8771" w:type="dxa"/>
            <w:tcBorders>
              <w:top w:val="nil"/>
              <w:left w:val="nil"/>
              <w:bottom w:val="single" w:sz="6" w:space="0" w:color="78A22F"/>
              <w:right w:val="nil"/>
            </w:tcBorders>
            <w:shd w:val="clear" w:color="auto" w:fill="auto"/>
          </w:tcPr>
          <w:p w:rsidR="00336D7E" w:rsidRPr="001D1B1C" w:rsidRDefault="00336D7E" w:rsidP="007655EF">
            <w:pPr>
              <w:pStyle w:val="Figurespace"/>
            </w:pPr>
          </w:p>
        </w:tc>
      </w:tr>
      <w:tr w:rsidR="00336D7E" w:rsidRPr="001D1B1C" w:rsidTr="007655EF">
        <w:tc>
          <w:tcPr>
            <w:tcW w:w="8771" w:type="dxa"/>
            <w:tcBorders>
              <w:top w:val="single" w:sz="6" w:space="0" w:color="78A22F"/>
              <w:left w:val="nil"/>
              <w:bottom w:val="nil"/>
              <w:right w:val="nil"/>
            </w:tcBorders>
          </w:tcPr>
          <w:p w:rsidR="00336D7E" w:rsidRPr="001D1B1C" w:rsidRDefault="00336D7E" w:rsidP="007655EF">
            <w:pPr>
              <w:pStyle w:val="BoxSpaceBelow"/>
            </w:pPr>
          </w:p>
        </w:tc>
      </w:tr>
    </w:tbl>
    <w:p w:rsidR="00336D7E" w:rsidRPr="001D1B1C" w:rsidRDefault="00336D7E" w:rsidP="00336D7E">
      <w:pPr>
        <w:pStyle w:val="Heading4"/>
        <w:spacing w:before="360"/>
      </w:pPr>
      <w:r w:rsidRPr="001D1B1C">
        <w:t>The mortality and life expectancy of Australians</w:t>
      </w:r>
    </w:p>
    <w:p w:rsidR="00336D7E" w:rsidRPr="001D1B1C" w:rsidRDefault="00336D7E" w:rsidP="00336D7E">
      <w:pPr>
        <w:pStyle w:val="BodyText"/>
      </w:pPr>
      <w:r w:rsidRPr="001D1B1C">
        <w:t>‘The mortality and life expectancy of Australians’ is an indicator of governments’ objective that Australians a</w:t>
      </w:r>
      <w:r w:rsidR="001E4F29" w:rsidRPr="001D1B1C">
        <w:t xml:space="preserve">re born and remain healthy (box </w:t>
      </w:r>
      <w:proofErr w:type="spellStart"/>
      <w:r w:rsidR="00362423" w:rsidRPr="001D1B1C">
        <w:t>E.6</w:t>
      </w:r>
      <w:proofErr w:type="spellEnd"/>
      <w:r w:rsidR="00362423" w:rsidRPr="001D1B1C">
        <w:t>).</w:t>
      </w:r>
    </w:p>
    <w:p w:rsidR="00336D7E" w:rsidRPr="001D1B1C" w:rsidRDefault="00336D7E" w:rsidP="00336D7E">
      <w:pPr>
        <w:pStyle w:val="BodyText"/>
        <w:rPr>
          <w:b/>
        </w:rPr>
      </w:pPr>
      <w:r w:rsidRPr="001D1B1C">
        <w:t>Comparing mortality and life expectancy data across populations, including cause, age, sex, population group and geographical distribution, provide important insights into the overall health of Australians (</w:t>
      </w:r>
      <w:proofErr w:type="spellStart"/>
      <w:r w:rsidRPr="001D1B1C">
        <w:t>AIHW</w:t>
      </w:r>
      <w:proofErr w:type="spellEnd"/>
      <w:r w:rsidRPr="001D1B1C">
        <w:t xml:space="preserve"> </w:t>
      </w:r>
      <w:proofErr w:type="spellStart"/>
      <w:r w:rsidRPr="001D1B1C">
        <w:t>2013</w:t>
      </w:r>
      <w:r w:rsidR="004D3B45" w:rsidRPr="001D1B1C">
        <w:t>b</w:t>
      </w:r>
      <w:proofErr w:type="spellEnd"/>
      <w:r w:rsidRPr="001D1B1C">
        <w:t>). Trends over time in mortality and life expectancy data can signal changes in the health status of the population, as well as provide a baseline indicator for the effectiveness of the health system.</w:t>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left w:val="nil"/>
              <w:bottom w:val="nil"/>
              <w:right w:val="nil"/>
            </w:tcBorders>
            <w:shd w:val="clear" w:color="auto" w:fill="F2F2F2" w:themeFill="background1" w:themeFillShade="F2"/>
          </w:tcPr>
          <w:p w:rsidR="00336D7E" w:rsidRPr="001D1B1C" w:rsidRDefault="00336D7E" w:rsidP="007655EF">
            <w:pPr>
              <w:pStyle w:val="BoxTitle"/>
            </w:pPr>
            <w:r w:rsidRPr="001D1B1C">
              <w:rPr>
                <w:b w:val="0"/>
              </w:rPr>
              <w:t xml:space="preserve">Box </w:t>
            </w:r>
            <w:proofErr w:type="spellStart"/>
            <w:r w:rsidRPr="001D1B1C">
              <w:rPr>
                <w:b w:val="0"/>
              </w:rPr>
              <w:t>E.</w:t>
            </w:r>
            <w:r w:rsidRPr="001D1B1C">
              <w:rPr>
                <w:b w:val="0"/>
                <w:noProof/>
              </w:rPr>
              <w:t>6</w:t>
            </w:r>
            <w:proofErr w:type="spellEnd"/>
            <w:r w:rsidRPr="001D1B1C">
              <w:tab/>
              <w:t>The mortality and life expectancy of Australians</w:t>
            </w:r>
          </w:p>
        </w:tc>
      </w:tr>
      <w:tr w:rsidR="00336D7E" w:rsidRPr="001D1B1C" w:rsidTr="007655EF">
        <w:trPr>
          <w:cantSplit/>
        </w:trPr>
        <w:tc>
          <w:tcPr>
            <w:tcW w:w="8771" w:type="dxa"/>
            <w:tcBorders>
              <w:top w:val="nil"/>
              <w:left w:val="nil"/>
              <w:bottom w:val="nil"/>
              <w:right w:val="nil"/>
            </w:tcBorders>
            <w:shd w:val="clear" w:color="auto" w:fill="F2F2F2" w:themeFill="background1" w:themeFillShade="F2"/>
          </w:tcPr>
          <w:p w:rsidR="00336D7E" w:rsidRPr="001D1B1C" w:rsidRDefault="00336D7E" w:rsidP="007655EF">
            <w:pPr>
              <w:pStyle w:val="Box"/>
            </w:pPr>
            <w:r w:rsidRPr="001D1B1C">
              <w:t>‘The mortality and life expectancy of Australians’ is defined by the following measures:</w:t>
            </w:r>
          </w:p>
          <w:p w:rsidR="00336D7E" w:rsidRPr="001D1B1C" w:rsidRDefault="00336D7E" w:rsidP="007655EF">
            <w:pPr>
              <w:pStyle w:val="BoxListBullet"/>
            </w:pPr>
            <w:r w:rsidRPr="001D1B1C">
              <w:t>‘Life expectancy’ — the average number of additional years a person of a given age and sex might expect to live if the age-specific death rates of the given period continued throughout his/her lifetime.</w:t>
            </w:r>
          </w:p>
          <w:p w:rsidR="00336D7E" w:rsidRPr="001D1B1C" w:rsidRDefault="00336D7E" w:rsidP="007655EF">
            <w:pPr>
              <w:pStyle w:val="BoxListBullet"/>
              <w:numPr>
                <w:ilvl w:val="0"/>
                <w:numId w:val="0"/>
              </w:numPr>
              <w:ind w:left="284"/>
            </w:pPr>
            <w:r w:rsidRPr="001D1B1C">
              <w:t>A high or increasing life expectancy is desirable.</w:t>
            </w:r>
          </w:p>
          <w:p w:rsidR="00336D7E" w:rsidRPr="001D1B1C" w:rsidRDefault="00336D7E" w:rsidP="007655EF">
            <w:pPr>
              <w:pStyle w:val="BoxListBullet"/>
            </w:pPr>
            <w:r w:rsidRPr="001D1B1C">
              <w:t>‘Median age at death’ — the age at which exactly half the deaths registered (or occurring) in a given time period were deaths of people above that age and half were deaths below that age.</w:t>
            </w:r>
          </w:p>
          <w:p w:rsidR="00336D7E" w:rsidRPr="001D1B1C" w:rsidRDefault="00336D7E" w:rsidP="007655EF">
            <w:pPr>
              <w:pStyle w:val="BoxListBullet"/>
              <w:numPr>
                <w:ilvl w:val="0"/>
                <w:numId w:val="0"/>
              </w:numPr>
              <w:ind w:left="284"/>
            </w:pPr>
            <w:r w:rsidRPr="001D1B1C">
              <w:t>A high or increasing median age at death is desirable.</w:t>
            </w:r>
          </w:p>
          <w:p w:rsidR="00336D7E" w:rsidRPr="001D1B1C" w:rsidRDefault="00336D7E" w:rsidP="007655EF">
            <w:pPr>
              <w:pStyle w:val="BoxListBullet"/>
            </w:pPr>
            <w:r w:rsidRPr="001D1B1C">
              <w:t xml:space="preserve">‘Mortality rates’ — the </w:t>
            </w:r>
            <w:r w:rsidRPr="001D1B1C">
              <w:rPr>
                <w:lang w:val="en"/>
              </w:rPr>
              <w:t>number of registered deaths compared to the total population (expressed as a rate)</w:t>
            </w:r>
            <w:r w:rsidRPr="001D1B1C">
              <w:t>. Rates are provided for:</w:t>
            </w:r>
          </w:p>
          <w:p w:rsidR="00336D7E" w:rsidRPr="001D1B1C" w:rsidRDefault="00336D7E" w:rsidP="007655EF">
            <w:pPr>
              <w:pStyle w:val="BoxListBullet2"/>
            </w:pPr>
            <w:r w:rsidRPr="001D1B1C">
              <w:t>Australian mortality rate — age standardised mortality per 1000 people</w:t>
            </w:r>
          </w:p>
          <w:p w:rsidR="00336D7E" w:rsidRPr="001D1B1C" w:rsidRDefault="00336D7E" w:rsidP="007655EF">
            <w:pPr>
              <w:pStyle w:val="BoxListBullet2"/>
            </w:pPr>
            <w:r w:rsidRPr="001D1B1C">
              <w:t>infant and child mortality rates — the number of deaths of children under one yea</w:t>
            </w:r>
            <w:r w:rsidR="001E4F29" w:rsidRPr="001D1B1C">
              <w:t xml:space="preserve">r of age in a calendar year per 1000 live </w:t>
            </w:r>
            <w:r w:rsidRPr="001D1B1C">
              <w:t>births in the same year (infant mortality rate) and the number of deaths of children between one and four years of age in a calendar year per 100 000 children (child mortality rate)</w:t>
            </w:r>
          </w:p>
          <w:p w:rsidR="00336D7E" w:rsidRPr="001D1B1C" w:rsidRDefault="00336D7E" w:rsidP="007655EF">
            <w:pPr>
              <w:pStyle w:val="BoxListBullet2"/>
            </w:pPr>
            <w:r w:rsidRPr="001D1B1C">
              <w:t>mortality rates by major cause of death — age standardised deaths, by cause of death compared to the total population (expressed as a rate).</w:t>
            </w:r>
          </w:p>
          <w:p w:rsidR="00336D7E" w:rsidRPr="001D1B1C" w:rsidRDefault="00336D7E" w:rsidP="007655EF">
            <w:pPr>
              <w:pStyle w:val="BoxListBullet"/>
              <w:numPr>
                <w:ilvl w:val="0"/>
                <w:numId w:val="0"/>
              </w:numPr>
              <w:ind w:left="284"/>
            </w:pPr>
            <w:r w:rsidRPr="001D1B1C">
              <w:t>A low or decreasing mortality rate is desirable.</w:t>
            </w:r>
          </w:p>
          <w:p w:rsidR="00336D7E" w:rsidRPr="001D1B1C" w:rsidRDefault="00336D7E" w:rsidP="007655EF">
            <w:pPr>
              <w:pStyle w:val="Box"/>
            </w:pPr>
            <w:r w:rsidRPr="001D1B1C">
              <w:t>Most components of the health system can influence the mortality and life expectancy of Australians, although there can be decades between the action and the effect. Factors external to the health system also have a strong influence.</w:t>
            </w:r>
          </w:p>
          <w:p w:rsidR="00336D7E" w:rsidRPr="001D1B1C" w:rsidRDefault="00336D7E" w:rsidP="007655EF">
            <w:pPr>
              <w:pStyle w:val="Box"/>
            </w:pPr>
            <w:r w:rsidRPr="001D1B1C">
              <w:t>Data reported for this indicator are:</w:t>
            </w:r>
          </w:p>
          <w:p w:rsidR="00336D7E" w:rsidRPr="001D1B1C" w:rsidRDefault="00336D7E" w:rsidP="007655EF">
            <w:pPr>
              <w:pStyle w:val="BoxListBullet"/>
              <w:spacing w:line="240" w:lineRule="atLeast"/>
            </w:pPr>
            <w:r w:rsidRPr="001D1B1C">
              <w:t>comparable (subject to caveats) across jurisdictions and over time except for median age at death</w:t>
            </w:r>
          </w:p>
          <w:p w:rsidR="00336D7E" w:rsidRPr="001D1B1C" w:rsidRDefault="00336D7E" w:rsidP="007655EF">
            <w:pPr>
              <w:pStyle w:val="BoxListBullet"/>
            </w:pPr>
            <w:r w:rsidRPr="001D1B1C">
              <w:t xml:space="preserve">complete (subject to caveats) for the current reporting period. All required </w:t>
            </w:r>
            <w:r w:rsidRPr="001D1B1C">
              <w:br/>
              <w:t>2011</w:t>
            </w:r>
            <w:r w:rsidRPr="001D1B1C">
              <w:rPr>
                <w:rFonts w:cs="Arial"/>
              </w:rPr>
              <w:t>–</w:t>
            </w:r>
            <w:r w:rsidRPr="001D1B1C">
              <w:t xml:space="preserve">2013 data for life expectancy, 2013 data for median age at death and </w:t>
            </w:r>
            <w:r w:rsidRPr="001D1B1C">
              <w:br/>
              <w:t>2013 data for mortality rates are available for all jurisdictions.</w:t>
            </w:r>
          </w:p>
          <w:p w:rsidR="00336D7E" w:rsidRPr="001D1B1C" w:rsidRDefault="00336D7E" w:rsidP="007655EF">
            <w:pPr>
              <w:pStyle w:val="Box"/>
              <w:spacing w:line="240" w:lineRule="atLeast"/>
            </w:pPr>
            <w:r w:rsidRPr="001D1B1C">
              <w:rPr>
                <w:rFonts w:cs="Arial"/>
                <w:szCs w:val="22"/>
              </w:rPr>
              <w:t xml:space="preserve">Data quality Information for this indicator is at </w:t>
            </w:r>
            <w:r w:rsidR="001D1B1C" w:rsidRPr="001D1B1C">
              <w:rPr>
                <w:rFonts w:cs="Arial"/>
                <w:szCs w:val="22"/>
              </w:rPr>
              <w:t>www.pc.gov.au/research/recurring/report-on-government-services</w:t>
            </w:r>
            <w:r w:rsidRPr="001D1B1C">
              <w:t>.</w:t>
            </w:r>
          </w:p>
        </w:tc>
      </w:tr>
      <w:tr w:rsidR="00336D7E" w:rsidRPr="001D1B1C"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1D1B1C" w:rsidRDefault="00336D7E" w:rsidP="007655EF">
            <w:pPr>
              <w:pStyle w:val="Box"/>
              <w:spacing w:before="0" w:line="120" w:lineRule="exact"/>
            </w:pPr>
          </w:p>
        </w:tc>
      </w:tr>
      <w:tr w:rsidR="00336D7E" w:rsidRPr="001D1B1C" w:rsidTr="007655EF">
        <w:tc>
          <w:tcPr>
            <w:tcW w:w="8771" w:type="dxa"/>
            <w:tcBorders>
              <w:top w:val="single" w:sz="6" w:space="0" w:color="78A22F"/>
              <w:left w:val="nil"/>
              <w:bottom w:val="nil"/>
              <w:right w:val="nil"/>
            </w:tcBorders>
          </w:tcPr>
          <w:p w:rsidR="00336D7E" w:rsidRPr="001D1B1C" w:rsidRDefault="00336D7E" w:rsidP="007655EF">
            <w:pPr>
              <w:pStyle w:val="BoxSpaceBelow"/>
            </w:pPr>
          </w:p>
        </w:tc>
      </w:tr>
    </w:tbl>
    <w:p w:rsidR="00336D7E" w:rsidRPr="001D1B1C" w:rsidRDefault="00336D7E" w:rsidP="00336D7E">
      <w:pPr>
        <w:pStyle w:val="Heading5"/>
      </w:pPr>
      <w:r w:rsidRPr="001D1B1C">
        <w:t>Life expectancy</w:t>
      </w:r>
    </w:p>
    <w:p w:rsidR="00336D7E" w:rsidRPr="001D1B1C" w:rsidRDefault="00336D7E" w:rsidP="00336D7E">
      <w:pPr>
        <w:pStyle w:val="BodyText"/>
      </w:pPr>
      <w:r w:rsidRPr="001D1B1C">
        <w:t>The life expectancy of Australians improved dramatically during the twentieth century and so far during the twenty</w:t>
      </w:r>
      <w:r w:rsidRPr="001D1B1C">
        <w:noBreakHyphen/>
        <w:t>first century. The average life expectancy at birth i</w:t>
      </w:r>
      <w:r w:rsidR="001E4F29" w:rsidRPr="001D1B1C">
        <w:t xml:space="preserve">n the period 1901–1910 was 55.2 years for males and 58.8 </w:t>
      </w:r>
      <w:r w:rsidRPr="001D1B1C">
        <w:t xml:space="preserve">years for females (ABS </w:t>
      </w:r>
      <w:proofErr w:type="spellStart"/>
      <w:r w:rsidRPr="001D1B1C">
        <w:t>2013b</w:t>
      </w:r>
      <w:proofErr w:type="spellEnd"/>
      <w:r w:rsidRPr="001D1B1C">
        <w:t>). It has risen steadily in e</w:t>
      </w:r>
      <w:r w:rsidR="001E4F29" w:rsidRPr="001D1B1C">
        <w:t xml:space="preserve">ach decade since, reaching 80.1 years for males and 84.3 </w:t>
      </w:r>
      <w:r w:rsidRPr="001D1B1C">
        <w:t>years for females in 2011–2013 (</w:t>
      </w:r>
      <w:r w:rsidR="001E4F29" w:rsidRPr="001D1B1C">
        <w:t xml:space="preserve">2015 Report, </w:t>
      </w:r>
      <w:r w:rsidRPr="001D1B1C">
        <w:t>f</w:t>
      </w:r>
      <w:r w:rsidR="001E4F29" w:rsidRPr="001D1B1C">
        <w:rPr>
          <w:shd w:val="clear" w:color="auto" w:fill="FFFFFF" w:themeFill="background1"/>
        </w:rPr>
        <w:t xml:space="preserve">igure </w:t>
      </w:r>
      <w:proofErr w:type="spellStart"/>
      <w:r w:rsidRPr="001D1B1C">
        <w:rPr>
          <w:shd w:val="clear" w:color="auto" w:fill="FFFFFF" w:themeFill="background1"/>
        </w:rPr>
        <w:t>E.10</w:t>
      </w:r>
      <w:proofErr w:type="spellEnd"/>
      <w:r w:rsidRPr="001D1B1C">
        <w:rPr>
          <w:shd w:val="clear" w:color="auto" w:fill="FFFFFF" w:themeFill="background1"/>
        </w:rPr>
        <w:t>).</w:t>
      </w:r>
    </w:p>
    <w:p w:rsidR="00336D7E" w:rsidRPr="001D1B1C" w:rsidRDefault="00336D7E" w:rsidP="00336D7E">
      <w:pPr>
        <w:pStyle w:val="BodyText"/>
      </w:pPr>
      <w:r w:rsidRPr="001D1B1C">
        <w:t xml:space="preserve">The life expectancies of Aboriginal and Torres Strait Islander Australians are considerably lower than those of other Australians. ABS estimates are available every 5 years. These </w:t>
      </w:r>
      <w:r w:rsidRPr="001D1B1C">
        <w:lastRenderedPageBreak/>
        <w:t xml:space="preserve">indicate a life expectancy at birth of </w:t>
      </w:r>
      <w:r w:rsidR="002C69A4" w:rsidRPr="001D1B1C">
        <w:t xml:space="preserve">69.1 </w:t>
      </w:r>
      <w:r w:rsidRPr="001D1B1C">
        <w:t>years for Aboriginal and Torres</w:t>
      </w:r>
      <w:r w:rsidR="001E4F29" w:rsidRPr="001D1B1C">
        <w:t xml:space="preserve"> Strait Islander males and 73.7 </w:t>
      </w:r>
      <w:r w:rsidRPr="001D1B1C">
        <w:t>years for Aboriginal and Torres Strait Islander females born from 2010 to 2012. In the same time period, life expectancy at birth for other males was 79.7 years and for othe</w:t>
      </w:r>
      <w:r w:rsidR="001E4F29" w:rsidRPr="001D1B1C">
        <w:t xml:space="preserve">r females was 83.1 years (table </w:t>
      </w:r>
      <w:proofErr w:type="spellStart"/>
      <w:r w:rsidRPr="001D1B1C">
        <w:t>EA.46</w:t>
      </w:r>
      <w:proofErr w:type="spellEnd"/>
      <w:r w:rsidRPr="001D1B1C">
        <w:t>). Life expectancy at birth by Indigenous status and sex for NSW, Queensland, WA and</w:t>
      </w:r>
      <w:r w:rsidR="001E4F29" w:rsidRPr="001D1B1C">
        <w:t xml:space="preserve"> the NT are presented in figure </w:t>
      </w:r>
      <w:proofErr w:type="spellStart"/>
      <w:r w:rsidR="001E4F29" w:rsidRPr="001D1B1C">
        <w:t>E.4</w:t>
      </w:r>
      <w:proofErr w:type="spellEnd"/>
      <w:r w:rsidRPr="001D1B1C">
        <w:t>.</w:t>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left w:val="nil"/>
              <w:bottom w:val="nil"/>
              <w:right w:val="nil"/>
            </w:tcBorders>
            <w:shd w:val="clear" w:color="auto" w:fill="auto"/>
          </w:tcPr>
          <w:p w:rsidR="00336D7E" w:rsidRPr="001D1B1C" w:rsidRDefault="00336D7E" w:rsidP="001E4F29">
            <w:pPr>
              <w:pStyle w:val="FigureTitle"/>
            </w:pPr>
            <w:r w:rsidRPr="001D1B1C">
              <w:rPr>
                <w:b w:val="0"/>
              </w:rPr>
              <w:t xml:space="preserve">Figure </w:t>
            </w:r>
            <w:proofErr w:type="spellStart"/>
            <w:r w:rsidRPr="001D1B1C">
              <w:rPr>
                <w:b w:val="0"/>
              </w:rPr>
              <w:t>E.</w:t>
            </w:r>
            <w:r w:rsidR="001E4F29" w:rsidRPr="001D1B1C">
              <w:rPr>
                <w:b w:val="0"/>
                <w:noProof/>
              </w:rPr>
              <w:t>4</w:t>
            </w:r>
            <w:proofErr w:type="spellEnd"/>
            <w:r w:rsidRPr="001D1B1C">
              <w:tab/>
            </w:r>
            <w:r w:rsidRPr="001D1B1C">
              <w:rPr>
                <w:bCs/>
              </w:rPr>
              <w:t>Estimated life expectancies at birth, by Indigenous status and sex, 2010–2012 (years)</w:t>
            </w:r>
            <w:r w:rsidRPr="001D1B1C">
              <w:rPr>
                <w:rStyle w:val="NoteLabel"/>
                <w:b/>
              </w:rPr>
              <w:t>a,</w:t>
            </w:r>
            <w:r w:rsidR="001E4F29" w:rsidRPr="001D1B1C">
              <w:rPr>
                <w:b w:val="0"/>
              </w:rPr>
              <w:t xml:space="preserve"> </w:t>
            </w:r>
            <w:r w:rsidRPr="001D1B1C">
              <w:rPr>
                <w:rStyle w:val="NoteLabel"/>
                <w:b/>
              </w:rPr>
              <w:t>b</w:t>
            </w:r>
          </w:p>
        </w:tc>
      </w:tr>
      <w:tr w:rsidR="00336D7E" w:rsidRPr="001D1B1C" w:rsidTr="007655EF">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36D7E" w:rsidRPr="001D1B1C" w:rsidTr="007655EF">
              <w:tc>
                <w:tcPr>
                  <w:tcW w:w="5000" w:type="pct"/>
                  <w:tcBorders>
                    <w:top w:val="nil"/>
                    <w:bottom w:val="nil"/>
                  </w:tcBorders>
                </w:tcPr>
                <w:p w:rsidR="00336D7E" w:rsidRPr="001D1B1C" w:rsidRDefault="00336D7E" w:rsidP="007655EF">
                  <w:pPr>
                    <w:pStyle w:val="Figure"/>
                    <w:spacing w:before="60" w:after="60"/>
                    <w:rPr>
                      <w:noProof/>
                    </w:rPr>
                  </w:pPr>
                  <w:r w:rsidRPr="001D1B1C">
                    <w:rPr>
                      <w:noProof/>
                    </w:rPr>
                    <w:drawing>
                      <wp:inline distT="0" distB="0" distL="0" distR="0" wp14:anchorId="3A7A9A61" wp14:editId="0C814CC4">
                        <wp:extent cx="5407025" cy="2693670"/>
                        <wp:effectExtent l="0" t="0" r="3175" b="0"/>
                        <wp:docPr id="18" name="Picture 18" descr="Figure E.11 Estimated life expectancies at birth, by Indigenous status and sex, 2010–2012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7025" cy="2693670"/>
                                </a:xfrm>
                                <a:prstGeom prst="rect">
                                  <a:avLst/>
                                </a:prstGeom>
                                <a:noFill/>
                                <a:ln>
                                  <a:noFill/>
                                </a:ln>
                              </pic:spPr>
                            </pic:pic>
                          </a:graphicData>
                        </a:graphic>
                      </wp:inline>
                    </w:drawing>
                  </w:r>
                </w:p>
                <w:p w:rsidR="00336D7E" w:rsidRPr="001D1B1C" w:rsidRDefault="00336D7E" w:rsidP="007655EF">
                  <w:pPr>
                    <w:jc w:val="center"/>
                    <w:rPr>
                      <w:noProof/>
                    </w:rPr>
                  </w:pPr>
                  <w:r w:rsidRPr="001D1B1C">
                    <w:rPr>
                      <w:noProof/>
                    </w:rPr>
                    <w:drawing>
                      <wp:inline distT="0" distB="0" distL="0" distR="0" wp14:anchorId="3B19D1F6" wp14:editId="6898B00B">
                        <wp:extent cx="2339163" cy="170121"/>
                        <wp:effectExtent l="0" t="0" r="0" b="1905"/>
                        <wp:docPr id="1" name="Picture 1"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4762" b="71177"/>
                                <a:stretch/>
                              </pic:blipFill>
                              <pic:spPr bwMode="auto">
                                <a:xfrm>
                                  <a:off x="0" y="0"/>
                                  <a:ext cx="2340429" cy="170213"/>
                                </a:xfrm>
                                <a:prstGeom prst="rect">
                                  <a:avLst/>
                                </a:prstGeom>
                                <a:ln>
                                  <a:noFill/>
                                </a:ln>
                                <a:extLst>
                                  <a:ext uri="{53640926-AAD7-44D8-BBD7-CCE9431645EC}">
                                    <a14:shadowObscured xmlns:a14="http://schemas.microsoft.com/office/drawing/2010/main"/>
                                  </a:ext>
                                </a:extLst>
                              </pic:spPr>
                            </pic:pic>
                          </a:graphicData>
                        </a:graphic>
                      </wp:inline>
                    </w:drawing>
                  </w:r>
                  <w:r w:rsidRPr="001D1B1C">
                    <w:rPr>
                      <w:noProof/>
                    </w:rPr>
                    <w:drawing>
                      <wp:inline distT="0" distB="0" distL="0" distR="0" wp14:anchorId="6EA1BEE6" wp14:editId="4E256C13">
                        <wp:extent cx="2425097" cy="148856"/>
                        <wp:effectExtent l="0" t="0" r="0" b="3810"/>
                        <wp:docPr id="12" name="Picture 12"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27021" b="47436"/>
                                <a:stretch/>
                              </pic:blipFill>
                              <pic:spPr bwMode="auto">
                                <a:xfrm>
                                  <a:off x="0" y="0"/>
                                  <a:ext cx="2457450" cy="150842"/>
                                </a:xfrm>
                                <a:prstGeom prst="rect">
                                  <a:avLst/>
                                </a:prstGeom>
                                <a:ln>
                                  <a:noFill/>
                                </a:ln>
                                <a:extLst>
                                  <a:ext uri="{53640926-AAD7-44D8-BBD7-CCE9431645EC}">
                                    <a14:shadowObscured xmlns:a14="http://schemas.microsoft.com/office/drawing/2010/main"/>
                                  </a:ext>
                                </a:extLst>
                              </pic:spPr>
                            </pic:pic>
                          </a:graphicData>
                        </a:graphic>
                      </wp:inline>
                    </w:drawing>
                  </w:r>
                </w:p>
                <w:p w:rsidR="00336D7E" w:rsidRPr="001D1B1C" w:rsidRDefault="00336D7E" w:rsidP="007655EF">
                  <w:pPr>
                    <w:jc w:val="center"/>
                    <w:rPr>
                      <w:noProof/>
                    </w:rPr>
                  </w:pPr>
                  <w:r w:rsidRPr="001D1B1C">
                    <w:rPr>
                      <w:noProof/>
                    </w:rPr>
                    <w:drawing>
                      <wp:inline distT="0" distB="0" distL="0" distR="0" wp14:anchorId="0CAFEBBF" wp14:editId="53F3C5DE">
                        <wp:extent cx="818707" cy="148856"/>
                        <wp:effectExtent l="0" t="0" r="635" b="3810"/>
                        <wp:docPr id="13" name="Picture 13"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48639" r="66667" b="26140"/>
                                <a:stretch/>
                              </pic:blipFill>
                              <pic:spPr bwMode="auto">
                                <a:xfrm>
                                  <a:off x="0" y="0"/>
                                  <a:ext cx="819152" cy="148937"/>
                                </a:xfrm>
                                <a:prstGeom prst="rect">
                                  <a:avLst/>
                                </a:prstGeom>
                                <a:ln>
                                  <a:noFill/>
                                </a:ln>
                                <a:extLst>
                                  <a:ext uri="{53640926-AAD7-44D8-BBD7-CCE9431645EC}">
                                    <a14:shadowObscured xmlns:a14="http://schemas.microsoft.com/office/drawing/2010/main"/>
                                  </a:ext>
                                </a:extLst>
                              </pic:spPr>
                            </pic:pic>
                          </a:graphicData>
                        </a:graphic>
                      </wp:inline>
                    </w:drawing>
                  </w:r>
                  <w:r w:rsidRPr="001D1B1C">
                    <w:rPr>
                      <w:noProof/>
                    </w:rPr>
                    <w:drawing>
                      <wp:inline distT="0" distB="0" distL="0" distR="0" wp14:anchorId="49FABA6D" wp14:editId="32CECD34">
                        <wp:extent cx="882502" cy="159488"/>
                        <wp:effectExtent l="0" t="0" r="0" b="0"/>
                        <wp:docPr id="14" name="Picture 14" descr="Figure E.11 Estimated life expectancies at birth, by Indigenous status and sex, 2010–2012 (years)&#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72057" r="62844"/>
                                <a:stretch/>
                              </pic:blipFill>
                              <pic:spPr bwMode="auto">
                                <a:xfrm>
                                  <a:off x="0" y="0"/>
                                  <a:ext cx="913101" cy="165018"/>
                                </a:xfrm>
                                <a:prstGeom prst="rect">
                                  <a:avLst/>
                                </a:prstGeom>
                                <a:ln>
                                  <a:noFill/>
                                </a:ln>
                                <a:extLst>
                                  <a:ext uri="{53640926-AAD7-44D8-BBD7-CCE9431645EC}">
                                    <a14:shadowObscured xmlns:a14="http://schemas.microsoft.com/office/drawing/2010/main"/>
                                  </a:ext>
                                </a:extLst>
                              </pic:spPr>
                            </pic:pic>
                          </a:graphicData>
                        </a:graphic>
                      </wp:inline>
                    </w:drawing>
                  </w:r>
                </w:p>
              </w:tc>
            </w:tr>
          </w:tbl>
          <w:p w:rsidR="00336D7E" w:rsidRPr="001D1B1C" w:rsidRDefault="00336D7E" w:rsidP="007655EF">
            <w:pPr>
              <w:pStyle w:val="Figure"/>
            </w:pP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7655EF">
            <w:pPr>
              <w:pStyle w:val="Note"/>
              <w:keepNext/>
              <w:rPr>
                <w:snapToGrid w:val="0"/>
                <w:lang w:val="en-US"/>
              </w:rPr>
            </w:pPr>
            <w:proofErr w:type="spellStart"/>
            <w:r w:rsidRPr="001D1B1C">
              <w:rPr>
                <w:rStyle w:val="NoteLabel"/>
              </w:rPr>
              <w:t>a</w:t>
            </w:r>
            <w:proofErr w:type="spellEnd"/>
            <w:r w:rsidRPr="001D1B1C">
              <w:sym w:font="Symbol" w:char="F020"/>
            </w:r>
            <w:r w:rsidRPr="001D1B1C">
              <w:t xml:space="preserve">Aboriginal and Torres Strait Islander estimates of life expectancy are not available for Victoria, SA, Tasmania or the ACT due to the small number of Aboriginal and Torres Strait Islander deaths in these jurisdictions. </w:t>
            </w:r>
            <w:r w:rsidRPr="001D1B1C">
              <w:rPr>
                <w:rStyle w:val="NoteLabel"/>
              </w:rPr>
              <w:t>b</w:t>
            </w:r>
            <w:r w:rsidRPr="001D1B1C">
              <w:sym w:font="Symbol" w:char="F020"/>
            </w:r>
            <w:r w:rsidRPr="001D1B1C">
              <w:rPr>
                <w:snapToGrid w:val="0"/>
                <w:lang w:val="en-US"/>
              </w:rPr>
              <w:t>Life tables are constructed separately for Males and Females.</w:t>
            </w: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7655EF">
            <w:pPr>
              <w:pStyle w:val="Source"/>
              <w:spacing w:before="0" w:after="80"/>
            </w:pPr>
            <w:r w:rsidRPr="001D1B1C">
              <w:rPr>
                <w:i/>
              </w:rPr>
              <w:t>Source</w:t>
            </w:r>
            <w:r w:rsidR="004D3B45" w:rsidRPr="001D1B1C">
              <w:t xml:space="preserve">: ABS </w:t>
            </w:r>
            <w:r w:rsidRPr="001D1B1C">
              <w:t xml:space="preserve">(2013) </w:t>
            </w:r>
            <w:r w:rsidRPr="001D1B1C">
              <w:rPr>
                <w:i/>
              </w:rPr>
              <w:t>Life Tables for Aboriginal and Torres Strait Islander Australians 2010–2012</w:t>
            </w:r>
            <w:r w:rsidR="001E4F29" w:rsidRPr="001D1B1C">
              <w:t xml:space="preserve">, </w:t>
            </w:r>
            <w:r w:rsidR="001E4F29" w:rsidRPr="001D1B1C">
              <w:br/>
              <w:t xml:space="preserve">Cat. no. 3302; table </w:t>
            </w:r>
            <w:proofErr w:type="spellStart"/>
            <w:r w:rsidR="001E4F29" w:rsidRPr="001D1B1C">
              <w:t>EA.46</w:t>
            </w:r>
            <w:proofErr w:type="spellEnd"/>
            <w:r w:rsidR="001E4F29" w:rsidRPr="001D1B1C">
              <w:t xml:space="preserve">; 2015 Report, figure </w:t>
            </w:r>
            <w:proofErr w:type="spellStart"/>
            <w:r w:rsidR="001E4F29" w:rsidRPr="001D1B1C">
              <w:t>E.11</w:t>
            </w:r>
            <w:proofErr w:type="spellEnd"/>
            <w:r w:rsidR="001E4F29" w:rsidRPr="001D1B1C">
              <w:t xml:space="preserve">, p. </w:t>
            </w:r>
            <w:proofErr w:type="spellStart"/>
            <w:r w:rsidR="001E4F29" w:rsidRPr="001D1B1C">
              <w:t>E.27</w:t>
            </w:r>
            <w:proofErr w:type="spellEnd"/>
            <w:r w:rsidR="001E4F29" w:rsidRPr="001D1B1C">
              <w:t>.</w:t>
            </w:r>
          </w:p>
        </w:tc>
      </w:tr>
      <w:tr w:rsidR="00336D7E" w:rsidRPr="001D1B1C" w:rsidTr="007655EF">
        <w:tc>
          <w:tcPr>
            <w:tcW w:w="8771" w:type="dxa"/>
            <w:tcBorders>
              <w:top w:val="nil"/>
              <w:left w:val="nil"/>
              <w:bottom w:val="single" w:sz="6" w:space="0" w:color="78A22F"/>
              <w:right w:val="nil"/>
            </w:tcBorders>
            <w:shd w:val="clear" w:color="auto" w:fill="auto"/>
          </w:tcPr>
          <w:p w:rsidR="00336D7E" w:rsidRPr="001D1B1C" w:rsidRDefault="00336D7E" w:rsidP="007655EF">
            <w:pPr>
              <w:pStyle w:val="Figurespace"/>
            </w:pPr>
          </w:p>
        </w:tc>
      </w:tr>
      <w:tr w:rsidR="00336D7E" w:rsidRPr="001D1B1C" w:rsidTr="007655EF">
        <w:tc>
          <w:tcPr>
            <w:tcW w:w="8771" w:type="dxa"/>
            <w:tcBorders>
              <w:top w:val="single" w:sz="6" w:space="0" w:color="78A22F"/>
              <w:left w:val="nil"/>
              <w:bottom w:val="nil"/>
              <w:right w:val="nil"/>
            </w:tcBorders>
          </w:tcPr>
          <w:p w:rsidR="00336D7E" w:rsidRPr="001D1B1C" w:rsidRDefault="00336D7E" w:rsidP="007655EF">
            <w:pPr>
              <w:pStyle w:val="BoxSpaceBelow"/>
            </w:pPr>
          </w:p>
        </w:tc>
      </w:tr>
    </w:tbl>
    <w:p w:rsidR="00336D7E" w:rsidRPr="001D1B1C" w:rsidRDefault="00336D7E" w:rsidP="00336D7E">
      <w:pPr>
        <w:pStyle w:val="Heading5"/>
        <w:spacing w:before="360"/>
        <w:rPr>
          <w:b/>
        </w:rPr>
      </w:pPr>
      <w:r w:rsidRPr="001D1B1C">
        <w:t>Median age at death</w:t>
      </w:r>
    </w:p>
    <w:p w:rsidR="00336D7E" w:rsidRPr="001D1B1C" w:rsidRDefault="00336D7E" w:rsidP="00336D7E">
      <w:pPr>
        <w:pStyle w:val="BodyText"/>
      </w:pPr>
      <w:r w:rsidRPr="001D1B1C">
        <w:t>The median age at death in 2013 was 78.6 years of ag</w:t>
      </w:r>
      <w:r w:rsidR="001E4F29" w:rsidRPr="001D1B1C">
        <w:t xml:space="preserve">e for Australian males and 84.7 </w:t>
      </w:r>
      <w:r w:rsidRPr="001D1B1C">
        <w:t>years of age for Australian females (</w:t>
      </w:r>
      <w:r w:rsidR="001E4F29" w:rsidRPr="001D1B1C">
        <w:t xml:space="preserve">2015 Report, table </w:t>
      </w:r>
      <w:proofErr w:type="spellStart"/>
      <w:r w:rsidRPr="001D1B1C">
        <w:t>EA.47</w:t>
      </w:r>
      <w:proofErr w:type="spellEnd"/>
      <w:r w:rsidRPr="001D1B1C">
        <w:t>).</w:t>
      </w:r>
    </w:p>
    <w:p w:rsidR="00336D7E" w:rsidRPr="001D1B1C" w:rsidRDefault="00336D7E" w:rsidP="00336D7E">
      <w:pPr>
        <w:pStyle w:val="BodyText"/>
        <w:rPr>
          <w:b/>
        </w:rPr>
      </w:pPr>
      <w:r w:rsidRPr="001D1B1C">
        <w:t xml:space="preserve">Comparisons of the median age at death for Aboriginal and Torres Strait Islander and other </w:t>
      </w:r>
      <w:bookmarkStart w:id="23" w:name="_GoBack"/>
      <w:bookmarkEnd w:id="23"/>
      <w:r w:rsidRPr="001D1B1C">
        <w:t>Australians are affected by different age structures in the populations and by differences in the extent of identification of Aboriginal and Torres Strait Islander deaths across jurisdictions and across age groups. Identification of Aboriginal and Torres Strait Islander infant deaths is high, but falls significantly in older age groups. The median age of death for Aboriginal and Torres Strait Islander people is, therefore, likely to be an underestimate.</w:t>
      </w:r>
    </w:p>
    <w:p w:rsidR="00336D7E" w:rsidRPr="001D1B1C" w:rsidRDefault="00336D7E" w:rsidP="00336D7E">
      <w:pPr>
        <w:pStyle w:val="BodyText"/>
      </w:pPr>
      <w:r w:rsidRPr="001D1B1C">
        <w:lastRenderedPageBreak/>
        <w:t xml:space="preserve">Caution should be taken when comparing median age at death between Aboriginal and Torres Strait Islander people and other populations. </w:t>
      </w:r>
      <w:proofErr w:type="spellStart"/>
      <w:r w:rsidRPr="001D1B1C">
        <w:t>Coory</w:t>
      </w:r>
      <w:proofErr w:type="spellEnd"/>
      <w:r w:rsidRPr="001D1B1C">
        <w:t xml:space="preserve"> and Baade (2003) note that:</w:t>
      </w:r>
    </w:p>
    <w:p w:rsidR="00336D7E" w:rsidRPr="001D1B1C" w:rsidRDefault="00336D7E" w:rsidP="00336D7E">
      <w:pPr>
        <w:pStyle w:val="ListBullet"/>
      </w:pPr>
      <w:r w:rsidRPr="001D1B1C">
        <w:t>the relationship between a change in median age at death and a change in death rate depends upon the baseline death rate. So comparison of trends in median age at death for Aboriginal and Torres Strait Islander and other Australians is difficult to interpret</w:t>
      </w:r>
    </w:p>
    <w:p w:rsidR="00336D7E" w:rsidRPr="001D1B1C" w:rsidRDefault="00336D7E" w:rsidP="00336D7E">
      <w:pPr>
        <w:pStyle w:val="ListBullet"/>
      </w:pPr>
      <w:r w:rsidRPr="001D1B1C">
        <w:t>changes in the median age at death of public health importance might be difficult to distinguish from statistical noise.</w:t>
      </w:r>
    </w:p>
    <w:p w:rsidR="00336D7E" w:rsidRPr="001D1B1C" w:rsidRDefault="00336D7E" w:rsidP="00336D7E">
      <w:pPr>
        <w:pStyle w:val="BodyText"/>
      </w:pPr>
      <w:r w:rsidRPr="001D1B1C">
        <w:t xml:space="preserve">Nationally, counting only the jurisdictions for which data were available for Aboriginal and Torres Strait Islander Australians, the median age at death for </w:t>
      </w:r>
      <w:r w:rsidRPr="001D1B1C">
        <w:rPr>
          <w:shd w:val="clear" w:color="auto" w:fill="FFFFFF" w:themeFill="background1"/>
        </w:rPr>
        <w:t xml:space="preserve">male Aboriginal and Torres Strait Islander Australians </w:t>
      </w:r>
      <w:r w:rsidRPr="001D1B1C">
        <w:t>was 54.6 years of age. The median age at death for female Aboriginal and Torres Strai</w:t>
      </w:r>
      <w:r w:rsidR="001E4F29" w:rsidRPr="001D1B1C">
        <w:t xml:space="preserve">t Islander Australians was 61.6 </w:t>
      </w:r>
      <w:r w:rsidRPr="001D1B1C">
        <w:rPr>
          <w:shd w:val="clear" w:color="auto" w:fill="FFFFFF" w:themeFill="background1"/>
        </w:rPr>
        <w:t>years</w:t>
      </w:r>
      <w:r w:rsidRPr="001D1B1C">
        <w:t xml:space="preserve"> of age (figu</w:t>
      </w:r>
      <w:r w:rsidR="001E4F29" w:rsidRPr="001D1B1C">
        <w:t xml:space="preserve">re </w:t>
      </w:r>
      <w:proofErr w:type="spellStart"/>
      <w:r w:rsidRPr="001D1B1C">
        <w:t>E.</w:t>
      </w:r>
      <w:r w:rsidR="001E4F29" w:rsidRPr="001D1B1C">
        <w:t>5</w:t>
      </w:r>
      <w:proofErr w:type="spellEnd"/>
      <w:r w:rsidR="001E4F29" w:rsidRPr="001D1B1C">
        <w:t xml:space="preserve"> and table </w:t>
      </w:r>
      <w:proofErr w:type="spellStart"/>
      <w:r w:rsidRPr="001D1B1C">
        <w:t>EA.48</w:t>
      </w:r>
      <w:proofErr w:type="spellEnd"/>
      <w:r w:rsidRPr="001D1B1C">
        <w:t>).</w:t>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nil"/>
              <w:left w:val="nil"/>
              <w:bottom w:val="nil"/>
              <w:right w:val="nil"/>
            </w:tcBorders>
            <w:shd w:val="clear" w:color="auto" w:fill="auto"/>
          </w:tcPr>
          <w:p w:rsidR="00336D7E" w:rsidRPr="001D1B1C" w:rsidRDefault="00336D7E" w:rsidP="001E4F29">
            <w:pPr>
              <w:pStyle w:val="FigureTitle"/>
            </w:pPr>
            <w:r w:rsidRPr="001D1B1C">
              <w:rPr>
                <w:b w:val="0"/>
              </w:rPr>
              <w:t xml:space="preserve">Figure </w:t>
            </w:r>
            <w:proofErr w:type="spellStart"/>
            <w:r w:rsidRPr="001D1B1C">
              <w:rPr>
                <w:b w:val="0"/>
              </w:rPr>
              <w:t>E.</w:t>
            </w:r>
            <w:r w:rsidR="001E4F29" w:rsidRPr="001D1B1C">
              <w:rPr>
                <w:b w:val="0"/>
                <w:noProof/>
              </w:rPr>
              <w:t>5</w:t>
            </w:r>
            <w:proofErr w:type="spellEnd"/>
            <w:r w:rsidRPr="001D1B1C">
              <w:tab/>
              <w:t>Median age at death, by sex and Indigenous status, 2013</w:t>
            </w:r>
            <w:r w:rsidRPr="001D1B1C">
              <w:rPr>
                <w:rStyle w:val="NoteLabel"/>
                <w:b/>
              </w:rPr>
              <w:t>a, b</w:t>
            </w:r>
          </w:p>
        </w:tc>
      </w:tr>
      <w:tr w:rsidR="00336D7E" w:rsidRPr="001D1B1C" w:rsidTr="007655EF">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36D7E" w:rsidRPr="001D1B1C" w:rsidTr="007655EF">
              <w:tc>
                <w:tcPr>
                  <w:tcW w:w="5000" w:type="pct"/>
                  <w:tcBorders>
                    <w:top w:val="nil"/>
                    <w:bottom w:val="nil"/>
                  </w:tcBorders>
                </w:tcPr>
                <w:p w:rsidR="00336D7E" w:rsidRPr="001D1B1C" w:rsidRDefault="00336D7E" w:rsidP="007655EF">
                  <w:pPr>
                    <w:pStyle w:val="Figure"/>
                    <w:spacing w:before="60" w:after="60"/>
                    <w:rPr>
                      <w:noProof/>
                    </w:rPr>
                  </w:pPr>
                  <w:r w:rsidRPr="001D1B1C">
                    <w:rPr>
                      <w:noProof/>
                    </w:rPr>
                    <w:drawing>
                      <wp:inline distT="0" distB="0" distL="0" distR="0" wp14:anchorId="42A3030E" wp14:editId="02B90EA6">
                        <wp:extent cx="5386705" cy="2693670"/>
                        <wp:effectExtent l="0" t="0" r="4445" b="0"/>
                        <wp:docPr id="19" name="Picture 19" descr="Figure E.12 Median age at death, by sex and Indigenous statu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6705" cy="2693670"/>
                                </a:xfrm>
                                <a:prstGeom prst="rect">
                                  <a:avLst/>
                                </a:prstGeom>
                                <a:noFill/>
                                <a:ln>
                                  <a:noFill/>
                                </a:ln>
                              </pic:spPr>
                            </pic:pic>
                          </a:graphicData>
                        </a:graphic>
                      </wp:inline>
                    </w:drawing>
                  </w:r>
                </w:p>
                <w:p w:rsidR="00336D7E" w:rsidRPr="001D1B1C" w:rsidRDefault="00336D7E" w:rsidP="007655EF">
                  <w:pPr>
                    <w:jc w:val="center"/>
                    <w:rPr>
                      <w:noProof/>
                    </w:rPr>
                  </w:pPr>
                  <w:r w:rsidRPr="001D1B1C">
                    <w:rPr>
                      <w:noProof/>
                    </w:rPr>
                    <w:drawing>
                      <wp:inline distT="0" distB="0" distL="0" distR="0" wp14:anchorId="1073B2A0" wp14:editId="41986012">
                        <wp:extent cx="2339163" cy="170121"/>
                        <wp:effectExtent l="0" t="0" r="0" b="1905"/>
                        <wp:docPr id="27" name="Picture 27"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4762" b="71177"/>
                                <a:stretch/>
                              </pic:blipFill>
                              <pic:spPr bwMode="auto">
                                <a:xfrm>
                                  <a:off x="0" y="0"/>
                                  <a:ext cx="2340429" cy="170213"/>
                                </a:xfrm>
                                <a:prstGeom prst="rect">
                                  <a:avLst/>
                                </a:prstGeom>
                                <a:ln>
                                  <a:noFill/>
                                </a:ln>
                                <a:extLst>
                                  <a:ext uri="{53640926-AAD7-44D8-BBD7-CCE9431645EC}">
                                    <a14:shadowObscured xmlns:a14="http://schemas.microsoft.com/office/drawing/2010/main"/>
                                  </a:ext>
                                </a:extLst>
                              </pic:spPr>
                            </pic:pic>
                          </a:graphicData>
                        </a:graphic>
                      </wp:inline>
                    </w:drawing>
                  </w:r>
                  <w:r w:rsidRPr="001D1B1C">
                    <w:rPr>
                      <w:noProof/>
                    </w:rPr>
                    <w:drawing>
                      <wp:inline distT="0" distB="0" distL="0" distR="0" wp14:anchorId="0DAA6902" wp14:editId="5D8B3CBA">
                        <wp:extent cx="2425097" cy="148856"/>
                        <wp:effectExtent l="0" t="0" r="0" b="3810"/>
                        <wp:docPr id="31" name="Picture 31"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27021" b="47436"/>
                                <a:stretch/>
                              </pic:blipFill>
                              <pic:spPr bwMode="auto">
                                <a:xfrm>
                                  <a:off x="0" y="0"/>
                                  <a:ext cx="2457450" cy="150842"/>
                                </a:xfrm>
                                <a:prstGeom prst="rect">
                                  <a:avLst/>
                                </a:prstGeom>
                                <a:ln>
                                  <a:noFill/>
                                </a:ln>
                                <a:extLst>
                                  <a:ext uri="{53640926-AAD7-44D8-BBD7-CCE9431645EC}">
                                    <a14:shadowObscured xmlns:a14="http://schemas.microsoft.com/office/drawing/2010/main"/>
                                  </a:ext>
                                </a:extLst>
                              </pic:spPr>
                            </pic:pic>
                          </a:graphicData>
                        </a:graphic>
                      </wp:inline>
                    </w:drawing>
                  </w:r>
                </w:p>
                <w:p w:rsidR="00336D7E" w:rsidRPr="001D1B1C" w:rsidRDefault="00336D7E" w:rsidP="007655EF">
                  <w:pPr>
                    <w:jc w:val="center"/>
                    <w:rPr>
                      <w:noProof/>
                    </w:rPr>
                  </w:pPr>
                  <w:r w:rsidRPr="001D1B1C">
                    <w:rPr>
                      <w:noProof/>
                    </w:rPr>
                    <w:drawing>
                      <wp:inline distT="0" distB="0" distL="0" distR="0" wp14:anchorId="41A5A4F4" wp14:editId="0AB60860">
                        <wp:extent cx="818707" cy="148856"/>
                        <wp:effectExtent l="0" t="0" r="635" b="3810"/>
                        <wp:docPr id="32" name="Picture 32"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48639" r="66667" b="26140"/>
                                <a:stretch/>
                              </pic:blipFill>
                              <pic:spPr bwMode="auto">
                                <a:xfrm>
                                  <a:off x="0" y="0"/>
                                  <a:ext cx="819152" cy="148937"/>
                                </a:xfrm>
                                <a:prstGeom prst="rect">
                                  <a:avLst/>
                                </a:prstGeom>
                                <a:ln>
                                  <a:noFill/>
                                </a:ln>
                                <a:extLst>
                                  <a:ext uri="{53640926-AAD7-44D8-BBD7-CCE9431645EC}">
                                    <a14:shadowObscured xmlns:a14="http://schemas.microsoft.com/office/drawing/2010/main"/>
                                  </a:ext>
                                </a:extLst>
                              </pic:spPr>
                            </pic:pic>
                          </a:graphicData>
                        </a:graphic>
                      </wp:inline>
                    </w:drawing>
                  </w:r>
                  <w:r w:rsidRPr="001D1B1C">
                    <w:rPr>
                      <w:noProof/>
                    </w:rPr>
                    <w:drawing>
                      <wp:inline distT="0" distB="0" distL="0" distR="0" wp14:anchorId="046BF54A" wp14:editId="3CADC404">
                        <wp:extent cx="882502" cy="159488"/>
                        <wp:effectExtent l="0" t="0" r="0" b="0"/>
                        <wp:docPr id="33" name="Picture 33" descr="Figure E.12 Median age at death, by sex and Indigenous status, 20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72057" r="62844"/>
                                <a:stretch/>
                              </pic:blipFill>
                              <pic:spPr bwMode="auto">
                                <a:xfrm>
                                  <a:off x="0" y="0"/>
                                  <a:ext cx="913101" cy="165018"/>
                                </a:xfrm>
                                <a:prstGeom prst="rect">
                                  <a:avLst/>
                                </a:prstGeom>
                                <a:ln>
                                  <a:noFill/>
                                </a:ln>
                                <a:extLst>
                                  <a:ext uri="{53640926-AAD7-44D8-BBD7-CCE9431645EC}">
                                    <a14:shadowObscured xmlns:a14="http://schemas.microsoft.com/office/drawing/2010/main"/>
                                  </a:ext>
                                </a:extLst>
                              </pic:spPr>
                            </pic:pic>
                          </a:graphicData>
                        </a:graphic>
                      </wp:inline>
                    </w:drawing>
                  </w:r>
                </w:p>
              </w:tc>
            </w:tr>
          </w:tbl>
          <w:p w:rsidR="00336D7E" w:rsidRPr="001D1B1C" w:rsidRDefault="00336D7E" w:rsidP="007655EF">
            <w:pPr>
              <w:pStyle w:val="Figure"/>
            </w:pP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7655EF">
            <w:pPr>
              <w:pStyle w:val="Note"/>
              <w:rPr>
                <w:snapToGrid w:val="0"/>
                <w:lang w:val="en-US"/>
              </w:rPr>
            </w:pPr>
            <w:r w:rsidRPr="001D1B1C">
              <w:rPr>
                <w:rStyle w:val="NoteLabel"/>
              </w:rPr>
              <w:t>a</w:t>
            </w:r>
            <w:r w:rsidRPr="001D1B1C">
              <w:sym w:font="Symbol" w:char="F020"/>
            </w:r>
            <w:r w:rsidRPr="001D1B1C">
              <w:rPr>
                <w:snapToGrid w:val="0"/>
                <w:lang w:val="en-US"/>
              </w:rPr>
              <w:t xml:space="preserve">Victoria, Tasmania and the ACT are excluded due to small numbers of registered Aboriginal and Torres Strait Islander deaths. </w:t>
            </w:r>
            <w:r w:rsidRPr="001D1B1C">
              <w:rPr>
                <w:rStyle w:val="NoteLabel"/>
              </w:rPr>
              <w:t>b</w:t>
            </w:r>
            <w:r w:rsidRPr="001D1B1C">
              <w:sym w:font="Symbol" w:char="F020"/>
            </w:r>
            <w:r w:rsidRPr="001D1B1C">
              <w:rPr>
                <w:snapToGrid w:val="0"/>
                <w:lang w:val="en-US"/>
              </w:rPr>
              <w:t>The accuracy of Aboriginal and Torres Strait Islander mortality data is variable as a result of varying rates of coverage across jurisdictions and age groups, and of changes in the estimated Aboriginal and Torres Strait Islander population caused by changing rates of identification in the Census and births data.</w:t>
            </w: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0B3468">
            <w:pPr>
              <w:pStyle w:val="Source"/>
              <w:spacing w:before="60" w:after="80" w:line="200" w:lineRule="exact"/>
            </w:pPr>
            <w:r w:rsidRPr="001D1B1C">
              <w:rPr>
                <w:i/>
              </w:rPr>
              <w:t>Source</w:t>
            </w:r>
            <w:r w:rsidR="001E4F29" w:rsidRPr="001D1B1C">
              <w:t xml:space="preserve">: ABS </w:t>
            </w:r>
            <w:r w:rsidRPr="001D1B1C">
              <w:t xml:space="preserve">(2014) </w:t>
            </w:r>
            <w:r w:rsidR="001E4F29" w:rsidRPr="001D1B1C">
              <w:rPr>
                <w:i/>
              </w:rPr>
              <w:t xml:space="preserve">Deaths, Australia, </w:t>
            </w:r>
            <w:r w:rsidRPr="001D1B1C">
              <w:rPr>
                <w:i/>
              </w:rPr>
              <w:t>2013</w:t>
            </w:r>
            <w:r w:rsidR="001E4F29" w:rsidRPr="001D1B1C">
              <w:t xml:space="preserve">, Cat. no. 3302.0; table </w:t>
            </w:r>
            <w:proofErr w:type="spellStart"/>
            <w:r w:rsidR="001E4F29" w:rsidRPr="001D1B1C">
              <w:t>EA.48</w:t>
            </w:r>
            <w:proofErr w:type="spellEnd"/>
            <w:r w:rsidR="001E4F29" w:rsidRPr="001D1B1C">
              <w:t xml:space="preserve">; 2015 Report, figure </w:t>
            </w:r>
            <w:proofErr w:type="spellStart"/>
            <w:r w:rsidR="001E4F29" w:rsidRPr="001D1B1C">
              <w:t>E.12</w:t>
            </w:r>
            <w:proofErr w:type="spellEnd"/>
            <w:r w:rsidR="001E4F29" w:rsidRPr="001D1B1C">
              <w:t xml:space="preserve">, </w:t>
            </w:r>
            <w:r w:rsidR="00ED35FC" w:rsidRPr="001D1B1C">
              <w:br/>
            </w:r>
            <w:r w:rsidR="001E4F29" w:rsidRPr="001D1B1C">
              <w:t>p.</w:t>
            </w:r>
            <w:r w:rsidR="00ED35FC" w:rsidRPr="001D1B1C">
              <w:t xml:space="preserve"> </w:t>
            </w:r>
            <w:proofErr w:type="spellStart"/>
            <w:r w:rsidR="001E4F29" w:rsidRPr="001D1B1C">
              <w:t>E.28</w:t>
            </w:r>
            <w:proofErr w:type="spellEnd"/>
            <w:r w:rsidR="001E4F29" w:rsidRPr="001D1B1C">
              <w:t>.</w:t>
            </w:r>
          </w:p>
        </w:tc>
      </w:tr>
      <w:tr w:rsidR="00336D7E" w:rsidRPr="001D1B1C" w:rsidTr="007655EF">
        <w:tc>
          <w:tcPr>
            <w:tcW w:w="8771" w:type="dxa"/>
            <w:tcBorders>
              <w:top w:val="nil"/>
              <w:left w:val="nil"/>
              <w:bottom w:val="single" w:sz="6" w:space="0" w:color="78A22F"/>
              <w:right w:val="nil"/>
            </w:tcBorders>
            <w:shd w:val="clear" w:color="auto" w:fill="auto"/>
          </w:tcPr>
          <w:p w:rsidR="00336D7E" w:rsidRPr="001D1B1C" w:rsidRDefault="00336D7E" w:rsidP="007655EF">
            <w:pPr>
              <w:pStyle w:val="Figurespace"/>
            </w:pPr>
          </w:p>
        </w:tc>
      </w:tr>
      <w:tr w:rsidR="00336D7E" w:rsidRPr="001D1B1C" w:rsidTr="007655EF">
        <w:tc>
          <w:tcPr>
            <w:tcW w:w="8771" w:type="dxa"/>
            <w:tcBorders>
              <w:top w:val="single" w:sz="6" w:space="0" w:color="78A22F"/>
              <w:left w:val="nil"/>
              <w:bottom w:val="nil"/>
              <w:right w:val="nil"/>
            </w:tcBorders>
          </w:tcPr>
          <w:p w:rsidR="00336D7E" w:rsidRPr="001D1B1C" w:rsidRDefault="00336D7E" w:rsidP="007655EF">
            <w:pPr>
              <w:pStyle w:val="BoxSpaceBelow"/>
            </w:pPr>
          </w:p>
        </w:tc>
      </w:tr>
    </w:tbl>
    <w:p w:rsidR="00336D7E" w:rsidRPr="001D1B1C" w:rsidRDefault="00336D7E" w:rsidP="00336D7E">
      <w:pPr>
        <w:pStyle w:val="Heading5"/>
        <w:spacing w:before="420"/>
      </w:pPr>
      <w:r w:rsidRPr="001D1B1C">
        <w:lastRenderedPageBreak/>
        <w:t>Mortality</w:t>
      </w:r>
      <w:r w:rsidRPr="001D1B1C">
        <w:rPr>
          <w:b/>
        </w:rPr>
        <w:t xml:space="preserve"> </w:t>
      </w:r>
      <w:r w:rsidRPr="001D1B1C">
        <w:t>rates</w:t>
      </w:r>
    </w:p>
    <w:p w:rsidR="00336D7E" w:rsidRPr="001D1B1C" w:rsidRDefault="001E4F29" w:rsidP="00336D7E">
      <w:pPr>
        <w:pStyle w:val="BodyText"/>
      </w:pPr>
      <w:r w:rsidRPr="001D1B1C">
        <w:t>There were 147</w:t>
      </w:r>
      <w:r w:rsidR="001D1B1C" w:rsidRPr="001D1B1C">
        <w:t> </w:t>
      </w:r>
      <w:r w:rsidR="00336D7E" w:rsidRPr="001D1B1C">
        <w:t xml:space="preserve">678 deaths registered in Australia in 2013 (ABS </w:t>
      </w:r>
      <w:proofErr w:type="spellStart"/>
      <w:r w:rsidR="00336D7E" w:rsidRPr="001D1B1C">
        <w:t>2014c</w:t>
      </w:r>
      <w:proofErr w:type="spellEnd"/>
      <w:r w:rsidR="00336D7E" w:rsidRPr="001D1B1C">
        <w:t>), which translated into an age standardised morta</w:t>
      </w:r>
      <w:r w:rsidRPr="001D1B1C">
        <w:t xml:space="preserve">lity rate of 540 deaths per 100 000 </w:t>
      </w:r>
      <w:r w:rsidR="00336D7E" w:rsidRPr="001D1B1C">
        <w:t>people (</w:t>
      </w:r>
      <w:r w:rsidRPr="001D1B1C">
        <w:t xml:space="preserve">2015 Report, figure </w:t>
      </w:r>
      <w:proofErr w:type="spellStart"/>
      <w:r w:rsidR="00336D7E" w:rsidRPr="001D1B1C">
        <w:t>E.</w:t>
      </w:r>
      <w:r w:rsidR="00835039" w:rsidRPr="001D1B1C">
        <w:t>13</w:t>
      </w:r>
      <w:proofErr w:type="spellEnd"/>
      <w:r w:rsidR="00336D7E" w:rsidRPr="001D1B1C">
        <w:t xml:space="preserve">). Death rates over the last 20 years have declined for </w:t>
      </w:r>
      <w:r w:rsidRPr="001D1B1C">
        <w:t xml:space="preserve">all states and territories (ABS </w:t>
      </w:r>
      <w:proofErr w:type="spellStart"/>
      <w:r w:rsidR="00336D7E" w:rsidRPr="001D1B1C">
        <w:t>2014c</w:t>
      </w:r>
      <w:proofErr w:type="spellEnd"/>
      <w:r w:rsidR="00336D7E" w:rsidRPr="001D1B1C">
        <w:t>).</w:t>
      </w:r>
    </w:p>
    <w:p w:rsidR="00336D7E" w:rsidRPr="001D1B1C" w:rsidRDefault="00336D7E" w:rsidP="00336D7E">
      <w:pPr>
        <w:pStyle w:val="Heading5"/>
        <w:rPr>
          <w:b/>
        </w:rPr>
      </w:pPr>
      <w:r w:rsidRPr="001D1B1C">
        <w:t>Mortality rates — Aboriginal and Torres Strait Islander Australians</w:t>
      </w:r>
    </w:p>
    <w:p w:rsidR="00336D7E" w:rsidRPr="001D1B1C" w:rsidRDefault="00336D7E" w:rsidP="00336D7E">
      <w:pPr>
        <w:pStyle w:val="BodyText"/>
      </w:pPr>
      <w:r w:rsidRPr="001D1B1C">
        <w:t>Data for Aboriginal and Torres Strait Islander mortality are collected through State and Territory death registrations. The completeness of identification of Aboriginal and Torres Strait Islander Australian deaths in these collections varies significantly across states and territories so care is required when making comparisons.</w:t>
      </w:r>
    </w:p>
    <w:p w:rsidR="00336D7E" w:rsidRPr="001D1B1C" w:rsidRDefault="00336D7E" w:rsidP="00336D7E">
      <w:pPr>
        <w:pStyle w:val="BodyText"/>
      </w:pPr>
      <w:r w:rsidRPr="001D1B1C">
        <w:rPr>
          <w:shd w:val="clear" w:color="auto" w:fill="FFFFFF" w:themeFill="background1"/>
        </w:rPr>
        <w:t xml:space="preserve">For the </w:t>
      </w:r>
      <w:r w:rsidRPr="001D1B1C">
        <w:t>period 2009–2013, NSW, Queensland, WA, SA and the NT have been assessed as having adequate identification and number of Aboriginal and Torres Strait Islander deaths for mortality analysis. For these five jurisdictions combined, the overall age standardised mortality rate for Aboriginal and Torres Strait Island</w:t>
      </w:r>
      <w:r w:rsidR="00300F53" w:rsidRPr="001D1B1C">
        <w:t>er people was 985.0 per 100</w:t>
      </w:r>
      <w:r w:rsidR="001D1B1C" w:rsidRPr="001D1B1C">
        <w:t> </w:t>
      </w:r>
      <w:r w:rsidRPr="001D1B1C">
        <w:t>000 people, significantly higher than f</w:t>
      </w:r>
      <w:r w:rsidR="00300F53" w:rsidRPr="001D1B1C">
        <w:t>or other Australians (585.2 per 100</w:t>
      </w:r>
      <w:r w:rsidR="001D1B1C" w:rsidRPr="001D1B1C">
        <w:t> </w:t>
      </w:r>
      <w:r w:rsidR="009024CF" w:rsidRPr="001D1B1C">
        <w:t xml:space="preserve">000 people) </w:t>
      </w:r>
      <w:r w:rsidR="009024CF" w:rsidRPr="001D1B1C">
        <w:br/>
        <w:t xml:space="preserve">(figure </w:t>
      </w:r>
      <w:proofErr w:type="spellStart"/>
      <w:r w:rsidR="009024CF" w:rsidRPr="001D1B1C">
        <w:t>E.6</w:t>
      </w:r>
      <w:proofErr w:type="spellEnd"/>
      <w:r w:rsidR="009024CF" w:rsidRPr="001D1B1C">
        <w:t xml:space="preserve"> and table </w:t>
      </w:r>
      <w:proofErr w:type="spellStart"/>
      <w:r w:rsidRPr="001D1B1C">
        <w:t>EA.50</w:t>
      </w:r>
      <w:proofErr w:type="spellEnd"/>
      <w:r w:rsidRPr="001D1B1C">
        <w:t>). Due to identification completeness issues, mortality rates presented here are likely to be underestimates of the true mortality of Aboriginal and Torres Strait Isl</w:t>
      </w:r>
      <w:r w:rsidR="009024CF" w:rsidRPr="001D1B1C">
        <w:t>ander Australians (ABS and AIHW 2008).</w:t>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left w:val="nil"/>
              <w:bottom w:val="nil"/>
              <w:right w:val="nil"/>
            </w:tcBorders>
            <w:shd w:val="clear" w:color="auto" w:fill="auto"/>
          </w:tcPr>
          <w:p w:rsidR="00336D7E" w:rsidRPr="001D1B1C" w:rsidRDefault="00336D7E" w:rsidP="009024CF">
            <w:pPr>
              <w:pStyle w:val="FigureTitle"/>
            </w:pPr>
            <w:r w:rsidRPr="001D1B1C">
              <w:rPr>
                <w:b w:val="0"/>
              </w:rPr>
              <w:t xml:space="preserve">Figure </w:t>
            </w:r>
            <w:proofErr w:type="spellStart"/>
            <w:r w:rsidRPr="001D1B1C">
              <w:rPr>
                <w:b w:val="0"/>
              </w:rPr>
              <w:t>E.</w:t>
            </w:r>
            <w:r w:rsidR="009024CF" w:rsidRPr="001D1B1C">
              <w:rPr>
                <w:b w:val="0"/>
                <w:noProof/>
              </w:rPr>
              <w:t>6</w:t>
            </w:r>
            <w:proofErr w:type="spellEnd"/>
            <w:r w:rsidRPr="001D1B1C">
              <w:tab/>
              <w:t>Mortality rates, age standardi</w:t>
            </w:r>
            <w:r w:rsidR="009024CF" w:rsidRPr="001D1B1C">
              <w:t xml:space="preserve">sed, by Indigenous status, five </w:t>
            </w:r>
            <w:r w:rsidRPr="001D1B1C">
              <w:t>year average, 2009–2013</w:t>
            </w:r>
            <w:r w:rsidR="009024CF" w:rsidRPr="001D1B1C">
              <w:rPr>
                <w:rStyle w:val="NoteLabel"/>
                <w:b/>
              </w:rPr>
              <w:t xml:space="preserve">a, b, c, </w:t>
            </w:r>
            <w:r w:rsidRPr="001D1B1C">
              <w:rPr>
                <w:rStyle w:val="NoteLabel"/>
                <w:b/>
              </w:rPr>
              <w:t>d, e</w:t>
            </w:r>
          </w:p>
        </w:tc>
      </w:tr>
      <w:tr w:rsidR="00336D7E" w:rsidRPr="001D1B1C" w:rsidTr="007655EF">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36D7E" w:rsidRPr="001D1B1C" w:rsidTr="007655EF">
              <w:tc>
                <w:tcPr>
                  <w:tcW w:w="5000" w:type="pct"/>
                  <w:tcBorders>
                    <w:top w:val="nil"/>
                    <w:bottom w:val="nil"/>
                  </w:tcBorders>
                </w:tcPr>
                <w:p w:rsidR="00336D7E" w:rsidRPr="001D1B1C" w:rsidRDefault="00336D7E" w:rsidP="007655EF">
                  <w:pPr>
                    <w:pStyle w:val="Figure"/>
                    <w:spacing w:before="60" w:after="60"/>
                  </w:pPr>
                  <w:r w:rsidRPr="001D1B1C">
                    <w:rPr>
                      <w:noProof/>
                    </w:rPr>
                    <w:drawing>
                      <wp:inline distT="0" distB="0" distL="0" distR="0" wp14:anchorId="7145A6C4" wp14:editId="181B9AD3">
                        <wp:extent cx="5386705" cy="2862580"/>
                        <wp:effectExtent l="0" t="0" r="4445" b="0"/>
                        <wp:docPr id="22" name="Picture 22" descr="Figure E.15 Mortality rates, age standardised, by Indigenous status, five year average, 2009–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6705" cy="2862580"/>
                                </a:xfrm>
                                <a:prstGeom prst="rect">
                                  <a:avLst/>
                                </a:prstGeom>
                                <a:noFill/>
                                <a:ln>
                                  <a:noFill/>
                                </a:ln>
                              </pic:spPr>
                            </pic:pic>
                          </a:graphicData>
                        </a:graphic>
                      </wp:inline>
                    </w:drawing>
                  </w:r>
                </w:p>
              </w:tc>
            </w:tr>
          </w:tbl>
          <w:p w:rsidR="00336D7E" w:rsidRPr="001D1B1C" w:rsidRDefault="00336D7E" w:rsidP="007655EF">
            <w:pPr>
              <w:pStyle w:val="Figure"/>
            </w:pP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7655EF">
            <w:pPr>
              <w:pStyle w:val="Note"/>
              <w:keepNext/>
            </w:pPr>
            <w:r w:rsidRPr="001D1B1C">
              <w:rPr>
                <w:rStyle w:val="NoteLabel"/>
              </w:rPr>
              <w:t>a</w:t>
            </w:r>
            <w:r w:rsidRPr="001D1B1C">
              <w:sym w:font="Symbol" w:char="F020"/>
            </w:r>
            <w:r w:rsidRPr="001D1B1C">
              <w:t xml:space="preserve">Deaths are based on year of registration. </w:t>
            </w:r>
            <w:r w:rsidRPr="001D1B1C">
              <w:rPr>
                <w:rStyle w:val="NoteLabel"/>
              </w:rPr>
              <w:t>b</w:t>
            </w:r>
            <w:r w:rsidRPr="001D1B1C">
              <w:sym w:font="Symbol" w:char="F020"/>
            </w:r>
            <w:r w:rsidRPr="001D1B1C">
              <w:t xml:space="preserve">Mortality rates are age-standardised to the 2001 Australian standard population. </w:t>
            </w:r>
            <w:r w:rsidRPr="001D1B1C">
              <w:rPr>
                <w:rStyle w:val="NoteLabel"/>
              </w:rPr>
              <w:t>c</w:t>
            </w:r>
            <w:r w:rsidRPr="001D1B1C">
              <w:sym w:font="Symbol" w:char="F020"/>
            </w:r>
            <w:r w:rsidRPr="001D1B1C">
              <w:t xml:space="preserve"> Rates are derived from population estimates and projections revised to the 2011 Census base. See data quality information (</w:t>
            </w:r>
            <w:proofErr w:type="spellStart"/>
            <w:r w:rsidRPr="001D1B1C">
              <w:t>DQI</w:t>
            </w:r>
            <w:proofErr w:type="spellEnd"/>
            <w:r w:rsidRPr="001D1B1C">
              <w:t>) for further detail. </w:t>
            </w:r>
            <w:r w:rsidRPr="001D1B1C">
              <w:rPr>
                <w:rStyle w:val="NoteLabel"/>
              </w:rPr>
              <w:t>d</w:t>
            </w:r>
            <w:r w:rsidRPr="001D1B1C">
              <w:t xml:space="preserve"> Data are reported by jurisdiction of residence only for jurisdictions with a sufficient number and level of identification of Aboriginal and Torres Strait Islander deaths to support mortality analysis — NSW, Queensland, WA, SA and the NT. Total includes data only for those jurisdictions. </w:t>
            </w:r>
            <w:r w:rsidRPr="001D1B1C">
              <w:rPr>
                <w:rStyle w:val="NoteLabel"/>
              </w:rPr>
              <w:t>e</w:t>
            </w:r>
            <w:r w:rsidRPr="001D1B1C">
              <w:t xml:space="preserve"> Error bars represent the 95 per cent variability band associated with each point estimate. See </w:t>
            </w:r>
            <w:proofErr w:type="spellStart"/>
            <w:r w:rsidRPr="001D1B1C">
              <w:t>DQI</w:t>
            </w:r>
            <w:proofErr w:type="spellEnd"/>
            <w:r w:rsidRPr="001D1B1C">
              <w:t xml:space="preserve"> for more information.</w:t>
            </w:r>
          </w:p>
        </w:tc>
      </w:tr>
      <w:tr w:rsidR="00336D7E" w:rsidRPr="001D1B1C" w:rsidTr="007655EF">
        <w:tc>
          <w:tcPr>
            <w:tcW w:w="8771" w:type="dxa"/>
            <w:tcBorders>
              <w:top w:val="nil"/>
              <w:left w:val="nil"/>
              <w:bottom w:val="nil"/>
              <w:right w:val="nil"/>
            </w:tcBorders>
            <w:shd w:val="clear" w:color="auto" w:fill="auto"/>
          </w:tcPr>
          <w:p w:rsidR="00336D7E" w:rsidRPr="001D1B1C" w:rsidRDefault="00336D7E" w:rsidP="009024CF">
            <w:pPr>
              <w:pStyle w:val="Source"/>
            </w:pPr>
            <w:r w:rsidRPr="001D1B1C">
              <w:rPr>
                <w:i/>
              </w:rPr>
              <w:t>Source</w:t>
            </w:r>
            <w:r w:rsidR="004D3B45" w:rsidRPr="001D1B1C">
              <w:t xml:space="preserve">: ABS </w:t>
            </w:r>
            <w:r w:rsidRPr="001D1B1C">
              <w:t xml:space="preserve">(unpublished), </w:t>
            </w:r>
            <w:r w:rsidRPr="001D1B1C">
              <w:rPr>
                <w:i/>
              </w:rPr>
              <w:t xml:space="preserve">Deaths, Australia, </w:t>
            </w:r>
            <w:r w:rsidRPr="001D1B1C">
              <w:t>various year</w:t>
            </w:r>
            <w:r w:rsidR="009024CF" w:rsidRPr="001D1B1C">
              <w:t xml:space="preserve">s, Cat. no. 3302.0; table </w:t>
            </w:r>
            <w:proofErr w:type="spellStart"/>
            <w:r w:rsidR="009024CF" w:rsidRPr="001D1B1C">
              <w:t>EA.50</w:t>
            </w:r>
            <w:proofErr w:type="spellEnd"/>
            <w:r w:rsidR="009024CF" w:rsidRPr="001D1B1C">
              <w:t xml:space="preserve">; 2015 Report, figure </w:t>
            </w:r>
            <w:proofErr w:type="spellStart"/>
            <w:r w:rsidR="009024CF" w:rsidRPr="001D1B1C">
              <w:t>E.15</w:t>
            </w:r>
            <w:proofErr w:type="spellEnd"/>
            <w:r w:rsidR="009024CF" w:rsidRPr="001D1B1C">
              <w:t xml:space="preserve">, p. </w:t>
            </w:r>
            <w:proofErr w:type="spellStart"/>
            <w:r w:rsidR="009024CF" w:rsidRPr="001D1B1C">
              <w:t>E.31</w:t>
            </w:r>
            <w:proofErr w:type="spellEnd"/>
            <w:r w:rsidR="009024CF" w:rsidRPr="001D1B1C">
              <w:t>.</w:t>
            </w:r>
          </w:p>
        </w:tc>
      </w:tr>
      <w:tr w:rsidR="00336D7E" w:rsidRPr="001D1B1C" w:rsidTr="007655EF">
        <w:tc>
          <w:tcPr>
            <w:tcW w:w="8771" w:type="dxa"/>
            <w:tcBorders>
              <w:top w:val="nil"/>
              <w:left w:val="nil"/>
              <w:bottom w:val="single" w:sz="6" w:space="0" w:color="78A22F"/>
              <w:right w:val="nil"/>
            </w:tcBorders>
            <w:shd w:val="clear" w:color="auto" w:fill="auto"/>
          </w:tcPr>
          <w:p w:rsidR="00336D7E" w:rsidRPr="001D1B1C" w:rsidRDefault="00336D7E" w:rsidP="007655EF">
            <w:pPr>
              <w:pStyle w:val="Figurespace"/>
            </w:pPr>
          </w:p>
        </w:tc>
      </w:tr>
      <w:tr w:rsidR="00336D7E" w:rsidRPr="001D1B1C" w:rsidTr="007655EF">
        <w:tc>
          <w:tcPr>
            <w:tcW w:w="8771" w:type="dxa"/>
            <w:tcBorders>
              <w:top w:val="single" w:sz="6" w:space="0" w:color="78A22F"/>
              <w:left w:val="nil"/>
              <w:bottom w:val="nil"/>
              <w:right w:val="nil"/>
            </w:tcBorders>
          </w:tcPr>
          <w:p w:rsidR="00336D7E" w:rsidRPr="001D1B1C" w:rsidRDefault="00336D7E" w:rsidP="007655EF">
            <w:pPr>
              <w:pStyle w:val="BoxSpaceBelow"/>
            </w:pPr>
          </w:p>
        </w:tc>
      </w:tr>
    </w:tbl>
    <w:p w:rsidR="00336D7E" w:rsidRPr="001D1B1C" w:rsidRDefault="00336D7E" w:rsidP="00336D7E">
      <w:pPr>
        <w:pStyle w:val="BodyText"/>
        <w:shd w:val="clear" w:color="auto" w:fill="FFFFFF" w:themeFill="background1"/>
      </w:pPr>
      <w:r w:rsidRPr="001D1B1C">
        <w:rPr>
          <w:shd w:val="clear" w:color="auto" w:fill="FFFFFF" w:themeFill="background1"/>
        </w:rPr>
        <w:t xml:space="preserve">Data on long-term trends for WA, SA and the NT suggest that the mortality rate for Aboriginal and Torres Strait Islander infants </w:t>
      </w:r>
      <w:r w:rsidR="009024CF" w:rsidRPr="001D1B1C">
        <w:t xml:space="preserve">decreased by 62 per </w:t>
      </w:r>
      <w:r w:rsidRPr="001D1B1C">
        <w:t>ce</w:t>
      </w:r>
      <w:r w:rsidR="009024CF" w:rsidRPr="001D1B1C">
        <w:t>nt between 1991 and 2010 (</w:t>
      </w:r>
      <w:proofErr w:type="spellStart"/>
      <w:r w:rsidR="009024CF" w:rsidRPr="001D1B1C">
        <w:t>AHMAC</w:t>
      </w:r>
      <w:proofErr w:type="spellEnd"/>
      <w:r w:rsidR="009024CF" w:rsidRPr="001D1B1C">
        <w:t xml:space="preserve"> </w:t>
      </w:r>
      <w:r w:rsidRPr="001D1B1C">
        <w:t>2012). While this is a significant improvement, mortality rates for Aboriginal and Torres Strait Islander infants and children are still markedly higher than for other infants and children in Australia.</w:t>
      </w:r>
    </w:p>
    <w:p w:rsidR="00336D7E" w:rsidRPr="001D1B1C" w:rsidRDefault="00336D7E" w:rsidP="00336D7E">
      <w:pPr>
        <w:pStyle w:val="BodyText"/>
      </w:pPr>
      <w:r w:rsidRPr="001D1B1C">
        <w:t>For the period 2009–2013, the average infant mortality rate for Aboriginal and Torres Strait Islander infants (less than one year) was higher than for other infants in the jurisdictions for which there were data available</w:t>
      </w:r>
      <w:r w:rsidRPr="001D1B1C" w:rsidDel="002128E0">
        <w:t xml:space="preserve"> </w:t>
      </w:r>
      <w:r w:rsidRPr="001D1B1C">
        <w:t>(NSW, Queens</w:t>
      </w:r>
      <w:r w:rsidR="009024CF" w:rsidRPr="001D1B1C">
        <w:t xml:space="preserve">land, WA, SA and the NT) (table </w:t>
      </w:r>
      <w:proofErr w:type="spellStart"/>
      <w:r w:rsidRPr="001D1B1C">
        <w:t>EA.55</w:t>
      </w:r>
      <w:proofErr w:type="spellEnd"/>
      <w:r w:rsidRPr="001D1B1C">
        <w:t>). For the same period and the same jurisdictions, the average mortality rate for inf</w:t>
      </w:r>
      <w:r w:rsidR="004D3B45" w:rsidRPr="001D1B1C">
        <w:t xml:space="preserve">ants and children combined (0–4 </w:t>
      </w:r>
      <w:r w:rsidRPr="001D1B1C">
        <w:t>years) per 100 00</w:t>
      </w:r>
      <w:r w:rsidR="009024CF" w:rsidRPr="001D1B1C">
        <w:t xml:space="preserve">0 children aged 0–4 </w:t>
      </w:r>
      <w:r w:rsidRPr="001D1B1C">
        <w:t>years was 169.1 for Aboriginal and Torres Strait Islander children and 89.2 for o</w:t>
      </w:r>
      <w:r w:rsidR="009024CF" w:rsidRPr="001D1B1C">
        <w:t xml:space="preserve">ther children </w:t>
      </w:r>
      <w:r w:rsidR="001D1B1C" w:rsidRPr="001D1B1C">
        <w:br/>
      </w:r>
      <w:r w:rsidR="009024CF" w:rsidRPr="001D1B1C">
        <w:t xml:space="preserve">(table </w:t>
      </w:r>
      <w:proofErr w:type="spellStart"/>
      <w:r w:rsidRPr="001D1B1C">
        <w:t>EA.55</w:t>
      </w:r>
      <w:proofErr w:type="spellEnd"/>
      <w:r w:rsidRPr="001D1B1C">
        <w:t>).</w:t>
      </w:r>
    </w:p>
    <w:p w:rsidR="00336D7E" w:rsidRPr="001D1B1C" w:rsidRDefault="00336D7E" w:rsidP="00336D7E">
      <w:pPr>
        <w:pStyle w:val="Heading5"/>
      </w:pPr>
      <w:r w:rsidRPr="001D1B1C">
        <w:lastRenderedPageBreak/>
        <w:t>Mortality rates — by major cause of death</w:t>
      </w:r>
    </w:p>
    <w:p w:rsidR="00336D7E" w:rsidRPr="001D1B1C" w:rsidRDefault="00336D7E" w:rsidP="00336D7E">
      <w:pPr>
        <w:pStyle w:val="BodyText"/>
        <w:tabs>
          <w:tab w:val="left" w:pos="993"/>
        </w:tabs>
      </w:pPr>
      <w:r w:rsidRPr="001D1B1C">
        <w:t>The most common causes of death among Australians in 2012 were cancers, diseases of the circulatory system (including heart disease, heart attack and stroke), and diseases of the respiratory system (including influenza, pneumonia and chronic lower respiratory diseases) (</w:t>
      </w:r>
      <w:r w:rsidR="009024CF" w:rsidRPr="001D1B1C">
        <w:t xml:space="preserve">2015 Report, tables </w:t>
      </w:r>
      <w:proofErr w:type="spellStart"/>
      <w:r w:rsidR="009024CF" w:rsidRPr="001D1B1C">
        <w:t>E.3</w:t>
      </w:r>
      <w:proofErr w:type="spellEnd"/>
      <w:r w:rsidR="009024CF" w:rsidRPr="001D1B1C">
        <w:t xml:space="preserve"> and </w:t>
      </w:r>
      <w:proofErr w:type="spellStart"/>
      <w:r w:rsidR="009024CF" w:rsidRPr="001D1B1C">
        <w:t>EA.56</w:t>
      </w:r>
      <w:proofErr w:type="spellEnd"/>
      <w:r w:rsidR="009024CF" w:rsidRPr="001D1B1C">
        <w:t>).</w:t>
      </w:r>
    </w:p>
    <w:p w:rsidR="00336D7E" w:rsidRPr="001D1B1C" w:rsidRDefault="00336D7E" w:rsidP="00336D7E">
      <w:pPr>
        <w:pStyle w:val="BodyText"/>
        <w:spacing w:before="180"/>
      </w:pPr>
      <w:bookmarkStart w:id="24" w:name="OLE_LINK12"/>
      <w:r w:rsidRPr="001D1B1C">
        <w:t xml:space="preserve">In the jurisdictions for which age standardised death rates are available by Indigenous status (NSW, Queensland, WA, SA and the NT), death rates were significantly higher for Aboriginal and Torres Strait Islander people than for other </w:t>
      </w:r>
      <w:r w:rsidR="009024CF" w:rsidRPr="001D1B1C">
        <w:t xml:space="preserve">Australians in 2009–2013 </w:t>
      </w:r>
      <w:r w:rsidR="009024CF" w:rsidRPr="001D1B1C">
        <w:br/>
        <w:t xml:space="preserve">(table </w:t>
      </w:r>
      <w:proofErr w:type="spellStart"/>
      <w:r w:rsidRPr="001D1B1C">
        <w:t>E.4</w:t>
      </w:r>
      <w:proofErr w:type="spellEnd"/>
      <w:r w:rsidRPr="001D1B1C">
        <w:t xml:space="preserve">). For these jurisdictions, the leading age-standardised cause of death for Aboriginal and Torres Strait Islander people was circulatory diseases followed by neoplasms (cancer) in 2012 (table </w:t>
      </w:r>
      <w:proofErr w:type="spellStart"/>
      <w:r w:rsidRPr="001D1B1C">
        <w:t>EA.57</w:t>
      </w:r>
      <w:proofErr w:type="spellEnd"/>
      <w:r w:rsidRPr="001D1B1C">
        <w:t>).</w:t>
      </w:r>
    </w:p>
    <w:p w:rsidR="00336D7E" w:rsidRPr="001D1B1C" w:rsidRDefault="00336D7E" w:rsidP="00336D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336D7E" w:rsidRPr="001D1B1C" w:rsidTr="007655EF">
        <w:tc>
          <w:tcPr>
            <w:tcW w:w="8771" w:type="dxa"/>
            <w:tcBorders>
              <w:top w:val="single" w:sz="6" w:space="0" w:color="78A22F" w:themeColor="accent1"/>
              <w:left w:val="nil"/>
              <w:bottom w:val="nil"/>
              <w:right w:val="nil"/>
            </w:tcBorders>
            <w:shd w:val="clear" w:color="auto" w:fill="auto"/>
          </w:tcPr>
          <w:p w:rsidR="00336D7E" w:rsidRPr="001D1B1C" w:rsidRDefault="00336D7E" w:rsidP="007655EF">
            <w:pPr>
              <w:pStyle w:val="TableTitle"/>
            </w:pPr>
            <w:r w:rsidRPr="001D1B1C">
              <w:rPr>
                <w:b w:val="0"/>
              </w:rPr>
              <w:t xml:space="preserve">Table </w:t>
            </w:r>
            <w:proofErr w:type="spellStart"/>
            <w:r w:rsidRPr="001D1B1C">
              <w:rPr>
                <w:b w:val="0"/>
              </w:rPr>
              <w:t>E.</w:t>
            </w:r>
            <w:r w:rsidRPr="001D1B1C">
              <w:rPr>
                <w:b w:val="0"/>
                <w:noProof/>
              </w:rPr>
              <w:t>3</w:t>
            </w:r>
            <w:proofErr w:type="spellEnd"/>
            <w:r w:rsidRPr="001D1B1C">
              <w:tab/>
              <w:t>Age standardised mortality rates by major cause of death (deaths per 100 000 people), 2012</w:t>
            </w:r>
            <w:r w:rsidRPr="001D1B1C">
              <w:rPr>
                <w:rStyle w:val="NoteLabel"/>
                <w:b/>
              </w:rPr>
              <w:t>a, b</w:t>
            </w:r>
          </w:p>
        </w:tc>
      </w:tr>
      <w:tr w:rsidR="00336D7E" w:rsidRPr="001D1B1C" w:rsidTr="007655EF">
        <w:trPr>
          <w:cantSplit/>
        </w:trPr>
        <w:tc>
          <w:tcPr>
            <w:tcW w:w="8771" w:type="dxa"/>
            <w:tcBorders>
              <w:top w:val="nil"/>
              <w:left w:val="nil"/>
              <w:bottom w:val="nil"/>
              <w:right w:val="nil"/>
            </w:tcBorders>
            <w:shd w:val="clear" w:color="auto" w:fill="auto"/>
          </w:tcPr>
          <w:tbl>
            <w:tblPr>
              <w:tblW w:w="8517" w:type="dxa"/>
              <w:tblInd w:w="108" w:type="dxa"/>
              <w:tblLook w:val="0000" w:firstRow="0" w:lastRow="0" w:firstColumn="0" w:lastColumn="0" w:noHBand="0" w:noVBand="0"/>
            </w:tblPr>
            <w:tblGrid>
              <w:gridCol w:w="2064"/>
              <w:gridCol w:w="717"/>
              <w:gridCol w:w="717"/>
              <w:gridCol w:w="717"/>
              <w:gridCol w:w="717"/>
              <w:gridCol w:w="717"/>
              <w:gridCol w:w="717"/>
              <w:gridCol w:w="717"/>
              <w:gridCol w:w="717"/>
              <w:gridCol w:w="717"/>
            </w:tblGrid>
            <w:tr w:rsidR="00336D7E" w:rsidRPr="001D1B1C" w:rsidTr="007655EF">
              <w:tc>
                <w:tcPr>
                  <w:tcW w:w="2064" w:type="dxa"/>
                  <w:tcBorders>
                    <w:top w:val="single" w:sz="4" w:space="0" w:color="BFBFBF"/>
                    <w:bottom w:val="single" w:sz="4" w:space="0" w:color="BFBFBF"/>
                  </w:tcBorders>
                  <w:tcMar>
                    <w:left w:w="0" w:type="dxa"/>
                    <w:right w:w="0" w:type="dxa"/>
                  </w:tcMar>
                  <w:vAlign w:val="bottom"/>
                </w:tcPr>
                <w:p w:rsidR="00336D7E" w:rsidRPr="001D1B1C" w:rsidRDefault="00336D7E" w:rsidP="007655EF">
                  <w:pPr>
                    <w:pStyle w:val="TableColumnHeading"/>
                    <w:jc w:val="left"/>
                    <w:rPr>
                      <w:snapToGrid w:val="0"/>
                      <w:lang w:val="en-US"/>
                    </w:rPr>
                  </w:pP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NSW</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Vic</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Qld</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WA</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SA</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Tas</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ACT</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r w:rsidRPr="001D1B1C">
                    <w:t>NT</w:t>
                  </w:r>
                </w:p>
              </w:tc>
              <w:tc>
                <w:tcPr>
                  <w:tcW w:w="717" w:type="dxa"/>
                  <w:tcBorders>
                    <w:top w:val="single" w:sz="4" w:space="0" w:color="BFBFBF"/>
                    <w:bottom w:val="single" w:sz="4" w:space="0" w:color="BFBFBF"/>
                  </w:tcBorders>
                  <w:tcMar>
                    <w:left w:w="0" w:type="dxa"/>
                    <w:right w:w="0" w:type="dxa"/>
                  </w:tcMar>
                  <w:vAlign w:val="bottom"/>
                </w:tcPr>
                <w:p w:rsidR="00336D7E" w:rsidRPr="001D1B1C" w:rsidRDefault="00336D7E" w:rsidP="00C25C93">
                  <w:pPr>
                    <w:pStyle w:val="TableColumnHeading"/>
                  </w:pPr>
                  <w:proofErr w:type="spellStart"/>
                  <w:r w:rsidRPr="001D1B1C">
                    <w:t>Aust</w:t>
                  </w:r>
                  <w:proofErr w:type="spellEnd"/>
                </w:p>
              </w:tc>
            </w:tr>
            <w:tr w:rsidR="00336D7E" w:rsidRPr="001D1B1C" w:rsidTr="007655EF">
              <w:tc>
                <w:tcPr>
                  <w:tcW w:w="2064" w:type="dxa"/>
                  <w:tcBorders>
                    <w:top w:val="single" w:sz="4" w:space="0" w:color="BFBFBF"/>
                  </w:tcBorders>
                  <w:tcMar>
                    <w:left w:w="0" w:type="dxa"/>
                    <w:right w:w="0" w:type="dxa"/>
                  </w:tcMar>
                  <w:vAlign w:val="bottom"/>
                </w:tcPr>
                <w:p w:rsidR="00336D7E" w:rsidRPr="001D1B1C" w:rsidRDefault="00336D7E" w:rsidP="007655EF">
                  <w:pPr>
                    <w:pStyle w:val="TableBodyText"/>
                    <w:jc w:val="left"/>
                    <w:rPr>
                      <w:snapToGrid w:val="0"/>
                      <w:lang w:val="en-US"/>
                    </w:rPr>
                  </w:pPr>
                  <w:r w:rsidRPr="001D1B1C">
                    <w:rPr>
                      <w:snapToGrid w:val="0"/>
                      <w:lang w:val="en-US"/>
                    </w:rPr>
                    <w:t>Certain infectious and parasitic diseases</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10.6</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8.4</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6.9</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7.8</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10.9</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8.2</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6.6</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tcBorders>
                    <w:top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9.1</w:t>
                  </w:r>
                </w:p>
              </w:tc>
            </w:tr>
            <w:tr w:rsidR="00336D7E" w:rsidRPr="001D1B1C" w:rsidTr="007655EF">
              <w:trPr>
                <w:trHeight w:hRule="exact" w:val="340"/>
              </w:trPr>
              <w:tc>
                <w:tcPr>
                  <w:tcW w:w="2064" w:type="dxa"/>
                  <w:tcMar>
                    <w:left w:w="0" w:type="dxa"/>
                    <w:right w:w="0" w:type="dxa"/>
                  </w:tcMar>
                  <w:vAlign w:val="bottom"/>
                </w:tcPr>
                <w:p w:rsidR="00336D7E" w:rsidRPr="001D1B1C" w:rsidRDefault="00336D7E" w:rsidP="007655EF">
                  <w:pPr>
                    <w:pStyle w:val="TableBodyText"/>
                    <w:jc w:val="left"/>
                    <w:rPr>
                      <w:snapToGrid w:val="0"/>
                      <w:lang w:val="en-US"/>
                    </w:rPr>
                  </w:pPr>
                  <w:r w:rsidRPr="001D1B1C">
                    <w:rPr>
                      <w:snapToGrid w:val="0"/>
                      <w:lang w:val="en-US"/>
                    </w:rPr>
                    <w:t>Neoplasms</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166.8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162.4</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179.2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167.0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166.6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185.7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147.0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211.7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168.4</w:t>
                  </w:r>
                </w:p>
              </w:tc>
            </w:tr>
            <w:tr w:rsidR="00336D7E" w:rsidRPr="001D1B1C" w:rsidTr="007655EF">
              <w:tc>
                <w:tcPr>
                  <w:tcW w:w="2064" w:type="dxa"/>
                  <w:tcMar>
                    <w:left w:w="0" w:type="dxa"/>
                    <w:right w:w="0" w:type="dxa"/>
                  </w:tcMar>
                  <w:vAlign w:val="bottom"/>
                </w:tcPr>
                <w:p w:rsidR="00336D7E" w:rsidRPr="001D1B1C" w:rsidRDefault="00336D7E" w:rsidP="007655EF">
                  <w:pPr>
                    <w:pStyle w:val="TableBodyText"/>
                    <w:jc w:val="left"/>
                    <w:rPr>
                      <w:snapToGrid w:val="0"/>
                      <w:lang w:val="en-US"/>
                    </w:rPr>
                  </w:pPr>
                  <w:r w:rsidRPr="001D1B1C">
                    <w:rPr>
                      <w:snapToGrid w:val="0"/>
                      <w:lang w:val="en-US"/>
                    </w:rPr>
                    <w:t>Diseases of the blood</w:t>
                  </w:r>
                  <w:r w:rsidRPr="001D1B1C">
                    <w:rPr>
                      <w:rStyle w:val="NoteLabel"/>
                    </w:rPr>
                    <w:t>c</w:t>
                  </w:r>
                  <w:r w:rsidRPr="001D1B1C">
                    <w:rPr>
                      <w:snapToGrid w:val="0"/>
                      <w:lang w:val="en-US"/>
                    </w:rPr>
                    <w:t xml:space="preserve"> </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1.7</w:t>
                  </w:r>
                </w:p>
              </w:tc>
            </w:tr>
            <w:tr w:rsidR="00336D7E" w:rsidRPr="001D1B1C" w:rsidTr="007655EF">
              <w:tc>
                <w:tcPr>
                  <w:tcW w:w="2064" w:type="dxa"/>
                  <w:tcMar>
                    <w:left w:w="0" w:type="dxa"/>
                    <w:right w:w="0" w:type="dxa"/>
                  </w:tcMar>
                  <w:vAlign w:val="bottom"/>
                </w:tcPr>
                <w:p w:rsidR="00336D7E" w:rsidRPr="001D1B1C" w:rsidRDefault="00336D7E" w:rsidP="007655EF">
                  <w:pPr>
                    <w:pStyle w:val="TableBodyText"/>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Endocrine, nutritional and metabolic diseases</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20.2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23.0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23.3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23.6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22.6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33.7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24.6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65.2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22.7</w:t>
                  </w:r>
                </w:p>
              </w:tc>
            </w:tr>
            <w:tr w:rsidR="00336D7E" w:rsidRPr="001D1B1C" w:rsidTr="007655EF">
              <w:tc>
                <w:tcPr>
                  <w:tcW w:w="2064" w:type="dxa"/>
                  <w:tcMar>
                    <w:left w:w="0" w:type="dxa"/>
                    <w:right w:w="0" w:type="dxa"/>
                  </w:tcMar>
                  <w:vAlign w:val="bottom"/>
                </w:tcPr>
                <w:p w:rsidR="00336D7E" w:rsidRPr="001D1B1C" w:rsidRDefault="00336D7E" w:rsidP="007655EF">
                  <w:pPr>
                    <w:pStyle w:val="TableBodyText"/>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 xml:space="preserve">Mental and </w:t>
                  </w:r>
                  <w:proofErr w:type="spellStart"/>
                  <w:r w:rsidRPr="001D1B1C">
                    <w:rPr>
                      <w:rFonts w:asciiTheme="majorHAnsi" w:hAnsiTheme="majorHAnsi" w:cstheme="majorHAnsi"/>
                      <w:snapToGrid w:val="0"/>
                      <w:szCs w:val="18"/>
                      <w:lang w:val="en-US"/>
                    </w:rPr>
                    <w:t>behavioural</w:t>
                  </w:r>
                  <w:proofErr w:type="spellEnd"/>
                  <w:r w:rsidRPr="001D1B1C">
                    <w:rPr>
                      <w:rFonts w:asciiTheme="majorHAnsi" w:hAnsiTheme="majorHAnsi" w:cstheme="majorHAnsi"/>
                      <w:snapToGrid w:val="0"/>
                      <w:szCs w:val="18"/>
                      <w:lang w:val="en-US"/>
                    </w:rPr>
                    <w:t xml:space="preserve"> disorders</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27.6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27.2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26.7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27.5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34.7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48.3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25.0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30.9</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28.5</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odyText"/>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Diseases of the:</w:t>
                  </w: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c>
                <w:tcPr>
                  <w:tcW w:w="717" w:type="dxa"/>
                  <w:shd w:val="clear" w:color="auto" w:fill="auto"/>
                  <w:tcMar>
                    <w:left w:w="0" w:type="dxa"/>
                    <w:right w:w="0" w:type="dxa"/>
                  </w:tcMar>
                  <w:vAlign w:val="bottom"/>
                </w:tcPr>
                <w:p w:rsidR="00336D7E" w:rsidRPr="001D1B1C" w:rsidRDefault="00336D7E" w:rsidP="00C25C93">
                  <w:pPr>
                    <w:pStyle w:val="TableBodyText"/>
                  </w:pP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nervous system</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23.2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26.8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25.3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30.3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28.5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25.7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24.0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23.7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25.7</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eye and adnexa</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r>
            <w:tr w:rsidR="00336D7E" w:rsidRPr="001D1B1C" w:rsidTr="007655EF">
              <w:trPr>
                <w:trHeight w:val="340"/>
              </w:trPr>
              <w:tc>
                <w:tcPr>
                  <w:tcW w:w="2064" w:type="dxa"/>
                  <w:tcMar>
                    <w:left w:w="0" w:type="dxa"/>
                    <w:right w:w="0" w:type="dxa"/>
                  </w:tcMar>
                  <w:vAlign w:val="bottom"/>
                </w:tcPr>
                <w:p w:rsidR="00336D7E" w:rsidRPr="001D1B1C" w:rsidRDefault="00336D7E" w:rsidP="001D1B1C">
                  <w:pPr>
                    <w:pStyle w:val="TableBulle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ear and mastoid process</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circulatory system</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160.1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148.1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175.1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144.5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161.5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195.2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141.4</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185.3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159.6</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respiratory system</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50.7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45.0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50.4</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45.9</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49.2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62.1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42.0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73.5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49.0</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digestive system</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18.8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19.8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20.8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17.6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21.1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22.2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20.5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26.6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19.7</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ind w:right="-108"/>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skin and subcutaneous tissue</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ind w:right="-108"/>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musculoskeletal system and connective tissue</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5.1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8.0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6.6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4.3</w:t>
                  </w:r>
                </w:p>
              </w:tc>
            </w:tr>
            <w:tr w:rsidR="00336D7E" w:rsidRPr="001D1B1C" w:rsidTr="007655EF">
              <w:trPr>
                <w:trHeight w:val="340"/>
              </w:trPr>
              <w:tc>
                <w:tcPr>
                  <w:tcW w:w="2064" w:type="dxa"/>
                  <w:tcMar>
                    <w:left w:w="0" w:type="dxa"/>
                    <w:right w:w="0" w:type="dxa"/>
                  </w:tcMar>
                  <w:vAlign w:val="bottom"/>
                </w:tcPr>
                <w:p w:rsidR="00336D7E" w:rsidRPr="001D1B1C" w:rsidRDefault="00336D7E" w:rsidP="007655EF">
                  <w:pPr>
                    <w:pStyle w:val="TableBulle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kidney</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13.4</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15.5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11.8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14.0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13.1</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23.5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13.8</w:t>
                  </w:r>
                </w:p>
              </w:tc>
            </w:tr>
            <w:tr w:rsidR="00336D7E" w:rsidRPr="001D1B1C" w:rsidTr="007655EF">
              <w:tc>
                <w:tcPr>
                  <w:tcW w:w="2064" w:type="dxa"/>
                  <w:tcMar>
                    <w:left w:w="0" w:type="dxa"/>
                    <w:right w:w="0" w:type="dxa"/>
                  </w:tcMar>
                  <w:vAlign w:val="bottom"/>
                </w:tcPr>
                <w:p w:rsidR="00336D7E" w:rsidRPr="001D1B1C" w:rsidRDefault="00336D7E" w:rsidP="007655EF">
                  <w:pPr>
                    <w:pStyle w:val="TableBodyText"/>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 xml:space="preserve">Pregnancy, childbirth and the </w:t>
                  </w:r>
                  <w:proofErr w:type="spellStart"/>
                  <w:r w:rsidRPr="001D1B1C">
                    <w:rPr>
                      <w:rFonts w:asciiTheme="majorHAnsi" w:hAnsiTheme="majorHAnsi" w:cstheme="majorHAnsi"/>
                      <w:snapToGrid w:val="0"/>
                      <w:szCs w:val="18"/>
                      <w:lang w:val="en-US"/>
                    </w:rPr>
                    <w:t>puerperium</w:t>
                  </w:r>
                  <w:proofErr w:type="spellEnd"/>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r>
            <w:tr w:rsidR="00336D7E" w:rsidRPr="001D1B1C" w:rsidTr="007655EF">
              <w:tc>
                <w:tcPr>
                  <w:tcW w:w="2064" w:type="dxa"/>
                  <w:tcMar>
                    <w:left w:w="0" w:type="dxa"/>
                    <w:right w:w="0" w:type="dxa"/>
                  </w:tcMar>
                  <w:vAlign w:val="bottom"/>
                </w:tcPr>
                <w:p w:rsidR="00336D7E" w:rsidRPr="001D1B1C" w:rsidRDefault="00336D7E" w:rsidP="007655EF">
                  <w:pPr>
                    <w:pStyle w:val="TableBodyText"/>
                    <w:ind w:right="-108"/>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Certain conditions originating in the perinatal period</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2.8</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2.3</w:t>
                  </w:r>
                </w:p>
              </w:tc>
            </w:tr>
            <w:tr w:rsidR="00336D7E" w:rsidRPr="001D1B1C" w:rsidTr="007655EF">
              <w:tc>
                <w:tcPr>
                  <w:tcW w:w="2064" w:type="dxa"/>
                  <w:tcMar>
                    <w:left w:w="0" w:type="dxa"/>
                    <w:right w:w="0" w:type="dxa"/>
                  </w:tcMar>
                  <w:vAlign w:val="bottom"/>
                </w:tcPr>
                <w:p w:rsidR="00336D7E" w:rsidRPr="001D1B1C" w:rsidRDefault="00336D7E" w:rsidP="007655EF">
                  <w:pPr>
                    <w:pStyle w:val="TableBodyText"/>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Congenital conditions</w:t>
                  </w:r>
                  <w:r w:rsidRPr="001D1B1C">
                    <w:rPr>
                      <w:rStyle w:val="NoteLabel"/>
                      <w:rFonts w:asciiTheme="majorHAnsi" w:hAnsiTheme="majorHAnsi" w:cstheme="majorHAnsi"/>
                      <w:szCs w:val="18"/>
                    </w:rPr>
                    <w:t>d</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2.4</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2.0</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2.6</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2.4</w:t>
                  </w:r>
                </w:p>
              </w:tc>
            </w:tr>
            <w:tr w:rsidR="00336D7E" w:rsidRPr="001D1B1C" w:rsidTr="007655EF">
              <w:tc>
                <w:tcPr>
                  <w:tcW w:w="2064" w:type="dxa"/>
                  <w:tcMar>
                    <w:left w:w="0" w:type="dxa"/>
                    <w:right w:w="0" w:type="dxa"/>
                  </w:tcMar>
                  <w:vAlign w:val="bottom"/>
                </w:tcPr>
                <w:p w:rsidR="00336D7E" w:rsidRPr="001D1B1C" w:rsidRDefault="00336D7E" w:rsidP="007655EF">
                  <w:pPr>
                    <w:pStyle w:val="TableBodyText"/>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 xml:space="preserve">Abnormal findings </w:t>
                  </w:r>
                  <w:proofErr w:type="spellStart"/>
                  <w:r w:rsidRPr="001D1B1C">
                    <w:rPr>
                      <w:rFonts w:asciiTheme="majorHAnsi" w:hAnsiTheme="majorHAnsi" w:cstheme="majorHAnsi"/>
                      <w:snapToGrid w:val="0"/>
                      <w:szCs w:val="18"/>
                      <w:lang w:val="en-US"/>
                    </w:rPr>
                    <w:t>nec</w:t>
                  </w:r>
                  <w:proofErr w:type="spellEnd"/>
                  <w:r w:rsidRPr="001D1B1C">
                    <w:rPr>
                      <w:rStyle w:val="NoteLabel"/>
                      <w:rFonts w:asciiTheme="majorHAnsi" w:hAnsiTheme="majorHAnsi" w:cstheme="majorHAnsi"/>
                      <w:szCs w:val="18"/>
                    </w:rPr>
                    <w:t>e</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7.2</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3.7</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5.5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3.5</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np</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13.3</w:t>
                  </w:r>
                </w:p>
              </w:tc>
              <w:tc>
                <w:tcPr>
                  <w:tcW w:w="717" w:type="dxa"/>
                  <w:shd w:val="clear" w:color="auto" w:fill="auto"/>
                  <w:tcMar>
                    <w:left w:w="0" w:type="dxa"/>
                    <w:right w:w="0" w:type="dxa"/>
                  </w:tcMar>
                  <w:vAlign w:val="bottom"/>
                </w:tcPr>
                <w:p w:rsidR="00336D7E" w:rsidRPr="001D1B1C" w:rsidRDefault="00336D7E" w:rsidP="00C25C93">
                  <w:pPr>
                    <w:pStyle w:val="TableBodyText"/>
                  </w:pPr>
                  <w:r w:rsidRPr="001D1B1C">
                    <w:t xml:space="preserve">  5.9</w:t>
                  </w:r>
                </w:p>
              </w:tc>
            </w:tr>
            <w:tr w:rsidR="00336D7E" w:rsidRPr="001D1B1C" w:rsidTr="007655EF">
              <w:tc>
                <w:tcPr>
                  <w:tcW w:w="2064" w:type="dxa"/>
                  <w:tcBorders>
                    <w:bottom w:val="single" w:sz="4" w:space="0" w:color="BFBFBF"/>
                  </w:tcBorders>
                  <w:tcMar>
                    <w:left w:w="0" w:type="dxa"/>
                    <w:right w:w="0" w:type="dxa"/>
                  </w:tcMar>
                  <w:vAlign w:val="bottom"/>
                </w:tcPr>
                <w:p w:rsidR="00336D7E" w:rsidRPr="001D1B1C" w:rsidRDefault="00336D7E" w:rsidP="007655EF">
                  <w:pPr>
                    <w:pStyle w:val="TableBodyText"/>
                    <w:jc w:val="left"/>
                    <w:rPr>
                      <w:rFonts w:asciiTheme="majorHAnsi" w:hAnsiTheme="majorHAnsi" w:cstheme="majorHAnsi"/>
                      <w:snapToGrid w:val="0"/>
                      <w:szCs w:val="18"/>
                      <w:lang w:val="en-US"/>
                    </w:rPr>
                  </w:pPr>
                  <w:r w:rsidRPr="001D1B1C">
                    <w:rPr>
                      <w:rFonts w:asciiTheme="majorHAnsi" w:hAnsiTheme="majorHAnsi" w:cstheme="majorHAnsi"/>
                      <w:snapToGrid w:val="0"/>
                      <w:szCs w:val="18"/>
                      <w:lang w:val="en-US"/>
                    </w:rPr>
                    <w:t>External causes of morbidity and mortality</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33.8</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33.3</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43.7</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46.2</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39.2</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44.0</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31.7</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79.5</w:t>
                  </w:r>
                </w:p>
              </w:tc>
              <w:tc>
                <w:tcPr>
                  <w:tcW w:w="717" w:type="dxa"/>
                  <w:tcBorders>
                    <w:bottom w:val="single" w:sz="4" w:space="0" w:color="BFBFBF"/>
                  </w:tcBorders>
                  <w:shd w:val="clear" w:color="auto" w:fill="auto"/>
                  <w:tcMar>
                    <w:left w:w="0" w:type="dxa"/>
                    <w:right w:w="0" w:type="dxa"/>
                  </w:tcMar>
                  <w:vAlign w:val="bottom"/>
                </w:tcPr>
                <w:p w:rsidR="00336D7E" w:rsidRPr="001D1B1C" w:rsidRDefault="00336D7E" w:rsidP="00C25C93">
                  <w:pPr>
                    <w:pStyle w:val="TableBodyText"/>
                  </w:pPr>
                  <w:r w:rsidRPr="001D1B1C">
                    <w:t xml:space="preserve">  37.9</w:t>
                  </w:r>
                </w:p>
              </w:tc>
            </w:tr>
            <w:tr w:rsidR="00336D7E" w:rsidRPr="001D1B1C" w:rsidTr="007655EF">
              <w:tc>
                <w:tcPr>
                  <w:tcW w:w="2064" w:type="dxa"/>
                  <w:tcBorders>
                    <w:top w:val="single" w:sz="4" w:space="0" w:color="BFBFBF"/>
                    <w:bottom w:val="single" w:sz="4" w:space="0" w:color="BFBFBF"/>
                  </w:tcBorders>
                  <w:tcMar>
                    <w:left w:w="0" w:type="dxa"/>
                    <w:right w:w="0" w:type="dxa"/>
                  </w:tcMar>
                  <w:vAlign w:val="bottom"/>
                </w:tcPr>
                <w:p w:rsidR="00336D7E" w:rsidRPr="001D1B1C" w:rsidRDefault="00336D7E" w:rsidP="007655EF">
                  <w:pPr>
                    <w:pStyle w:val="TableBodyText"/>
                    <w:jc w:val="left"/>
                    <w:rPr>
                      <w:rFonts w:asciiTheme="majorHAnsi" w:hAnsiTheme="majorHAnsi" w:cstheme="majorHAnsi"/>
                      <w:b/>
                      <w:snapToGrid w:val="0"/>
                      <w:szCs w:val="18"/>
                      <w:lang w:val="en-US"/>
                    </w:rPr>
                  </w:pPr>
                  <w:r w:rsidRPr="001D1B1C">
                    <w:rPr>
                      <w:rFonts w:asciiTheme="majorHAnsi" w:hAnsiTheme="majorHAnsi" w:cstheme="majorHAnsi"/>
                      <w:b/>
                      <w:snapToGrid w:val="0"/>
                      <w:szCs w:val="18"/>
                      <w:lang w:val="en-US"/>
                    </w:rPr>
                    <w:t>Total</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544.5</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524.7</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580.7</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538.9</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572.4</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658.3</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494.9</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769.2</w:t>
                  </w:r>
                </w:p>
              </w:tc>
              <w:tc>
                <w:tcPr>
                  <w:tcW w:w="717" w:type="dxa"/>
                  <w:tcBorders>
                    <w:top w:val="single" w:sz="4" w:space="0" w:color="BFBFBF"/>
                    <w:bottom w:val="single" w:sz="4" w:space="0" w:color="BFBFBF"/>
                  </w:tcBorders>
                  <w:shd w:val="clear" w:color="auto" w:fill="auto"/>
                  <w:tcMar>
                    <w:left w:w="0" w:type="dxa"/>
                    <w:right w:w="0" w:type="dxa"/>
                  </w:tcMar>
                  <w:vAlign w:val="bottom"/>
                </w:tcPr>
                <w:p w:rsidR="00336D7E" w:rsidRPr="001D1B1C" w:rsidRDefault="00336D7E" w:rsidP="00C25C93">
                  <w:pPr>
                    <w:pStyle w:val="TableBodyText"/>
                    <w:rPr>
                      <w:b/>
                      <w:bCs/>
                    </w:rPr>
                  </w:pPr>
                  <w:r w:rsidRPr="001D1B1C">
                    <w:rPr>
                      <w:b/>
                      <w:bCs/>
                    </w:rPr>
                    <w:t xml:space="preserve">  552.3</w:t>
                  </w:r>
                </w:p>
              </w:tc>
            </w:tr>
          </w:tbl>
          <w:p w:rsidR="00336D7E" w:rsidRPr="001D1B1C" w:rsidRDefault="00336D7E" w:rsidP="007655EF">
            <w:pPr>
              <w:pStyle w:val="Box"/>
            </w:pPr>
          </w:p>
        </w:tc>
      </w:tr>
      <w:tr w:rsidR="00336D7E" w:rsidRPr="001D1B1C" w:rsidTr="007655EF">
        <w:trPr>
          <w:cantSplit/>
        </w:trPr>
        <w:tc>
          <w:tcPr>
            <w:tcW w:w="8771" w:type="dxa"/>
            <w:tcBorders>
              <w:top w:val="nil"/>
              <w:left w:val="nil"/>
              <w:bottom w:val="nil"/>
              <w:right w:val="nil"/>
            </w:tcBorders>
            <w:shd w:val="clear" w:color="auto" w:fill="auto"/>
          </w:tcPr>
          <w:p w:rsidR="00336D7E" w:rsidRPr="001D1B1C" w:rsidRDefault="00336D7E" w:rsidP="007655EF">
            <w:pPr>
              <w:pStyle w:val="Note"/>
            </w:pPr>
            <w:proofErr w:type="spellStart"/>
            <w:r w:rsidRPr="001D1B1C">
              <w:rPr>
                <w:rStyle w:val="NoteLabel"/>
              </w:rPr>
              <w:t>a</w:t>
            </w:r>
            <w:proofErr w:type="spellEnd"/>
            <w:r w:rsidRPr="001D1B1C">
              <w:sym w:font="Symbol" w:char="F020"/>
            </w:r>
            <w:r w:rsidRPr="001D1B1C">
              <w:t xml:space="preserve">Age standardised to the Australian population as at 30 June 2001. </w:t>
            </w:r>
            <w:r w:rsidRPr="001D1B1C">
              <w:rPr>
                <w:rStyle w:val="NoteLabel"/>
              </w:rPr>
              <w:t>b</w:t>
            </w:r>
            <w:r w:rsidRPr="001D1B1C">
              <w:sym w:font="Symbol" w:char="F020"/>
            </w:r>
            <w:r w:rsidRPr="001D1B1C">
              <w:t xml:space="preserve">Australian total includes 'Other territories'. </w:t>
            </w:r>
            <w:r w:rsidRPr="001D1B1C">
              <w:rPr>
                <w:rStyle w:val="NoteLabel"/>
              </w:rPr>
              <w:t>c</w:t>
            </w:r>
            <w:r w:rsidRPr="001D1B1C">
              <w:t> Diseases of the blood and blood-forming organs and certain disorders involving the immune mechanism.</w:t>
            </w:r>
            <w:r w:rsidRPr="001D1B1C">
              <w:rPr>
                <w:szCs w:val="18"/>
              </w:rPr>
              <w:t xml:space="preserve"> </w:t>
            </w:r>
            <w:r w:rsidRPr="001D1B1C">
              <w:rPr>
                <w:rStyle w:val="NoteLabel"/>
              </w:rPr>
              <w:t>d</w:t>
            </w:r>
            <w:r w:rsidRPr="001D1B1C">
              <w:t> </w:t>
            </w:r>
            <w:r w:rsidRPr="001D1B1C">
              <w:rPr>
                <w:snapToGrid w:val="0"/>
                <w:lang w:val="en-US"/>
              </w:rPr>
              <w:t>Congenital malformations, deformations and chromosomal abnormalities.</w:t>
            </w:r>
            <w:r w:rsidRPr="001D1B1C">
              <w:rPr>
                <w:szCs w:val="18"/>
              </w:rPr>
              <w:t xml:space="preserve"> </w:t>
            </w:r>
            <w:r w:rsidRPr="001D1B1C">
              <w:rPr>
                <w:rStyle w:val="NoteLabel"/>
              </w:rPr>
              <w:t>e</w:t>
            </w:r>
            <w:r w:rsidRPr="001D1B1C">
              <w:t> </w:t>
            </w:r>
            <w:r w:rsidRPr="001D1B1C">
              <w:rPr>
                <w:snapToGrid w:val="0"/>
                <w:lang w:val="en-US"/>
              </w:rPr>
              <w:t>Symptoms, signs and abnormal clinical and laboratory findings, not elsewhere classified.</w:t>
            </w:r>
            <w:r w:rsidRPr="001D1B1C">
              <w:rPr>
                <w:szCs w:val="18"/>
              </w:rPr>
              <w:t xml:space="preserve"> – Nil or rounded to zero. </w:t>
            </w:r>
            <w:r w:rsidRPr="001D1B1C">
              <w:rPr>
                <w:b/>
                <w:szCs w:val="18"/>
              </w:rPr>
              <w:t>np</w:t>
            </w:r>
            <w:r w:rsidRPr="001D1B1C">
              <w:rPr>
                <w:szCs w:val="18"/>
              </w:rPr>
              <w:t xml:space="preserve"> Not published.</w:t>
            </w:r>
          </w:p>
        </w:tc>
      </w:tr>
      <w:tr w:rsidR="00336D7E" w:rsidRPr="001D1B1C" w:rsidTr="007655EF">
        <w:trPr>
          <w:cantSplit/>
        </w:trPr>
        <w:tc>
          <w:tcPr>
            <w:tcW w:w="8771" w:type="dxa"/>
            <w:tcBorders>
              <w:top w:val="nil"/>
              <w:left w:val="nil"/>
              <w:bottom w:val="nil"/>
              <w:right w:val="nil"/>
            </w:tcBorders>
            <w:shd w:val="clear" w:color="auto" w:fill="auto"/>
          </w:tcPr>
          <w:p w:rsidR="00336D7E" w:rsidRPr="001D1B1C" w:rsidRDefault="00336D7E" w:rsidP="009024CF">
            <w:pPr>
              <w:pStyle w:val="Source"/>
            </w:pPr>
            <w:r w:rsidRPr="001D1B1C">
              <w:rPr>
                <w:i/>
              </w:rPr>
              <w:t>Source</w:t>
            </w:r>
            <w:r w:rsidR="009024CF" w:rsidRPr="001D1B1C">
              <w:t xml:space="preserve">: ABS </w:t>
            </w:r>
            <w:r w:rsidRPr="001D1B1C">
              <w:t xml:space="preserve">(unpublished) </w:t>
            </w:r>
            <w:r w:rsidR="009024CF" w:rsidRPr="001D1B1C">
              <w:rPr>
                <w:i/>
              </w:rPr>
              <w:t xml:space="preserve">Causes of Death Australia, </w:t>
            </w:r>
            <w:r w:rsidRPr="001D1B1C">
              <w:rPr>
                <w:i/>
              </w:rPr>
              <w:t xml:space="preserve">2012 </w:t>
            </w:r>
            <w:r w:rsidR="009024CF" w:rsidRPr="001D1B1C">
              <w:t xml:space="preserve">Cat. no. 3303.0; table </w:t>
            </w:r>
            <w:proofErr w:type="spellStart"/>
            <w:r w:rsidR="009024CF" w:rsidRPr="001D1B1C">
              <w:t>EA.56</w:t>
            </w:r>
            <w:proofErr w:type="spellEnd"/>
            <w:r w:rsidR="009024CF" w:rsidRPr="001D1B1C">
              <w:t xml:space="preserve">; 2015 Report, table </w:t>
            </w:r>
            <w:proofErr w:type="spellStart"/>
            <w:r w:rsidR="009024CF" w:rsidRPr="001D1B1C">
              <w:t>E.3</w:t>
            </w:r>
            <w:proofErr w:type="spellEnd"/>
            <w:r w:rsidR="009024CF" w:rsidRPr="001D1B1C">
              <w:t xml:space="preserve">, p. </w:t>
            </w:r>
            <w:proofErr w:type="spellStart"/>
            <w:r w:rsidR="009024CF" w:rsidRPr="001D1B1C">
              <w:t>E.33</w:t>
            </w:r>
            <w:proofErr w:type="spellEnd"/>
            <w:r w:rsidR="009024CF" w:rsidRPr="001D1B1C">
              <w:t>.</w:t>
            </w:r>
          </w:p>
        </w:tc>
      </w:tr>
      <w:tr w:rsidR="00336D7E" w:rsidRPr="001D1B1C" w:rsidTr="007655EF">
        <w:trPr>
          <w:cantSplit/>
        </w:trPr>
        <w:tc>
          <w:tcPr>
            <w:tcW w:w="8771" w:type="dxa"/>
            <w:tcBorders>
              <w:top w:val="nil"/>
              <w:left w:val="nil"/>
              <w:bottom w:val="single" w:sz="6" w:space="0" w:color="78A22F" w:themeColor="accent1"/>
              <w:right w:val="nil"/>
            </w:tcBorders>
            <w:shd w:val="clear" w:color="auto" w:fill="auto"/>
          </w:tcPr>
          <w:p w:rsidR="00336D7E" w:rsidRPr="001D1B1C" w:rsidRDefault="00336D7E" w:rsidP="007655EF">
            <w:pPr>
              <w:pStyle w:val="Box"/>
              <w:spacing w:before="0" w:line="120" w:lineRule="exact"/>
            </w:pPr>
          </w:p>
        </w:tc>
      </w:tr>
      <w:tr w:rsidR="00336D7E" w:rsidRPr="001D1B1C" w:rsidTr="007655EF">
        <w:tc>
          <w:tcPr>
            <w:tcW w:w="8771" w:type="dxa"/>
            <w:tcBorders>
              <w:top w:val="single" w:sz="6" w:space="0" w:color="78A22F" w:themeColor="accent1"/>
              <w:left w:val="nil"/>
              <w:bottom w:val="nil"/>
              <w:right w:val="nil"/>
            </w:tcBorders>
          </w:tcPr>
          <w:p w:rsidR="00336D7E" w:rsidRPr="001D1B1C" w:rsidRDefault="00336D7E" w:rsidP="007655EF">
            <w:pPr>
              <w:pStyle w:val="BoxSpaceBelow"/>
            </w:pPr>
          </w:p>
        </w:tc>
      </w:tr>
    </w:tbl>
    <w:bookmarkEnd w:id="24"/>
    <w:p w:rsidR="00336D7E" w:rsidRPr="001D1B1C" w:rsidRDefault="00336D7E" w:rsidP="00336D7E">
      <w:pPr>
        <w:pStyle w:val="BodyText"/>
      </w:pPr>
      <w:r w:rsidRPr="001D1B1C">
        <w:t xml:space="preserve">Aboriginal and Torres Strait Islander people died from circulatory diseases, endocrine, metabolic and nutritional disorders, cancer and respiratory diseases at higher rates than other Australians (tables </w:t>
      </w:r>
      <w:proofErr w:type="spellStart"/>
      <w:r w:rsidRPr="001D1B1C">
        <w:t>E.4</w:t>
      </w:r>
      <w:proofErr w:type="spellEnd"/>
      <w:r w:rsidRPr="001D1B1C">
        <w:t xml:space="preserve"> and </w:t>
      </w:r>
      <w:proofErr w:type="spellStart"/>
      <w:r w:rsidRPr="001D1B1C">
        <w:t>EA.57</w:t>
      </w:r>
      <w:proofErr w:type="spellEnd"/>
      <w:r w:rsidRPr="001D1B1C">
        <w:t>).</w:t>
      </w:r>
    </w:p>
    <w:p w:rsidR="00336D7E" w:rsidRPr="001D1B1C" w:rsidRDefault="00336D7E" w:rsidP="00336D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themeColor="accent1"/>
              <w:left w:val="nil"/>
              <w:bottom w:val="nil"/>
              <w:right w:val="nil"/>
            </w:tcBorders>
            <w:shd w:val="clear" w:color="auto" w:fill="auto"/>
          </w:tcPr>
          <w:p w:rsidR="00336D7E" w:rsidRPr="001D1B1C" w:rsidRDefault="00336D7E" w:rsidP="007655EF">
            <w:pPr>
              <w:pStyle w:val="TableTitle"/>
            </w:pPr>
            <w:r w:rsidRPr="001D1B1C">
              <w:rPr>
                <w:b w:val="0"/>
              </w:rPr>
              <w:t xml:space="preserve">Table </w:t>
            </w:r>
            <w:proofErr w:type="spellStart"/>
            <w:r w:rsidRPr="001D1B1C">
              <w:rPr>
                <w:b w:val="0"/>
              </w:rPr>
              <w:t>E.</w:t>
            </w:r>
            <w:r w:rsidRPr="001D1B1C">
              <w:rPr>
                <w:b w:val="0"/>
                <w:noProof/>
              </w:rPr>
              <w:t>4</w:t>
            </w:r>
            <w:proofErr w:type="spellEnd"/>
            <w:r w:rsidRPr="001D1B1C">
              <w:tab/>
              <w:t>Major cause of death by Indigenous status — rate differences and rate ratios, 2008–2012</w:t>
            </w:r>
            <w:r w:rsidR="009024CF" w:rsidRPr="001D1B1C">
              <w:rPr>
                <w:b w:val="0"/>
              </w:rPr>
              <w:t xml:space="preserve"> </w:t>
            </w:r>
            <w:r w:rsidR="009024CF" w:rsidRPr="001D1B1C">
              <w:rPr>
                <w:rStyle w:val="NoteLabel"/>
                <w:b/>
              </w:rPr>
              <w:t>a, b, c</w:t>
            </w:r>
          </w:p>
        </w:tc>
      </w:tr>
      <w:tr w:rsidR="00336D7E" w:rsidRPr="001D1B1C" w:rsidTr="007655E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459"/>
              <w:gridCol w:w="570"/>
              <w:gridCol w:w="651"/>
              <w:gridCol w:w="651"/>
              <w:gridCol w:w="651"/>
              <w:gridCol w:w="651"/>
              <w:gridCol w:w="653"/>
              <w:gridCol w:w="106"/>
              <w:gridCol w:w="539"/>
              <w:gridCol w:w="492"/>
              <w:gridCol w:w="492"/>
              <w:gridCol w:w="483"/>
              <w:gridCol w:w="469"/>
              <w:gridCol w:w="620"/>
            </w:tblGrid>
            <w:tr w:rsidR="00336D7E" w:rsidRPr="001D1B1C" w:rsidTr="005B2790">
              <w:tc>
                <w:tcPr>
                  <w:tcW w:w="1482" w:type="dxa"/>
                  <w:tcBorders>
                    <w:top w:val="single" w:sz="4" w:space="0" w:color="BFBFBF"/>
                    <w:bottom w:val="single" w:sz="4" w:space="0" w:color="BFBFBF"/>
                  </w:tcBorders>
                  <w:shd w:val="clear" w:color="auto" w:fill="auto"/>
                </w:tcPr>
                <w:p w:rsidR="00336D7E" w:rsidRPr="001D1B1C" w:rsidRDefault="00336D7E" w:rsidP="007655EF">
                  <w:pPr>
                    <w:pStyle w:val="TableColumnHeading"/>
                    <w:jc w:val="left"/>
                  </w:pPr>
                </w:p>
              </w:tc>
              <w:tc>
                <w:tcPr>
                  <w:tcW w:w="3814" w:type="dxa"/>
                  <w:gridSpan w:val="6"/>
                  <w:tcBorders>
                    <w:top w:val="single" w:sz="4" w:space="0" w:color="BFBFBF"/>
                    <w:bottom w:val="single" w:sz="4" w:space="0" w:color="BFBFBF"/>
                  </w:tcBorders>
                  <w:shd w:val="clear" w:color="auto" w:fill="FFFFFF" w:themeFill="background1"/>
                </w:tcPr>
                <w:p w:rsidR="00336D7E" w:rsidRPr="001D1B1C" w:rsidRDefault="00336D7E" w:rsidP="00C25C93">
                  <w:pPr>
                    <w:pStyle w:val="TableColumnHeading"/>
                    <w:rPr>
                      <w:b/>
                    </w:rPr>
                  </w:pPr>
                  <w:r w:rsidRPr="001D1B1C">
                    <w:rPr>
                      <w:rStyle w:val="NoteLabel"/>
                      <w:position w:val="0"/>
                    </w:rPr>
                    <w:t>Rate difference — rate for Aboriginal and Torres Strait Islander people less rate for other Australians</w:t>
                  </w:r>
                </w:p>
              </w:tc>
              <w:tc>
                <w:tcPr>
                  <w:tcW w:w="111" w:type="dxa"/>
                  <w:tcBorders>
                    <w:top w:val="single" w:sz="4" w:space="0" w:color="BFBFBF"/>
                    <w:bottom w:val="single" w:sz="4" w:space="0" w:color="BFBFBF"/>
                  </w:tcBorders>
                  <w:shd w:val="clear" w:color="auto" w:fill="FFFFFF" w:themeFill="background1"/>
                </w:tcPr>
                <w:p w:rsidR="00336D7E" w:rsidRPr="001D1B1C" w:rsidRDefault="00336D7E" w:rsidP="00C25C93">
                  <w:pPr>
                    <w:pStyle w:val="TableColumnHeading"/>
                    <w:rPr>
                      <w:b/>
                    </w:rPr>
                  </w:pPr>
                </w:p>
              </w:tc>
              <w:tc>
                <w:tcPr>
                  <w:tcW w:w="3080" w:type="dxa"/>
                  <w:gridSpan w:val="6"/>
                  <w:tcBorders>
                    <w:top w:val="single" w:sz="4" w:space="0" w:color="BFBFBF"/>
                    <w:bottom w:val="single" w:sz="4" w:space="0" w:color="BFBFBF"/>
                  </w:tcBorders>
                  <w:shd w:val="clear" w:color="auto" w:fill="FFFFFF" w:themeFill="background1"/>
                </w:tcPr>
                <w:p w:rsidR="00336D7E" w:rsidRPr="001D1B1C" w:rsidRDefault="00336D7E" w:rsidP="00C25C93">
                  <w:pPr>
                    <w:pStyle w:val="TableColumnHeading"/>
                    <w:rPr>
                      <w:rStyle w:val="NoteLabel"/>
                      <w:position w:val="0"/>
                    </w:rPr>
                  </w:pPr>
                  <w:r w:rsidRPr="001D1B1C">
                    <w:rPr>
                      <w:rStyle w:val="NoteLabel"/>
                      <w:position w:val="0"/>
                    </w:rPr>
                    <w:t>Rate ratio — rate for Aboriginal and Torres Strait Islander people divided by rate for other Australians</w:t>
                  </w:r>
                </w:p>
              </w:tc>
            </w:tr>
            <w:tr w:rsidR="00336D7E" w:rsidRPr="001D1B1C" w:rsidTr="005B2790">
              <w:tc>
                <w:tcPr>
                  <w:tcW w:w="1482" w:type="dxa"/>
                  <w:tcBorders>
                    <w:top w:val="single" w:sz="4" w:space="0" w:color="BFBFBF"/>
                  </w:tcBorders>
                  <w:vAlign w:val="center"/>
                </w:tcPr>
                <w:p w:rsidR="00336D7E" w:rsidRPr="001D1B1C" w:rsidRDefault="00336D7E" w:rsidP="007655EF">
                  <w:pPr>
                    <w:pStyle w:val="TableBodyText"/>
                    <w:jc w:val="left"/>
                    <w:rPr>
                      <w:szCs w:val="18"/>
                    </w:rPr>
                  </w:pPr>
                </w:p>
              </w:tc>
              <w:tc>
                <w:tcPr>
                  <w:tcW w:w="539" w:type="dxa"/>
                  <w:tcBorders>
                    <w:top w:val="single" w:sz="4" w:space="0" w:color="BFBFBF"/>
                  </w:tcBorders>
                  <w:vAlign w:val="bottom"/>
                </w:tcPr>
                <w:p w:rsidR="00336D7E" w:rsidRPr="001D1B1C" w:rsidRDefault="00336D7E" w:rsidP="00C25C93">
                  <w:pPr>
                    <w:pStyle w:val="TableColumnHeading"/>
                  </w:pPr>
                  <w:r w:rsidRPr="001D1B1C">
                    <w:t>NSW</w:t>
                  </w:r>
                </w:p>
              </w:tc>
              <w:tc>
                <w:tcPr>
                  <w:tcW w:w="655" w:type="dxa"/>
                  <w:tcBorders>
                    <w:top w:val="single" w:sz="4" w:space="0" w:color="BFBFBF"/>
                  </w:tcBorders>
                  <w:vAlign w:val="bottom"/>
                </w:tcPr>
                <w:p w:rsidR="00336D7E" w:rsidRPr="001D1B1C" w:rsidRDefault="00336D7E" w:rsidP="00C25C93">
                  <w:pPr>
                    <w:pStyle w:val="TableColumnHeading"/>
                  </w:pPr>
                  <w:r w:rsidRPr="001D1B1C">
                    <w:t>Qld</w:t>
                  </w:r>
                </w:p>
              </w:tc>
              <w:tc>
                <w:tcPr>
                  <w:tcW w:w="655" w:type="dxa"/>
                  <w:tcBorders>
                    <w:top w:val="single" w:sz="4" w:space="0" w:color="BFBFBF"/>
                  </w:tcBorders>
                  <w:vAlign w:val="bottom"/>
                </w:tcPr>
                <w:p w:rsidR="00336D7E" w:rsidRPr="001D1B1C" w:rsidRDefault="00336D7E" w:rsidP="00C25C93">
                  <w:pPr>
                    <w:pStyle w:val="TableColumnHeading"/>
                  </w:pPr>
                  <w:r w:rsidRPr="001D1B1C">
                    <w:t>WA</w:t>
                  </w:r>
                </w:p>
              </w:tc>
              <w:tc>
                <w:tcPr>
                  <w:tcW w:w="655" w:type="dxa"/>
                  <w:tcBorders>
                    <w:top w:val="single" w:sz="4" w:space="0" w:color="BFBFBF"/>
                  </w:tcBorders>
                  <w:vAlign w:val="bottom"/>
                </w:tcPr>
                <w:p w:rsidR="00336D7E" w:rsidRPr="001D1B1C" w:rsidRDefault="00336D7E" w:rsidP="00C25C93">
                  <w:pPr>
                    <w:pStyle w:val="TableColumnHeading"/>
                  </w:pPr>
                  <w:r w:rsidRPr="001D1B1C">
                    <w:t>SA</w:t>
                  </w:r>
                </w:p>
              </w:tc>
              <w:tc>
                <w:tcPr>
                  <w:tcW w:w="655" w:type="dxa"/>
                  <w:tcBorders>
                    <w:top w:val="single" w:sz="4" w:space="0" w:color="BFBFBF"/>
                  </w:tcBorders>
                  <w:shd w:val="clear" w:color="auto" w:fill="auto"/>
                  <w:vAlign w:val="bottom"/>
                </w:tcPr>
                <w:p w:rsidR="00336D7E" w:rsidRPr="001D1B1C" w:rsidRDefault="00336D7E" w:rsidP="00C25C93">
                  <w:pPr>
                    <w:pStyle w:val="TableColumnHeading"/>
                  </w:pPr>
                  <w:r w:rsidRPr="001D1B1C">
                    <w:t>NT</w:t>
                  </w:r>
                </w:p>
              </w:tc>
              <w:tc>
                <w:tcPr>
                  <w:tcW w:w="655" w:type="dxa"/>
                  <w:tcBorders>
                    <w:top w:val="single" w:sz="4" w:space="0" w:color="BFBFBF"/>
                  </w:tcBorders>
                  <w:shd w:val="clear" w:color="auto" w:fill="auto"/>
                  <w:vAlign w:val="bottom"/>
                </w:tcPr>
                <w:p w:rsidR="00336D7E" w:rsidRPr="001D1B1C" w:rsidRDefault="00336D7E" w:rsidP="00C25C93">
                  <w:pPr>
                    <w:pStyle w:val="TableColumnHeading"/>
                  </w:pPr>
                  <w:r w:rsidRPr="001D1B1C">
                    <w:t>Total</w:t>
                  </w:r>
                  <w:r w:rsidRPr="001D1B1C">
                    <w:rPr>
                      <w:rStyle w:val="NoteLabel"/>
                      <w:i w:val="0"/>
                    </w:rPr>
                    <w:t>c</w:t>
                  </w:r>
                </w:p>
              </w:tc>
              <w:tc>
                <w:tcPr>
                  <w:tcW w:w="111" w:type="dxa"/>
                  <w:tcBorders>
                    <w:top w:val="single" w:sz="4" w:space="0" w:color="BFBFBF"/>
                  </w:tcBorders>
                  <w:vAlign w:val="bottom"/>
                </w:tcPr>
                <w:p w:rsidR="00336D7E" w:rsidRPr="001D1B1C" w:rsidRDefault="00336D7E" w:rsidP="00C25C93">
                  <w:pPr>
                    <w:pStyle w:val="TableColumnHeading"/>
                  </w:pPr>
                </w:p>
              </w:tc>
              <w:tc>
                <w:tcPr>
                  <w:tcW w:w="539" w:type="dxa"/>
                  <w:tcBorders>
                    <w:top w:val="single" w:sz="4" w:space="0" w:color="BFBFBF"/>
                  </w:tcBorders>
                  <w:vAlign w:val="bottom"/>
                </w:tcPr>
                <w:p w:rsidR="00336D7E" w:rsidRPr="001D1B1C" w:rsidRDefault="00336D7E" w:rsidP="00C25C93">
                  <w:pPr>
                    <w:pStyle w:val="TableColumnHeading"/>
                  </w:pPr>
                  <w:r w:rsidRPr="001D1B1C">
                    <w:t>NSW</w:t>
                  </w:r>
                </w:p>
              </w:tc>
              <w:tc>
                <w:tcPr>
                  <w:tcW w:w="496" w:type="dxa"/>
                  <w:tcBorders>
                    <w:top w:val="single" w:sz="4" w:space="0" w:color="BFBFBF"/>
                  </w:tcBorders>
                  <w:vAlign w:val="bottom"/>
                </w:tcPr>
                <w:p w:rsidR="00336D7E" w:rsidRPr="001D1B1C" w:rsidRDefault="00336D7E" w:rsidP="00C25C93">
                  <w:pPr>
                    <w:pStyle w:val="TableColumnHeading"/>
                  </w:pPr>
                  <w:r w:rsidRPr="001D1B1C">
                    <w:t>Qld</w:t>
                  </w:r>
                </w:p>
              </w:tc>
              <w:tc>
                <w:tcPr>
                  <w:tcW w:w="496" w:type="dxa"/>
                  <w:tcBorders>
                    <w:top w:val="single" w:sz="4" w:space="0" w:color="BFBFBF"/>
                  </w:tcBorders>
                  <w:shd w:val="clear" w:color="auto" w:fill="auto"/>
                  <w:vAlign w:val="bottom"/>
                </w:tcPr>
                <w:p w:rsidR="00336D7E" w:rsidRPr="001D1B1C" w:rsidRDefault="00336D7E" w:rsidP="00C25C93">
                  <w:pPr>
                    <w:pStyle w:val="TableColumnHeading"/>
                  </w:pPr>
                  <w:r w:rsidRPr="001D1B1C">
                    <w:t>WA</w:t>
                  </w:r>
                </w:p>
              </w:tc>
              <w:tc>
                <w:tcPr>
                  <w:tcW w:w="489" w:type="dxa"/>
                  <w:tcBorders>
                    <w:top w:val="single" w:sz="4" w:space="0" w:color="BFBFBF"/>
                  </w:tcBorders>
                  <w:shd w:val="clear" w:color="auto" w:fill="auto"/>
                  <w:vAlign w:val="bottom"/>
                </w:tcPr>
                <w:p w:rsidR="00336D7E" w:rsidRPr="001D1B1C" w:rsidRDefault="00336D7E" w:rsidP="00C25C93">
                  <w:pPr>
                    <w:pStyle w:val="TableColumnHeading"/>
                  </w:pPr>
                  <w:r w:rsidRPr="001D1B1C">
                    <w:t>SA</w:t>
                  </w:r>
                </w:p>
              </w:tc>
              <w:tc>
                <w:tcPr>
                  <w:tcW w:w="474" w:type="dxa"/>
                  <w:tcBorders>
                    <w:top w:val="single" w:sz="4" w:space="0" w:color="BFBFBF"/>
                  </w:tcBorders>
                  <w:shd w:val="clear" w:color="auto" w:fill="auto"/>
                  <w:vAlign w:val="bottom"/>
                </w:tcPr>
                <w:p w:rsidR="00336D7E" w:rsidRPr="001D1B1C" w:rsidRDefault="00336D7E" w:rsidP="00C25C93">
                  <w:pPr>
                    <w:pStyle w:val="TableColumnHeading"/>
                  </w:pPr>
                  <w:r w:rsidRPr="001D1B1C">
                    <w:t>NT</w:t>
                  </w:r>
                </w:p>
              </w:tc>
              <w:tc>
                <w:tcPr>
                  <w:tcW w:w="586" w:type="dxa"/>
                  <w:tcBorders>
                    <w:top w:val="single" w:sz="4" w:space="0" w:color="BFBFBF"/>
                  </w:tcBorders>
                  <w:shd w:val="clear" w:color="auto" w:fill="auto"/>
                  <w:vAlign w:val="bottom"/>
                </w:tcPr>
                <w:p w:rsidR="00336D7E" w:rsidRPr="001D1B1C" w:rsidRDefault="00336D7E" w:rsidP="00C25C93">
                  <w:pPr>
                    <w:pStyle w:val="TableColumnHeading"/>
                  </w:pPr>
                  <w:r w:rsidRPr="001D1B1C">
                    <w:t>Total</w:t>
                  </w:r>
                  <w:r w:rsidR="001D1B1C" w:rsidRPr="001D1B1C">
                    <w:rPr>
                      <w:rStyle w:val="NoteLabel"/>
                      <w:i w:val="0"/>
                    </w:rPr>
                    <w:t>c</w:t>
                  </w:r>
                </w:p>
              </w:tc>
            </w:tr>
            <w:tr w:rsidR="00336D7E" w:rsidRPr="001D1B1C" w:rsidTr="005B2790">
              <w:tc>
                <w:tcPr>
                  <w:tcW w:w="1482" w:type="dxa"/>
                  <w:shd w:val="clear" w:color="auto" w:fill="auto"/>
                </w:tcPr>
                <w:p w:rsidR="00336D7E" w:rsidRPr="001D1B1C" w:rsidRDefault="00336D7E" w:rsidP="007655EF">
                  <w:pPr>
                    <w:pStyle w:val="TableBodyText"/>
                    <w:ind w:right="-108"/>
                    <w:jc w:val="left"/>
                    <w:rPr>
                      <w:snapToGrid w:val="0"/>
                      <w:szCs w:val="18"/>
                      <w:lang w:val="en-US"/>
                    </w:rPr>
                  </w:pPr>
                  <w:r w:rsidRPr="001D1B1C">
                    <w:rPr>
                      <w:snapToGrid w:val="0"/>
                      <w:szCs w:val="18"/>
                      <w:lang w:val="en-US"/>
                    </w:rPr>
                    <w:t>Circulatory diseases</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62.0</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79.0</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211.9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33.3</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176.8</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93.9</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1.3</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1.4</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2.3</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1.2</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2.1</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1.5</w:t>
                  </w:r>
                </w:p>
              </w:tc>
            </w:tr>
            <w:tr w:rsidR="00336D7E" w:rsidRPr="001D1B1C" w:rsidTr="005B2790">
              <w:tc>
                <w:tcPr>
                  <w:tcW w:w="1482" w:type="dxa"/>
                  <w:shd w:val="clear" w:color="auto" w:fill="auto"/>
                </w:tcPr>
                <w:p w:rsidR="00336D7E" w:rsidRPr="001D1B1C" w:rsidRDefault="00336D7E" w:rsidP="007655EF">
                  <w:pPr>
                    <w:pStyle w:val="TableBodyText"/>
                    <w:ind w:right="-108"/>
                    <w:jc w:val="left"/>
                    <w:rPr>
                      <w:snapToGrid w:val="0"/>
                      <w:szCs w:val="18"/>
                      <w:lang w:val="en-US"/>
                    </w:rPr>
                  </w:pPr>
                  <w:r w:rsidRPr="001D1B1C">
                    <w:rPr>
                      <w:snapToGrid w:val="0"/>
                      <w:szCs w:val="18"/>
                      <w:lang w:val="en-US"/>
                    </w:rPr>
                    <w:t>Cancer</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17.9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48.9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81.1</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23.2</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119.1</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46.2</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1.1</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1.3</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1.5</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0.9</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1.6</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1.3</w:t>
                  </w:r>
                </w:p>
              </w:tc>
            </w:tr>
            <w:tr w:rsidR="00336D7E" w:rsidRPr="001D1B1C" w:rsidTr="005B2790">
              <w:trPr>
                <w:trHeight w:val="306"/>
              </w:trPr>
              <w:tc>
                <w:tcPr>
                  <w:tcW w:w="1482" w:type="dxa"/>
                  <w:shd w:val="clear" w:color="auto" w:fill="auto"/>
                  <w:vAlign w:val="bottom"/>
                </w:tcPr>
                <w:p w:rsidR="00336D7E" w:rsidRPr="001D1B1C" w:rsidRDefault="00336D7E" w:rsidP="007655EF">
                  <w:pPr>
                    <w:pStyle w:val="TableBodyText"/>
                    <w:spacing w:afterLines="40" w:after="96"/>
                    <w:jc w:val="left"/>
                    <w:rPr>
                      <w:snapToGrid w:val="0"/>
                      <w:szCs w:val="18"/>
                      <w:lang w:val="en-US"/>
                    </w:rPr>
                  </w:pPr>
                  <w:r w:rsidRPr="001D1B1C">
                    <w:rPr>
                      <w:snapToGrid w:val="0"/>
                      <w:szCs w:val="18"/>
                      <w:lang w:val="en-US"/>
                    </w:rPr>
                    <w:t xml:space="preserve">External causes </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16.4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19.4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78.2</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45.1</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63.9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37.0</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1.5</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1.5</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2.9</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2.2</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2.1</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2.0</w:t>
                  </w:r>
                </w:p>
              </w:tc>
            </w:tr>
            <w:tr w:rsidR="00336D7E" w:rsidRPr="001D1B1C" w:rsidTr="005B2790">
              <w:tc>
                <w:tcPr>
                  <w:tcW w:w="1482" w:type="dxa"/>
                  <w:shd w:val="clear" w:color="auto" w:fill="auto"/>
                  <w:vAlign w:val="bottom"/>
                </w:tcPr>
                <w:p w:rsidR="00336D7E" w:rsidRPr="001D1B1C" w:rsidRDefault="00336D7E" w:rsidP="007655EF">
                  <w:pPr>
                    <w:pStyle w:val="TableBodyText"/>
                    <w:spacing w:afterLines="40" w:after="96"/>
                    <w:jc w:val="left"/>
                    <w:rPr>
                      <w:snapToGrid w:val="0"/>
                      <w:szCs w:val="18"/>
                      <w:lang w:val="en-US"/>
                    </w:rPr>
                  </w:pPr>
                  <w:r w:rsidRPr="001D1B1C">
                    <w:rPr>
                      <w:snapToGrid w:val="0"/>
                      <w:szCs w:val="18"/>
                      <w:lang w:val="en-US"/>
                    </w:rPr>
                    <w:t>Endocrine and other disorders</w:t>
                  </w:r>
                  <w:r w:rsidR="001D1B1C" w:rsidRPr="001D1B1C">
                    <w:rPr>
                      <w:rStyle w:val="NoteLabel"/>
                      <w:rFonts w:asciiTheme="majorHAnsi" w:hAnsiTheme="majorHAnsi" w:cstheme="majorHAnsi"/>
                      <w:szCs w:val="18"/>
                    </w:rPr>
                    <w:t>d</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35.7</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83.3</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138.0</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37.2</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179.6</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80.6</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2.7</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4.5</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6.8</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2.5</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6.9</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4.6</w:t>
                  </w:r>
                </w:p>
              </w:tc>
            </w:tr>
            <w:tr w:rsidR="00336D7E" w:rsidRPr="001D1B1C" w:rsidTr="005B2790">
              <w:tc>
                <w:tcPr>
                  <w:tcW w:w="1482" w:type="dxa"/>
                  <w:shd w:val="clear" w:color="auto" w:fill="auto"/>
                </w:tcPr>
                <w:p w:rsidR="00336D7E" w:rsidRPr="001D1B1C" w:rsidRDefault="00336D7E" w:rsidP="007655EF">
                  <w:pPr>
                    <w:pStyle w:val="TableBodyText"/>
                    <w:ind w:right="-108"/>
                    <w:jc w:val="left"/>
                    <w:rPr>
                      <w:snapToGrid w:val="0"/>
                      <w:szCs w:val="18"/>
                      <w:lang w:val="en-US"/>
                    </w:rPr>
                  </w:pPr>
                  <w:r w:rsidRPr="001D1B1C">
                    <w:rPr>
                      <w:snapToGrid w:val="0"/>
                      <w:szCs w:val="18"/>
                      <w:lang w:val="en-US"/>
                    </w:rPr>
                    <w:t xml:space="preserve">Respiratory diseases </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37.9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35.0</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61.7</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28.7</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92.7</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46.5</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1.7</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1.7</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2.4</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1.6</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2.6</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1.9</w:t>
                  </w:r>
                </w:p>
              </w:tc>
            </w:tr>
            <w:tr w:rsidR="00336D7E" w:rsidRPr="001D1B1C" w:rsidTr="005B2790">
              <w:tc>
                <w:tcPr>
                  <w:tcW w:w="1482" w:type="dxa"/>
                  <w:shd w:val="clear" w:color="auto" w:fill="auto"/>
                </w:tcPr>
                <w:p w:rsidR="00336D7E" w:rsidRPr="001D1B1C" w:rsidRDefault="00336D7E" w:rsidP="007655EF">
                  <w:pPr>
                    <w:pStyle w:val="TableBodyText"/>
                    <w:ind w:right="-108"/>
                    <w:jc w:val="left"/>
                    <w:rPr>
                      <w:snapToGrid w:val="0"/>
                      <w:szCs w:val="18"/>
                      <w:lang w:val="en-US"/>
                    </w:rPr>
                  </w:pPr>
                  <w:r w:rsidRPr="001D1B1C">
                    <w:rPr>
                      <w:snapToGrid w:val="0"/>
                      <w:szCs w:val="18"/>
                      <w:lang w:val="en-US"/>
                    </w:rPr>
                    <w:t>Digestive diseases</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9.3</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29.5</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39.2</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34.9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54.4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26.9</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1.4</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2.4</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3.0</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2.7</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3.2</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2.3</w:t>
                  </w:r>
                </w:p>
              </w:tc>
            </w:tr>
            <w:tr w:rsidR="00336D7E" w:rsidRPr="001D1B1C" w:rsidTr="005B2790">
              <w:tc>
                <w:tcPr>
                  <w:tcW w:w="1482" w:type="dxa"/>
                  <w:shd w:val="clear" w:color="auto" w:fill="auto"/>
                </w:tcPr>
                <w:p w:rsidR="00336D7E" w:rsidRPr="001D1B1C" w:rsidRDefault="00336D7E" w:rsidP="007655EF">
                  <w:pPr>
                    <w:pStyle w:val="TableBodyText"/>
                    <w:ind w:right="-108"/>
                    <w:jc w:val="left"/>
                    <w:rPr>
                      <w:snapToGrid w:val="0"/>
                      <w:szCs w:val="18"/>
                      <w:lang w:val="en-US"/>
                    </w:rPr>
                  </w:pPr>
                  <w:r w:rsidRPr="001D1B1C">
                    <w:rPr>
                      <w:snapToGrid w:val="0"/>
                      <w:szCs w:val="18"/>
                      <w:lang w:val="en-US"/>
                    </w:rPr>
                    <w:t xml:space="preserve">Kidney diseases </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8.8</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15.2</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29.4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np</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53.4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18.4</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1.8</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2.6</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3.9</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np</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6.4</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2.6</w:t>
                  </w:r>
                </w:p>
              </w:tc>
            </w:tr>
            <w:tr w:rsidR="00336D7E" w:rsidRPr="001D1B1C" w:rsidTr="005B2790">
              <w:trPr>
                <w:trHeight w:val="618"/>
              </w:trPr>
              <w:tc>
                <w:tcPr>
                  <w:tcW w:w="1482" w:type="dxa"/>
                  <w:shd w:val="clear" w:color="auto" w:fill="auto"/>
                  <w:vAlign w:val="bottom"/>
                </w:tcPr>
                <w:p w:rsidR="00336D7E" w:rsidRPr="001D1B1C" w:rsidRDefault="00336D7E" w:rsidP="007655EF">
                  <w:pPr>
                    <w:pStyle w:val="TableBodyText"/>
                    <w:spacing w:afterLines="40" w:after="96"/>
                    <w:jc w:val="left"/>
                    <w:rPr>
                      <w:snapToGrid w:val="0"/>
                      <w:szCs w:val="18"/>
                      <w:lang w:val="en-US"/>
                    </w:rPr>
                  </w:pPr>
                  <w:r w:rsidRPr="001D1B1C">
                    <w:rPr>
                      <w:snapToGrid w:val="0"/>
                      <w:szCs w:val="18"/>
                      <w:lang w:val="en-US"/>
                    </w:rPr>
                    <w:t xml:space="preserve">Conditions originating in the perinatal period </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0.1</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2.5</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np</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6.6</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1.7</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1.0</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1.5</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2.6</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np</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3.4</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1.7</w:t>
                  </w:r>
                </w:p>
              </w:tc>
            </w:tr>
            <w:tr w:rsidR="00336D7E" w:rsidRPr="001D1B1C" w:rsidTr="005B2790">
              <w:trPr>
                <w:trHeight w:val="585"/>
              </w:trPr>
              <w:tc>
                <w:tcPr>
                  <w:tcW w:w="1482" w:type="dxa"/>
                  <w:shd w:val="clear" w:color="auto" w:fill="auto"/>
                  <w:vAlign w:val="bottom"/>
                </w:tcPr>
                <w:p w:rsidR="00336D7E" w:rsidRPr="001D1B1C" w:rsidRDefault="00336D7E" w:rsidP="007655EF">
                  <w:pPr>
                    <w:pStyle w:val="TableBodyText"/>
                    <w:spacing w:afterLines="40" w:after="96"/>
                    <w:jc w:val="left"/>
                    <w:rPr>
                      <w:snapToGrid w:val="0"/>
                      <w:szCs w:val="18"/>
                      <w:lang w:val="en-US"/>
                    </w:rPr>
                  </w:pPr>
                  <w:r w:rsidRPr="001D1B1C">
                    <w:rPr>
                      <w:snapToGrid w:val="0"/>
                      <w:szCs w:val="18"/>
                      <w:lang w:val="en-US"/>
                    </w:rPr>
                    <w:t xml:space="preserve">Infectious and parasitic diseases </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4.1</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11.4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15.9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11.6</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18.6</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10.2</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1.4</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2.6</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3.1</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2.2</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2.4</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2.1</w:t>
                  </w:r>
                </w:p>
              </w:tc>
            </w:tr>
            <w:tr w:rsidR="00336D7E" w:rsidRPr="001D1B1C" w:rsidTr="005B2790">
              <w:tc>
                <w:tcPr>
                  <w:tcW w:w="1482" w:type="dxa"/>
                  <w:shd w:val="clear" w:color="auto" w:fill="auto"/>
                  <w:vAlign w:val="bottom"/>
                </w:tcPr>
                <w:p w:rsidR="00336D7E" w:rsidRPr="001D1B1C" w:rsidRDefault="00336D7E" w:rsidP="007655EF">
                  <w:pPr>
                    <w:pStyle w:val="TableBodyText"/>
                    <w:spacing w:afterLines="40" w:after="96"/>
                    <w:jc w:val="left"/>
                    <w:rPr>
                      <w:snapToGrid w:val="0"/>
                      <w:szCs w:val="18"/>
                      <w:lang w:val="en-US"/>
                    </w:rPr>
                  </w:pPr>
                  <w:r w:rsidRPr="001D1B1C">
                    <w:rPr>
                      <w:snapToGrid w:val="0"/>
                      <w:szCs w:val="18"/>
                      <w:lang w:val="en-US"/>
                    </w:rPr>
                    <w:t xml:space="preserve">Nervous system diseases </w:t>
                  </w: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6.3</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2.1</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5.4</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3.7</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0.9</w:t>
                  </w:r>
                </w:p>
              </w:tc>
              <w:tc>
                <w:tcPr>
                  <w:tcW w:w="655"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1.8</w:t>
                  </w:r>
                </w:p>
              </w:tc>
              <w:tc>
                <w:tcPr>
                  <w:tcW w:w="111" w:type="dxa"/>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0.7</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0.9</w:t>
                  </w:r>
                </w:p>
              </w:tc>
              <w:tc>
                <w:tcPr>
                  <w:tcW w:w="49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1.2</w:t>
                  </w:r>
                </w:p>
              </w:tc>
              <w:tc>
                <w:tcPr>
                  <w:tcW w:w="489"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1.1</w:t>
                  </w:r>
                </w:p>
              </w:tc>
              <w:tc>
                <w:tcPr>
                  <w:tcW w:w="474"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1.0</w:t>
                  </w:r>
                </w:p>
              </w:tc>
              <w:tc>
                <w:tcPr>
                  <w:tcW w:w="586" w:type="dxa"/>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0.9</w:t>
                  </w:r>
                </w:p>
              </w:tc>
            </w:tr>
            <w:tr w:rsidR="00336D7E" w:rsidRPr="001D1B1C" w:rsidTr="005B2790">
              <w:tc>
                <w:tcPr>
                  <w:tcW w:w="1482" w:type="dxa"/>
                  <w:tcBorders>
                    <w:bottom w:val="single" w:sz="4" w:space="0" w:color="BFBFBF"/>
                  </w:tcBorders>
                  <w:shd w:val="clear" w:color="auto" w:fill="auto"/>
                </w:tcPr>
                <w:p w:rsidR="00336D7E" w:rsidRPr="001D1B1C" w:rsidRDefault="00336D7E" w:rsidP="007655EF">
                  <w:pPr>
                    <w:pStyle w:val="TableBodyText"/>
                    <w:ind w:right="-108"/>
                    <w:jc w:val="left"/>
                    <w:rPr>
                      <w:snapToGrid w:val="0"/>
                      <w:szCs w:val="18"/>
                      <w:lang w:val="en-US"/>
                    </w:rPr>
                  </w:pPr>
                  <w:r w:rsidRPr="001D1B1C">
                    <w:rPr>
                      <w:snapToGrid w:val="0"/>
                      <w:szCs w:val="18"/>
                      <w:lang w:val="en-US"/>
                    </w:rPr>
                    <w:t>Other causes</w:t>
                  </w:r>
                </w:p>
              </w:tc>
              <w:tc>
                <w:tcPr>
                  <w:tcW w:w="539"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10.1</w:t>
                  </w:r>
                </w:p>
              </w:tc>
              <w:tc>
                <w:tcPr>
                  <w:tcW w:w="655"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24.9</w:t>
                  </w:r>
                </w:p>
              </w:tc>
              <w:tc>
                <w:tcPr>
                  <w:tcW w:w="655"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64.7</w:t>
                  </w:r>
                </w:p>
              </w:tc>
              <w:tc>
                <w:tcPr>
                  <w:tcW w:w="655"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12.6</w:t>
                  </w:r>
                </w:p>
              </w:tc>
              <w:tc>
                <w:tcPr>
                  <w:tcW w:w="655"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74.5</w:t>
                  </w:r>
                </w:p>
              </w:tc>
              <w:tc>
                <w:tcPr>
                  <w:tcW w:w="655"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29.4</w:t>
                  </w:r>
                </w:p>
              </w:tc>
              <w:tc>
                <w:tcPr>
                  <w:tcW w:w="111" w:type="dxa"/>
                  <w:tcBorders>
                    <w:bottom w:val="single" w:sz="4" w:space="0" w:color="BFBFBF"/>
                  </w:tcBorders>
                  <w:shd w:val="clear" w:color="auto" w:fill="auto"/>
                  <w:vAlign w:val="bottom"/>
                </w:tcPr>
                <w:p w:rsidR="00336D7E" w:rsidRPr="001D1B1C" w:rsidRDefault="00336D7E" w:rsidP="007655EF">
                  <w:pPr>
                    <w:pStyle w:val="TableBodyText"/>
                    <w:spacing w:afterLines="40" w:after="96"/>
                    <w:rPr>
                      <w:rFonts w:cs="Arial"/>
                      <w:szCs w:val="18"/>
                      <w:shd w:val="clear" w:color="auto" w:fill="FF7F7F" w:themeFill="accent6" w:themeFillTint="66"/>
                    </w:rPr>
                  </w:pPr>
                </w:p>
              </w:tc>
              <w:tc>
                <w:tcPr>
                  <w:tcW w:w="539"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1.2</w:t>
                  </w:r>
                </w:p>
              </w:tc>
              <w:tc>
                <w:tcPr>
                  <w:tcW w:w="496"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1.6</w:t>
                  </w:r>
                </w:p>
              </w:tc>
              <w:tc>
                <w:tcPr>
                  <w:tcW w:w="496"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2.5</w:t>
                  </w:r>
                </w:p>
              </w:tc>
              <w:tc>
                <w:tcPr>
                  <w:tcW w:w="489"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1.2</w:t>
                  </w:r>
                </w:p>
              </w:tc>
              <w:tc>
                <w:tcPr>
                  <w:tcW w:w="474"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2.5</w:t>
                  </w:r>
                </w:p>
              </w:tc>
              <w:tc>
                <w:tcPr>
                  <w:tcW w:w="586" w:type="dxa"/>
                  <w:tcBorders>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sz w:val="18"/>
                      <w:szCs w:val="18"/>
                    </w:rPr>
                  </w:pPr>
                  <w:r w:rsidRPr="001D1B1C">
                    <w:rPr>
                      <w:rFonts w:ascii="Arial" w:hAnsi="Arial" w:cs="Arial"/>
                      <w:sz w:val="18"/>
                      <w:szCs w:val="18"/>
                    </w:rPr>
                    <w:t xml:space="preserve">  1.6</w:t>
                  </w:r>
                </w:p>
              </w:tc>
            </w:tr>
            <w:tr w:rsidR="00336D7E" w:rsidRPr="001D1B1C" w:rsidTr="005B2790">
              <w:trPr>
                <w:trHeight w:val="249"/>
              </w:trPr>
              <w:tc>
                <w:tcPr>
                  <w:tcW w:w="1482" w:type="dxa"/>
                  <w:tcBorders>
                    <w:top w:val="single" w:sz="4" w:space="0" w:color="BFBFBF"/>
                    <w:bottom w:val="single" w:sz="4" w:space="0" w:color="BFBFBF"/>
                  </w:tcBorders>
                  <w:shd w:val="clear" w:color="auto" w:fill="auto"/>
                  <w:vAlign w:val="bottom"/>
                </w:tcPr>
                <w:p w:rsidR="00336D7E" w:rsidRPr="001D1B1C" w:rsidRDefault="00336D7E" w:rsidP="007655EF">
                  <w:pPr>
                    <w:pStyle w:val="TableBodyText"/>
                    <w:ind w:right="0"/>
                    <w:jc w:val="left"/>
                    <w:rPr>
                      <w:b/>
                      <w:szCs w:val="18"/>
                    </w:rPr>
                  </w:pPr>
                  <w:r w:rsidRPr="001D1B1C">
                    <w:rPr>
                      <w:b/>
                      <w:szCs w:val="18"/>
                    </w:rPr>
                    <w:t>All causes</w:t>
                  </w:r>
                </w:p>
              </w:tc>
              <w:tc>
                <w:tcPr>
                  <w:tcW w:w="539"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196.1</w:t>
                  </w:r>
                </w:p>
              </w:tc>
              <w:tc>
                <w:tcPr>
                  <w:tcW w:w="655"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345.9</w:t>
                  </w:r>
                </w:p>
              </w:tc>
              <w:tc>
                <w:tcPr>
                  <w:tcW w:w="655"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728.0</w:t>
                  </w:r>
                </w:p>
              </w:tc>
              <w:tc>
                <w:tcPr>
                  <w:tcW w:w="655"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195.5</w:t>
                  </w:r>
                </w:p>
              </w:tc>
              <w:tc>
                <w:tcPr>
                  <w:tcW w:w="655"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841.0</w:t>
                  </w:r>
                </w:p>
              </w:tc>
              <w:tc>
                <w:tcPr>
                  <w:tcW w:w="655"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388.9</w:t>
                  </w:r>
                </w:p>
              </w:tc>
              <w:tc>
                <w:tcPr>
                  <w:tcW w:w="111" w:type="dxa"/>
                  <w:tcBorders>
                    <w:top w:val="single" w:sz="4" w:space="0" w:color="BFBFBF"/>
                    <w:bottom w:val="single" w:sz="4" w:space="0" w:color="BFBFBF"/>
                  </w:tcBorders>
                  <w:shd w:val="clear" w:color="auto" w:fill="auto"/>
                  <w:vAlign w:val="bottom"/>
                </w:tcPr>
                <w:p w:rsidR="00336D7E" w:rsidRPr="001D1B1C" w:rsidRDefault="00336D7E" w:rsidP="007655EF">
                  <w:pPr>
                    <w:pStyle w:val="TableBodyText"/>
                    <w:spacing w:afterLines="40" w:after="96"/>
                    <w:rPr>
                      <w:rFonts w:cs="Arial"/>
                      <w:b/>
                      <w:szCs w:val="18"/>
                      <w:shd w:val="clear" w:color="auto" w:fill="FF7F7F" w:themeFill="accent6" w:themeFillTint="66"/>
                    </w:rPr>
                  </w:pPr>
                </w:p>
              </w:tc>
              <w:tc>
                <w:tcPr>
                  <w:tcW w:w="539"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1.3</w:t>
                  </w:r>
                </w:p>
              </w:tc>
              <w:tc>
                <w:tcPr>
                  <w:tcW w:w="496"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1.6</w:t>
                  </w:r>
                </w:p>
              </w:tc>
              <w:tc>
                <w:tcPr>
                  <w:tcW w:w="496"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2.3</w:t>
                  </w:r>
                </w:p>
              </w:tc>
              <w:tc>
                <w:tcPr>
                  <w:tcW w:w="489"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1.3</w:t>
                  </w:r>
                </w:p>
              </w:tc>
              <w:tc>
                <w:tcPr>
                  <w:tcW w:w="474"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2.3</w:t>
                  </w:r>
                </w:p>
              </w:tc>
              <w:tc>
                <w:tcPr>
                  <w:tcW w:w="586" w:type="dxa"/>
                  <w:tcBorders>
                    <w:top w:val="single" w:sz="4" w:space="0" w:color="BFBFBF"/>
                    <w:bottom w:val="single" w:sz="4" w:space="0" w:color="BFBFBF"/>
                  </w:tcBorders>
                  <w:shd w:val="clear" w:color="auto" w:fill="auto"/>
                  <w:vAlign w:val="bottom"/>
                </w:tcPr>
                <w:p w:rsidR="00336D7E" w:rsidRPr="001D1B1C" w:rsidRDefault="00336D7E" w:rsidP="007655EF">
                  <w:pPr>
                    <w:spacing w:afterLines="40" w:after="96" w:line="200" w:lineRule="atLeast"/>
                    <w:ind w:left="6" w:right="113"/>
                    <w:jc w:val="right"/>
                    <w:rPr>
                      <w:rFonts w:ascii="Arial" w:hAnsi="Arial" w:cs="Arial"/>
                      <w:b/>
                      <w:bCs/>
                      <w:sz w:val="18"/>
                      <w:szCs w:val="18"/>
                    </w:rPr>
                  </w:pPr>
                  <w:r w:rsidRPr="001D1B1C">
                    <w:rPr>
                      <w:rFonts w:ascii="Arial" w:hAnsi="Arial" w:cs="Arial"/>
                      <w:b/>
                      <w:bCs/>
                      <w:sz w:val="18"/>
                      <w:szCs w:val="18"/>
                    </w:rPr>
                    <w:t xml:space="preserve">  1.7</w:t>
                  </w:r>
                </w:p>
              </w:tc>
            </w:tr>
          </w:tbl>
          <w:p w:rsidR="00336D7E" w:rsidRPr="001D1B1C" w:rsidRDefault="00336D7E" w:rsidP="007655EF">
            <w:pPr>
              <w:pStyle w:val="Box"/>
            </w:pPr>
          </w:p>
        </w:tc>
      </w:tr>
      <w:tr w:rsidR="00336D7E" w:rsidRPr="001D1B1C" w:rsidTr="007655EF">
        <w:trPr>
          <w:cantSplit/>
        </w:trPr>
        <w:tc>
          <w:tcPr>
            <w:tcW w:w="8771" w:type="dxa"/>
            <w:tcBorders>
              <w:top w:val="nil"/>
              <w:left w:val="nil"/>
              <w:bottom w:val="nil"/>
              <w:right w:val="nil"/>
            </w:tcBorders>
            <w:shd w:val="clear" w:color="auto" w:fill="auto"/>
          </w:tcPr>
          <w:p w:rsidR="00336D7E" w:rsidRPr="001D1B1C" w:rsidRDefault="00336D7E" w:rsidP="007655EF">
            <w:pPr>
              <w:pStyle w:val="Note"/>
            </w:pPr>
            <w:proofErr w:type="spellStart"/>
            <w:r w:rsidRPr="001D1B1C">
              <w:rPr>
                <w:rStyle w:val="NoteLabel"/>
              </w:rPr>
              <w:t>a</w:t>
            </w:r>
            <w:proofErr w:type="spellEnd"/>
            <w:r w:rsidRPr="001D1B1C">
              <w:sym w:font="Symbol" w:char="F020"/>
            </w:r>
            <w:r w:rsidRPr="001D1B1C">
              <w:t>All causes of death data from 2006 onward are subject to a revisions process - once data for a reference year are 'final', they are no longer revised. Affected data in this table are: 2008</w:t>
            </w:r>
            <w:r w:rsidRPr="001D1B1C">
              <w:rPr>
                <w:rFonts w:ascii="Lucida Sans" w:hAnsi="Lucida Sans"/>
              </w:rPr>
              <w:t>–</w:t>
            </w:r>
            <w:r w:rsidRPr="001D1B1C">
              <w:t>2010 (final), 2011 (revised) and 2012 (preliminary). See data quality information (</w:t>
            </w:r>
            <w:proofErr w:type="spellStart"/>
            <w:r w:rsidRPr="001D1B1C">
              <w:t>DQI</w:t>
            </w:r>
            <w:proofErr w:type="spellEnd"/>
            <w:r w:rsidRPr="001D1B1C">
              <w:t xml:space="preserve">) for further information. </w:t>
            </w:r>
            <w:r w:rsidRPr="001D1B1C">
              <w:rPr>
                <w:rStyle w:val="NoteLabel"/>
              </w:rPr>
              <w:t>b</w:t>
            </w:r>
            <w:r w:rsidRPr="001D1B1C">
              <w:t xml:space="preserve"> Rate differences and rate ratios are derived from mortality rates data (reported in table </w:t>
            </w:r>
            <w:proofErr w:type="spellStart"/>
            <w:r w:rsidRPr="001D1B1C">
              <w:t>EA.57</w:t>
            </w:r>
            <w:proofErr w:type="spellEnd"/>
            <w:r w:rsidRPr="001D1B1C">
              <w:t xml:space="preserve">) that are age standardised (using the direct method) to the Australian population as at 30 June 2001. </w:t>
            </w:r>
            <w:r w:rsidRPr="001D1B1C">
              <w:rPr>
                <w:rStyle w:val="NoteLabel"/>
              </w:rPr>
              <w:t>c</w:t>
            </w:r>
            <w:r w:rsidRPr="001D1B1C">
              <w:sym w:font="Symbol" w:char="F020"/>
            </w:r>
            <w:r w:rsidRPr="001D1B1C">
              <w:t xml:space="preserve">Data are reported by jurisdiction of residence only for jurisdictions with a sufficient number and sufficient level of identification of Aboriginal and Torres Strait Islander deaths to support mortality analysis — NSW, Queensland, WA, SA and the NT. Total includes data only for those jurisdictions. </w:t>
            </w:r>
            <w:r w:rsidRPr="001D1B1C">
              <w:rPr>
                <w:rStyle w:val="NoteLabel"/>
              </w:rPr>
              <w:t>d</w:t>
            </w:r>
            <w:r w:rsidRPr="001D1B1C">
              <w:sym w:font="Symbol" w:char="F020"/>
            </w:r>
            <w:r w:rsidRPr="001D1B1C">
              <w:t xml:space="preserve">Endocrine, metabolic and nutritional disorders. </w:t>
            </w:r>
            <w:r w:rsidRPr="001D1B1C">
              <w:rPr>
                <w:b/>
              </w:rPr>
              <w:t>np</w:t>
            </w:r>
            <w:r w:rsidRPr="001D1B1C">
              <w:t xml:space="preserve"> not published.</w:t>
            </w:r>
          </w:p>
        </w:tc>
      </w:tr>
      <w:tr w:rsidR="00336D7E" w:rsidRPr="001D1B1C" w:rsidTr="007655EF">
        <w:trPr>
          <w:cantSplit/>
        </w:trPr>
        <w:tc>
          <w:tcPr>
            <w:tcW w:w="8771" w:type="dxa"/>
            <w:tcBorders>
              <w:top w:val="nil"/>
              <w:left w:val="nil"/>
              <w:bottom w:val="nil"/>
              <w:right w:val="nil"/>
            </w:tcBorders>
            <w:shd w:val="clear" w:color="auto" w:fill="auto"/>
          </w:tcPr>
          <w:p w:rsidR="00336D7E" w:rsidRPr="001D1B1C" w:rsidRDefault="00336D7E" w:rsidP="007655EF">
            <w:pPr>
              <w:pStyle w:val="Source"/>
            </w:pPr>
            <w:r w:rsidRPr="001D1B1C">
              <w:rPr>
                <w:i/>
              </w:rPr>
              <w:t>Source</w:t>
            </w:r>
            <w:r w:rsidR="004D3B45" w:rsidRPr="001D1B1C">
              <w:t xml:space="preserve">: ABS </w:t>
            </w:r>
            <w:r w:rsidRPr="001D1B1C">
              <w:t>(unpublished) </w:t>
            </w:r>
            <w:r w:rsidR="00095336" w:rsidRPr="001D1B1C">
              <w:rPr>
                <w:i/>
              </w:rPr>
              <w:t xml:space="preserve">Causes of Death Australia, </w:t>
            </w:r>
            <w:r w:rsidRPr="001D1B1C">
              <w:rPr>
                <w:i/>
              </w:rPr>
              <w:t>2012</w:t>
            </w:r>
            <w:r w:rsidRPr="001D1B1C">
              <w:t>,</w:t>
            </w:r>
            <w:r w:rsidRPr="001D1B1C">
              <w:rPr>
                <w:i/>
              </w:rPr>
              <w:t xml:space="preserve"> </w:t>
            </w:r>
            <w:r w:rsidR="009024CF" w:rsidRPr="001D1B1C">
              <w:t>Cat. no. 3303.0; table </w:t>
            </w:r>
            <w:proofErr w:type="spellStart"/>
            <w:r w:rsidR="009024CF" w:rsidRPr="001D1B1C">
              <w:t>EA.57</w:t>
            </w:r>
            <w:proofErr w:type="spellEnd"/>
            <w:r w:rsidR="009024CF" w:rsidRPr="001D1B1C">
              <w:t xml:space="preserve">; 2015 Report, table </w:t>
            </w:r>
            <w:proofErr w:type="spellStart"/>
            <w:r w:rsidR="009024CF" w:rsidRPr="001D1B1C">
              <w:t>E.4</w:t>
            </w:r>
            <w:proofErr w:type="spellEnd"/>
            <w:r w:rsidR="009024CF" w:rsidRPr="001D1B1C">
              <w:t xml:space="preserve">, p. </w:t>
            </w:r>
            <w:proofErr w:type="spellStart"/>
            <w:r w:rsidR="009024CF" w:rsidRPr="001D1B1C">
              <w:t>E.34</w:t>
            </w:r>
            <w:proofErr w:type="spellEnd"/>
            <w:r w:rsidR="009024CF" w:rsidRPr="001D1B1C">
              <w:t>.</w:t>
            </w:r>
          </w:p>
        </w:tc>
      </w:tr>
      <w:tr w:rsidR="00336D7E" w:rsidRPr="001D1B1C" w:rsidTr="007655EF">
        <w:trPr>
          <w:cantSplit/>
        </w:trPr>
        <w:tc>
          <w:tcPr>
            <w:tcW w:w="8771" w:type="dxa"/>
            <w:tcBorders>
              <w:top w:val="nil"/>
              <w:left w:val="nil"/>
              <w:bottom w:val="single" w:sz="6" w:space="0" w:color="78A22F" w:themeColor="accent1"/>
              <w:right w:val="nil"/>
            </w:tcBorders>
            <w:shd w:val="clear" w:color="auto" w:fill="auto"/>
          </w:tcPr>
          <w:p w:rsidR="00336D7E" w:rsidRPr="001D1B1C" w:rsidRDefault="00336D7E" w:rsidP="007655EF">
            <w:pPr>
              <w:pStyle w:val="Box"/>
              <w:spacing w:before="0" w:line="120" w:lineRule="exact"/>
            </w:pPr>
          </w:p>
        </w:tc>
      </w:tr>
      <w:tr w:rsidR="00336D7E" w:rsidRPr="001D1B1C" w:rsidTr="007655EF">
        <w:tc>
          <w:tcPr>
            <w:tcW w:w="8771" w:type="dxa"/>
            <w:tcBorders>
              <w:top w:val="single" w:sz="6" w:space="0" w:color="78A22F" w:themeColor="accent1"/>
              <w:left w:val="nil"/>
              <w:bottom w:val="nil"/>
              <w:right w:val="nil"/>
            </w:tcBorders>
          </w:tcPr>
          <w:p w:rsidR="00336D7E" w:rsidRPr="001D1B1C" w:rsidRDefault="00336D7E" w:rsidP="007655EF">
            <w:pPr>
              <w:pStyle w:val="BoxSpaceBelow"/>
            </w:pPr>
          </w:p>
        </w:tc>
      </w:tr>
    </w:tbl>
    <w:p w:rsidR="00336D7E" w:rsidRPr="001D1B1C" w:rsidRDefault="00336D7E" w:rsidP="00336D7E">
      <w:pPr>
        <w:pStyle w:val="Heading4"/>
      </w:pPr>
      <w:r w:rsidRPr="001D1B1C">
        <w:lastRenderedPageBreak/>
        <w:t>Profile of employed health workforce</w:t>
      </w:r>
    </w:p>
    <w:p w:rsidR="00336D7E" w:rsidRPr="001D1B1C" w:rsidRDefault="00336D7E" w:rsidP="00336D7E">
      <w:pPr>
        <w:pStyle w:val="BodyText"/>
        <w:rPr>
          <w:b/>
        </w:rPr>
      </w:pPr>
      <w:r w:rsidRPr="001D1B1C">
        <w:t xml:space="preserve">‘Profile of employed health workforce’ is an indicator of governments’ objective that Australians have a sustainable health system (box </w:t>
      </w:r>
      <w:proofErr w:type="spellStart"/>
      <w:r w:rsidRPr="001D1B1C">
        <w:t>E.7</w:t>
      </w:r>
      <w:proofErr w:type="spellEnd"/>
      <w:r w:rsidRPr="001D1B1C">
        <w:t>).</w:t>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left w:val="nil"/>
              <w:bottom w:val="nil"/>
              <w:right w:val="nil"/>
            </w:tcBorders>
            <w:shd w:val="clear" w:color="auto" w:fill="F2F2F2" w:themeFill="background1" w:themeFillShade="F2"/>
          </w:tcPr>
          <w:p w:rsidR="00336D7E" w:rsidRPr="001D1B1C" w:rsidRDefault="00336D7E" w:rsidP="007655EF">
            <w:pPr>
              <w:pStyle w:val="BoxTitle"/>
            </w:pPr>
            <w:r w:rsidRPr="001D1B1C">
              <w:rPr>
                <w:b w:val="0"/>
              </w:rPr>
              <w:t xml:space="preserve">Box </w:t>
            </w:r>
            <w:proofErr w:type="spellStart"/>
            <w:r w:rsidRPr="001D1B1C">
              <w:rPr>
                <w:b w:val="0"/>
              </w:rPr>
              <w:t>E.</w:t>
            </w:r>
            <w:r w:rsidRPr="001D1B1C">
              <w:rPr>
                <w:b w:val="0"/>
                <w:noProof/>
              </w:rPr>
              <w:t>7</w:t>
            </w:r>
            <w:proofErr w:type="spellEnd"/>
            <w:r w:rsidRPr="001D1B1C">
              <w:tab/>
              <w:t>Profile of employed health workforce</w:t>
            </w:r>
          </w:p>
        </w:tc>
      </w:tr>
      <w:tr w:rsidR="00336D7E" w:rsidRPr="001D1B1C" w:rsidTr="007655EF">
        <w:trPr>
          <w:cantSplit/>
        </w:trPr>
        <w:tc>
          <w:tcPr>
            <w:tcW w:w="8771" w:type="dxa"/>
            <w:tcBorders>
              <w:top w:val="nil"/>
              <w:left w:val="nil"/>
              <w:bottom w:val="nil"/>
              <w:right w:val="nil"/>
            </w:tcBorders>
            <w:shd w:val="clear" w:color="auto" w:fill="F2F2F2" w:themeFill="background1" w:themeFillShade="F2"/>
          </w:tcPr>
          <w:p w:rsidR="00336D7E" w:rsidRPr="001D1B1C" w:rsidRDefault="00336D7E" w:rsidP="007655EF">
            <w:pPr>
              <w:pStyle w:val="Box"/>
            </w:pPr>
            <w:r w:rsidRPr="001D1B1C">
              <w:t>‘Profile of employed health workforce’ is defined by three measures:</w:t>
            </w:r>
          </w:p>
          <w:p w:rsidR="00336D7E" w:rsidRPr="001D1B1C" w:rsidRDefault="00336D7E" w:rsidP="007655EF">
            <w:pPr>
              <w:pStyle w:val="BoxListBullet"/>
            </w:pPr>
            <w:r w:rsidRPr="001D1B1C">
              <w:t>the full time equivalent employed health workforce divided by the population</w:t>
            </w:r>
          </w:p>
          <w:p w:rsidR="00336D7E" w:rsidRPr="001D1B1C" w:rsidRDefault="00336D7E" w:rsidP="007655EF">
            <w:pPr>
              <w:pStyle w:val="BoxListBullet"/>
            </w:pPr>
            <w:r w:rsidRPr="001D1B1C">
              <w:t>the proportion of the full time equivalent employed healt</w:t>
            </w:r>
            <w:r w:rsidR="009024CF" w:rsidRPr="001D1B1C">
              <w:t xml:space="preserve">h workforce under the age of </w:t>
            </w:r>
            <w:r w:rsidR="009024CF" w:rsidRPr="001D1B1C">
              <w:br/>
              <w:t xml:space="preserve">45 </w:t>
            </w:r>
            <w:r w:rsidRPr="001D1B1C">
              <w:t>years</w:t>
            </w:r>
          </w:p>
          <w:p w:rsidR="00336D7E" w:rsidRPr="001D1B1C" w:rsidRDefault="00336D7E" w:rsidP="007655EF">
            <w:pPr>
              <w:pStyle w:val="BoxListBullet"/>
            </w:pPr>
            <w:r w:rsidRPr="001D1B1C">
              <w:t>the net growth in the full time equivalent employed health workforce.</w:t>
            </w:r>
          </w:p>
          <w:p w:rsidR="00336D7E" w:rsidRPr="001D1B1C" w:rsidRDefault="00336D7E" w:rsidP="007655EF">
            <w:pPr>
              <w:pStyle w:val="Box"/>
            </w:pPr>
            <w:r w:rsidRPr="001D1B1C">
              <w:t>High or increasing rates for health workforce measures can give an indication of the sustainability of the health system and its ability to respond and adapt to future needs.</w:t>
            </w:r>
          </w:p>
          <w:p w:rsidR="00336D7E" w:rsidRPr="001D1B1C" w:rsidRDefault="00336D7E" w:rsidP="007655EF">
            <w:pPr>
              <w:pStyle w:val="Box"/>
            </w:pPr>
            <w:r w:rsidRPr="001D1B1C">
              <w:t>Data reported for this indicator are:</w:t>
            </w:r>
          </w:p>
          <w:p w:rsidR="00336D7E" w:rsidRPr="001D1B1C" w:rsidRDefault="00336D7E" w:rsidP="007655EF">
            <w:pPr>
              <w:pStyle w:val="BoxListBullet"/>
            </w:pPr>
            <w:r w:rsidRPr="001D1B1C">
              <w:t>comparable (subject to caveats) across jurisdictions and over time</w:t>
            </w:r>
          </w:p>
          <w:p w:rsidR="00336D7E" w:rsidRPr="001D1B1C" w:rsidRDefault="00336D7E" w:rsidP="007655EF">
            <w:pPr>
              <w:pStyle w:val="BoxListBullet"/>
            </w:pPr>
            <w:r w:rsidRPr="001D1B1C">
              <w:t xml:space="preserve">complete (subject to caveats) for the current reporting period. All required 2012 data are available for all jurisdictions. </w:t>
            </w:r>
          </w:p>
          <w:p w:rsidR="00336D7E" w:rsidRPr="001D1B1C" w:rsidRDefault="00336D7E" w:rsidP="007655EF">
            <w:pPr>
              <w:pStyle w:val="Box"/>
              <w:rPr>
                <w:color w:val="78A22F" w:themeColor="hyperlink"/>
                <w:u w:val="single"/>
              </w:rPr>
            </w:pPr>
            <w:r w:rsidRPr="001D1B1C">
              <w:t xml:space="preserve">Information about data quality for this indicator is at </w:t>
            </w:r>
            <w:r w:rsidR="001D1B1C" w:rsidRPr="001D1B1C">
              <w:t>www.pc.gov.au/research/recurring/report-on-government-services</w:t>
            </w:r>
            <w:r w:rsidRPr="001D1B1C">
              <w:t>.</w:t>
            </w:r>
          </w:p>
        </w:tc>
      </w:tr>
      <w:tr w:rsidR="00336D7E" w:rsidRPr="001D1B1C"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1D1B1C" w:rsidRDefault="00336D7E" w:rsidP="007655EF">
            <w:pPr>
              <w:pStyle w:val="Box"/>
              <w:spacing w:before="0" w:line="120" w:lineRule="exact"/>
            </w:pPr>
          </w:p>
        </w:tc>
      </w:tr>
      <w:tr w:rsidR="00336D7E" w:rsidRPr="001D1B1C" w:rsidTr="007655EF">
        <w:tc>
          <w:tcPr>
            <w:tcW w:w="8771" w:type="dxa"/>
            <w:tcBorders>
              <w:top w:val="single" w:sz="6" w:space="0" w:color="78A22F"/>
              <w:left w:val="nil"/>
              <w:bottom w:val="nil"/>
              <w:right w:val="nil"/>
            </w:tcBorders>
          </w:tcPr>
          <w:p w:rsidR="00336D7E" w:rsidRPr="001D1B1C" w:rsidRDefault="00336D7E" w:rsidP="007655EF">
            <w:pPr>
              <w:pStyle w:val="BoxSpaceBelow"/>
            </w:pPr>
          </w:p>
        </w:tc>
      </w:tr>
    </w:tbl>
    <w:p w:rsidR="00336D7E" w:rsidRPr="001D1B1C" w:rsidRDefault="00336D7E" w:rsidP="00336D7E">
      <w:pPr>
        <w:pStyle w:val="BodyText"/>
      </w:pPr>
      <w:r w:rsidRPr="001D1B1C">
        <w:t xml:space="preserve">Nationally, 0.9 per cent of the nursing and midwifery workforce were Aboriginal and Torres Strait Islander in 2013 (table </w:t>
      </w:r>
      <w:proofErr w:type="spellStart"/>
      <w:r w:rsidRPr="001D1B1C">
        <w:t>EA.62</w:t>
      </w:r>
      <w:proofErr w:type="spellEnd"/>
      <w:r w:rsidRPr="001D1B1C">
        <w:t>). Of people employed in health-r</w:t>
      </w:r>
      <w:r w:rsidR="009024CF" w:rsidRPr="001D1B1C">
        <w:t xml:space="preserve">elated occupations in 2011, 1.6 </w:t>
      </w:r>
      <w:r w:rsidRPr="001D1B1C">
        <w:t xml:space="preserve">per cent were Aboriginal and Torres Strait Islander. Within </w:t>
      </w:r>
      <w:r w:rsidRPr="001D1B1C">
        <w:br/>
        <w:t xml:space="preserve">health related occupations in 2011, the occupations with the highest percentage of Aboriginal and Torres Strait Islander Australians were health and welfare support officers, which includes the occupation Aboriginal and Torres Strait Islander </w:t>
      </w:r>
      <w:r w:rsidR="005B2790" w:rsidRPr="001D1B1C">
        <w:t xml:space="preserve">Health Workers (tables </w:t>
      </w:r>
      <w:proofErr w:type="spellStart"/>
      <w:r w:rsidR="005B2790" w:rsidRPr="001D1B1C">
        <w:t>EA.63</w:t>
      </w:r>
      <w:proofErr w:type="spellEnd"/>
      <w:r w:rsidR="005B2790" w:rsidRPr="001D1B1C">
        <w:t>–</w:t>
      </w:r>
      <w:r w:rsidRPr="001D1B1C">
        <w:t>65).</w:t>
      </w:r>
    </w:p>
    <w:p w:rsidR="00336D7E" w:rsidRPr="001D1B1C" w:rsidRDefault="00336D7E" w:rsidP="00336D7E">
      <w:pPr>
        <w:pStyle w:val="Heading4"/>
      </w:pPr>
      <w:bookmarkStart w:id="25" w:name="_Toc23908903"/>
      <w:r w:rsidRPr="001D1B1C">
        <w:t>Access to services comp</w:t>
      </w:r>
      <w:r w:rsidR="00ED35FC" w:rsidRPr="001D1B1C">
        <w:t>ared to need by type of service</w:t>
      </w:r>
    </w:p>
    <w:p w:rsidR="00336D7E" w:rsidRPr="001D1B1C" w:rsidRDefault="00336D7E" w:rsidP="00336D7E">
      <w:pPr>
        <w:pStyle w:val="BodyText"/>
      </w:pPr>
      <w:r w:rsidRPr="001D1B1C">
        <w:t xml:space="preserve">‘Access to services compared to need by type of service’ is an indicator of governments’ objective that Aboriginal and Torres Strait Islander Australians and those living in rural and remote areas or on low incomes achieve health outcomes comparable to the broader population (box </w:t>
      </w:r>
      <w:proofErr w:type="spellStart"/>
      <w:r w:rsidRPr="001D1B1C">
        <w:t>E.8</w:t>
      </w:r>
      <w:proofErr w:type="spellEnd"/>
      <w:r w:rsidRPr="001D1B1C">
        <w:t>).</w:t>
      </w:r>
    </w:p>
    <w:p w:rsidR="00336D7E" w:rsidRPr="001D1B1C" w:rsidRDefault="00B725C6" w:rsidP="00336D7E">
      <w:pPr>
        <w:pStyle w:val="BodyText"/>
      </w:pPr>
      <w:r w:rsidRPr="001D1B1C">
        <w:t>Results from the 2011</w:t>
      </w:r>
      <w:r w:rsidRPr="001D1B1C">
        <w:noBreakHyphen/>
        <w:t xml:space="preserve">12 </w:t>
      </w:r>
      <w:r w:rsidR="00336D7E" w:rsidRPr="001D1B1C">
        <w:t>Australian Health Survey indicate that the majority of Australians (85.6</w:t>
      </w:r>
      <w:r w:rsidRPr="001D1B1C">
        <w:t xml:space="preserve"> per cent) aged 15 </w:t>
      </w:r>
      <w:r w:rsidR="00336D7E" w:rsidRPr="001D1B1C">
        <w:t>years or over reported their health as either go</w:t>
      </w:r>
      <w:r w:rsidRPr="001D1B1C">
        <w:t xml:space="preserve">od, very good or excellent (ABS </w:t>
      </w:r>
      <w:proofErr w:type="spellStart"/>
      <w:r w:rsidRPr="001D1B1C">
        <w:t>201</w:t>
      </w:r>
      <w:r w:rsidR="005D007A" w:rsidRPr="001D1B1C">
        <w:t>3c</w:t>
      </w:r>
      <w:proofErr w:type="spellEnd"/>
      <w:r w:rsidRPr="001D1B1C">
        <w:t xml:space="preserve">). In the 2012-13 </w:t>
      </w:r>
      <w:r w:rsidR="00336D7E" w:rsidRPr="001D1B1C">
        <w:t>Australian Aboriginal and Torres St</w:t>
      </w:r>
      <w:r w:rsidRPr="001D1B1C">
        <w:t xml:space="preserve">rait Islander Health Survey, 76 per </w:t>
      </w:r>
      <w:r w:rsidR="00336D7E" w:rsidRPr="001D1B1C">
        <w:t>cent of Aboriginal and Torres Strait Islander Australians reported their health as either go</w:t>
      </w:r>
      <w:r w:rsidRPr="001D1B1C">
        <w:t xml:space="preserve">od, very good or excellent (ABS </w:t>
      </w:r>
      <w:proofErr w:type="spellStart"/>
      <w:r w:rsidR="00336D7E" w:rsidRPr="001D1B1C">
        <w:t>2013a</w:t>
      </w:r>
      <w:proofErr w:type="spellEnd"/>
      <w:r w:rsidR="00336D7E" w:rsidRPr="001D1B1C">
        <w:t>).</w:t>
      </w:r>
    </w:p>
    <w:p w:rsidR="00336D7E" w:rsidRPr="001D1B1C"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1D1B1C" w:rsidTr="007655EF">
        <w:tc>
          <w:tcPr>
            <w:tcW w:w="8771" w:type="dxa"/>
            <w:tcBorders>
              <w:top w:val="single" w:sz="6" w:space="0" w:color="78A22F"/>
              <w:left w:val="nil"/>
              <w:bottom w:val="nil"/>
              <w:right w:val="nil"/>
            </w:tcBorders>
            <w:shd w:val="clear" w:color="auto" w:fill="F2F2F2" w:themeFill="background1" w:themeFillShade="F2"/>
          </w:tcPr>
          <w:p w:rsidR="00336D7E" w:rsidRPr="001D1B1C" w:rsidRDefault="00336D7E" w:rsidP="007655EF">
            <w:pPr>
              <w:pStyle w:val="BoxTitle"/>
            </w:pPr>
            <w:r w:rsidRPr="001D1B1C">
              <w:rPr>
                <w:b w:val="0"/>
              </w:rPr>
              <w:t xml:space="preserve">Box </w:t>
            </w:r>
            <w:proofErr w:type="spellStart"/>
            <w:r w:rsidRPr="001D1B1C">
              <w:rPr>
                <w:b w:val="0"/>
              </w:rPr>
              <w:t>E.</w:t>
            </w:r>
            <w:r w:rsidRPr="001D1B1C">
              <w:rPr>
                <w:b w:val="0"/>
                <w:noProof/>
              </w:rPr>
              <w:t>8</w:t>
            </w:r>
            <w:proofErr w:type="spellEnd"/>
            <w:r w:rsidRPr="001D1B1C">
              <w:tab/>
              <w:t>Access to services compared to need by type of service</w:t>
            </w:r>
          </w:p>
        </w:tc>
      </w:tr>
      <w:tr w:rsidR="00336D7E" w:rsidRPr="00AA093E" w:rsidTr="007655EF">
        <w:trPr>
          <w:cantSplit/>
        </w:trPr>
        <w:tc>
          <w:tcPr>
            <w:tcW w:w="8771" w:type="dxa"/>
            <w:tcBorders>
              <w:top w:val="nil"/>
              <w:left w:val="nil"/>
              <w:bottom w:val="nil"/>
              <w:right w:val="nil"/>
            </w:tcBorders>
            <w:shd w:val="clear" w:color="auto" w:fill="F2F2F2" w:themeFill="background1" w:themeFillShade="F2"/>
          </w:tcPr>
          <w:p w:rsidR="00336D7E" w:rsidRPr="00AA093E" w:rsidRDefault="00336D7E" w:rsidP="007655EF">
            <w:pPr>
              <w:pStyle w:val="Box"/>
            </w:pPr>
            <w:r w:rsidRPr="00AA093E">
              <w:t xml:space="preserve">‘Access to services compared to need by type of service’ is defined as the number of people aged 15 years or over who accessed a particular health service in the past 12 months (for hospital admissions), 3 months (for dental services) or 2 weeks (for other health services) divided by the population aged 15 years or over, expressed as a percentage. </w:t>
            </w:r>
            <w:r w:rsidRPr="00AA093E">
              <w:rPr>
                <w:color w:val="000000"/>
              </w:rPr>
              <w:t xml:space="preserve">Rates are age </w:t>
            </w:r>
            <w:r w:rsidRPr="00AA093E">
              <w:t>standardised and calculated separately for each type of service and by categories of self</w:t>
            </w:r>
            <w:r w:rsidRPr="00AA093E">
              <w:noBreakHyphen/>
              <w:t xml:space="preserve">assessed health status. </w:t>
            </w:r>
            <w:r w:rsidRPr="00AA093E">
              <w:rPr>
                <w:rFonts w:cs="Arial"/>
              </w:rPr>
              <w:t xml:space="preserve">Service types are: admitted hospitalisations, casualty/outpatients, GP and/or specialist doctor consultations, consultations with other health professional and dental consultation. </w:t>
            </w:r>
            <w:r w:rsidRPr="00AA093E">
              <w:t>Self-assessed health status i</w:t>
            </w:r>
            <w:r w:rsidRPr="00AA093E">
              <w:rPr>
                <w:rFonts w:cs="Arial"/>
              </w:rPr>
              <w:t xml:space="preserve">s categorised as excellent/very good/good and fair/poor. Data are reported for all Australians by remoteness and by </w:t>
            </w:r>
            <w:r w:rsidRPr="00AA093E">
              <w:t xml:space="preserve">Socio Economic Indexes for Areas (SEIFA) and for </w:t>
            </w:r>
            <w:r w:rsidRPr="00AA093E">
              <w:rPr>
                <w:rFonts w:cs="Arial"/>
              </w:rPr>
              <w:t>Aboriginal and Torres Strait Islander Australians.</w:t>
            </w:r>
          </w:p>
          <w:p w:rsidR="00336D7E" w:rsidRPr="00AA093E" w:rsidRDefault="00336D7E" w:rsidP="007655EF">
            <w:pPr>
              <w:pStyle w:val="Box"/>
            </w:pPr>
            <w:r w:rsidRPr="00AA093E">
              <w:t>High or increasing rates of ‘access to services compared to need by type of service’ are desirable, as are rates for those in disadvantaged groups being close to the rates for those who are not disadvantaged.</w:t>
            </w:r>
          </w:p>
          <w:p w:rsidR="00336D7E" w:rsidRPr="00AA093E" w:rsidRDefault="00336D7E" w:rsidP="007655EF">
            <w:pPr>
              <w:pStyle w:val="Box"/>
            </w:pPr>
            <w:r w:rsidRPr="00AA093E">
              <w:t xml:space="preserve">Data reported for this indicator are </w:t>
            </w:r>
          </w:p>
          <w:p w:rsidR="00336D7E" w:rsidRPr="00AA093E" w:rsidRDefault="00336D7E" w:rsidP="007655EF">
            <w:pPr>
              <w:pStyle w:val="BoxListBullet"/>
            </w:pPr>
            <w:r w:rsidRPr="00AA093E">
              <w:t>comparable (subject to caveats) across jurisdictions but not over time</w:t>
            </w:r>
          </w:p>
          <w:p w:rsidR="00336D7E" w:rsidRPr="00AA093E" w:rsidRDefault="00336D7E" w:rsidP="007655EF">
            <w:pPr>
              <w:pStyle w:val="BoxListBullet"/>
            </w:pPr>
            <w:r w:rsidRPr="00AA093E">
              <w:t>complete (subject to caveats) for the current reporting pe</w:t>
            </w:r>
            <w:r w:rsidR="001D1B1C" w:rsidRPr="00AA093E">
              <w:t xml:space="preserve">riod. All required </w:t>
            </w:r>
            <w:r w:rsidR="001D1B1C" w:rsidRPr="00AA093E">
              <w:br/>
              <w:t>2011</w:t>
            </w:r>
            <w:r w:rsidR="001D1B1C" w:rsidRPr="00AA093E">
              <w:noBreakHyphen/>
              <w:t>13</w:t>
            </w:r>
            <w:r w:rsidRPr="00AA093E">
              <w:t xml:space="preserve"> data are available for all jurisdictions.</w:t>
            </w:r>
          </w:p>
          <w:p w:rsidR="00336D7E" w:rsidRPr="00AA093E" w:rsidRDefault="00336D7E" w:rsidP="00C25C93">
            <w:pPr>
              <w:pStyle w:val="Box"/>
            </w:pPr>
            <w:r w:rsidRPr="00AA093E">
              <w:t>Data quality information for this indicator is under development.</w:t>
            </w:r>
          </w:p>
        </w:tc>
      </w:tr>
      <w:tr w:rsidR="00336D7E" w:rsidRPr="00AA093E" w:rsidTr="007655EF">
        <w:trPr>
          <w:cantSplit/>
        </w:trPr>
        <w:tc>
          <w:tcPr>
            <w:tcW w:w="8771" w:type="dxa"/>
            <w:tcBorders>
              <w:top w:val="nil"/>
              <w:left w:val="nil"/>
              <w:bottom w:val="single" w:sz="6" w:space="0" w:color="78A22F"/>
              <w:right w:val="nil"/>
            </w:tcBorders>
            <w:shd w:val="clear" w:color="auto" w:fill="F2F2F2" w:themeFill="background1" w:themeFillShade="F2"/>
          </w:tcPr>
          <w:p w:rsidR="00336D7E" w:rsidRPr="00AA093E" w:rsidRDefault="00336D7E" w:rsidP="007655EF">
            <w:pPr>
              <w:pStyle w:val="Box"/>
              <w:spacing w:before="0" w:line="120" w:lineRule="exact"/>
            </w:pPr>
          </w:p>
        </w:tc>
      </w:tr>
      <w:tr w:rsidR="00336D7E" w:rsidRPr="00AA093E" w:rsidTr="007655EF">
        <w:tc>
          <w:tcPr>
            <w:tcW w:w="8771" w:type="dxa"/>
            <w:tcBorders>
              <w:top w:val="single" w:sz="6" w:space="0" w:color="78A22F"/>
              <w:left w:val="nil"/>
              <w:bottom w:val="nil"/>
              <w:right w:val="nil"/>
            </w:tcBorders>
          </w:tcPr>
          <w:p w:rsidR="00336D7E" w:rsidRPr="00AA093E" w:rsidRDefault="00336D7E" w:rsidP="007655EF">
            <w:pPr>
              <w:pStyle w:val="BoxSpaceBelow"/>
            </w:pPr>
          </w:p>
        </w:tc>
      </w:tr>
    </w:tbl>
    <w:p w:rsidR="00336D7E" w:rsidRPr="00AA093E" w:rsidRDefault="00336D7E" w:rsidP="00336D7E">
      <w:pPr>
        <w:pStyle w:val="BodyText"/>
      </w:pPr>
      <w:r w:rsidRPr="00AA093E">
        <w:t>The latest available data for self-assessed health status are from the 2012-13 National Aboriginal and Torres Strait Islander Health Survey for Aboriginal and Torres Strait Islander Australians (A</w:t>
      </w:r>
      <w:r w:rsidR="00B725C6" w:rsidRPr="00AA093E">
        <w:t xml:space="preserve">BS </w:t>
      </w:r>
      <w:proofErr w:type="spellStart"/>
      <w:r w:rsidRPr="00AA093E">
        <w:t>2014a</w:t>
      </w:r>
      <w:proofErr w:type="spellEnd"/>
      <w:r w:rsidRPr="00AA093E">
        <w:t>) and from the 2011</w:t>
      </w:r>
      <w:r w:rsidRPr="00AA093E">
        <w:noBreakHyphen/>
        <w:t>12 National Health Su</w:t>
      </w:r>
      <w:r w:rsidR="00B725C6" w:rsidRPr="00AA093E">
        <w:t xml:space="preserve">rvey for other Australians (ABS </w:t>
      </w:r>
      <w:proofErr w:type="spellStart"/>
      <w:r w:rsidRPr="00AA093E">
        <w:t>201</w:t>
      </w:r>
      <w:r w:rsidR="002D2C4F" w:rsidRPr="00AA093E">
        <w:t>3c</w:t>
      </w:r>
      <w:proofErr w:type="spellEnd"/>
      <w:r w:rsidRPr="00AA093E">
        <w:t>). Aboriginal and Torres Strait Islander Australians were less likely than other Australians to report very good or excellent health. Taking into account differences in age structure between the populations, Aboriginal and Torres Strait Islander Australians overall were more than twice as likely to report their health as fair or poor than ot</w:t>
      </w:r>
      <w:r w:rsidR="00B725C6" w:rsidRPr="00AA093E">
        <w:t xml:space="preserve">her Australians in 2011–13 (ABS </w:t>
      </w:r>
      <w:proofErr w:type="spellStart"/>
      <w:r w:rsidRPr="00AA093E">
        <w:t>2013a</w:t>
      </w:r>
      <w:proofErr w:type="spellEnd"/>
      <w:r w:rsidRPr="00AA093E">
        <w:t xml:space="preserve">, </w:t>
      </w:r>
      <w:proofErr w:type="spellStart"/>
      <w:r w:rsidRPr="00AA093E">
        <w:t>2014a</w:t>
      </w:r>
      <w:proofErr w:type="spellEnd"/>
      <w:r w:rsidRPr="00AA093E">
        <w:t>).</w:t>
      </w:r>
    </w:p>
    <w:p w:rsidR="00336D7E" w:rsidRPr="00AA093E" w:rsidRDefault="00336D7E" w:rsidP="00336D7E">
      <w:pPr>
        <w:pStyle w:val="BodyText"/>
      </w:pPr>
      <w:r w:rsidRPr="00AA093E">
        <w:t xml:space="preserve">Data for Aboriginal and Torres Strait Islander Australians are not comparable with data for other Australians due to a slightly different methodology. Nationally, the proportion of Aboriginal and Torres Strait Islander Australians who accessed services varied significantly by self-assessed health status for hospital admissions, consultations with doctors and consultations with other health professionals (figure </w:t>
      </w:r>
      <w:proofErr w:type="spellStart"/>
      <w:r w:rsidRPr="00AA093E">
        <w:t>E.</w:t>
      </w:r>
      <w:r w:rsidR="00B725C6" w:rsidRPr="00AA093E">
        <w:t>7</w:t>
      </w:r>
      <w:proofErr w:type="spellEnd"/>
      <w:r w:rsidRPr="00AA093E">
        <w:t xml:space="preserve">). Data for people accessing health services by Indigenous status in 2004-05 are reported </w:t>
      </w:r>
      <w:r w:rsidR="00B725C6" w:rsidRPr="00AA093E">
        <w:t xml:space="preserve">in table </w:t>
      </w:r>
      <w:proofErr w:type="spellStart"/>
      <w:r w:rsidRPr="00AA093E">
        <w:t>EA.69</w:t>
      </w:r>
      <w:proofErr w:type="spellEnd"/>
      <w:r w:rsidRPr="00AA093E">
        <w:t>.</w:t>
      </w:r>
    </w:p>
    <w:p w:rsidR="00A9382A" w:rsidRPr="00AA093E" w:rsidRDefault="00A9382A">
      <w:pPr>
        <w:rPr>
          <w:szCs w:val="20"/>
        </w:rPr>
      </w:pPr>
      <w:r w:rsidRPr="00AA093E">
        <w:br w:type="page"/>
      </w:r>
    </w:p>
    <w:p w:rsidR="00336D7E" w:rsidRPr="00AA093E" w:rsidRDefault="00336D7E" w:rsidP="00336D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7E" w:rsidRPr="00AA093E" w:rsidTr="007655EF">
        <w:tc>
          <w:tcPr>
            <w:tcW w:w="8771" w:type="dxa"/>
            <w:tcBorders>
              <w:top w:val="single" w:sz="6" w:space="0" w:color="78A22F"/>
              <w:left w:val="nil"/>
              <w:bottom w:val="nil"/>
              <w:right w:val="nil"/>
            </w:tcBorders>
            <w:shd w:val="clear" w:color="auto" w:fill="auto"/>
          </w:tcPr>
          <w:p w:rsidR="00336D7E" w:rsidRPr="00AA093E" w:rsidRDefault="00336D7E" w:rsidP="00A9382A">
            <w:pPr>
              <w:pStyle w:val="FigureTitle"/>
            </w:pPr>
            <w:r w:rsidRPr="00AA093E">
              <w:rPr>
                <w:b w:val="0"/>
              </w:rPr>
              <w:t xml:space="preserve">Figure </w:t>
            </w:r>
            <w:proofErr w:type="spellStart"/>
            <w:r w:rsidRPr="00AA093E">
              <w:rPr>
                <w:b w:val="0"/>
              </w:rPr>
              <w:t>E.</w:t>
            </w:r>
            <w:r w:rsidR="00A9382A" w:rsidRPr="00AA093E">
              <w:rPr>
                <w:b w:val="0"/>
                <w:noProof/>
              </w:rPr>
              <w:t>7</w:t>
            </w:r>
            <w:proofErr w:type="spellEnd"/>
            <w:r w:rsidRPr="00AA093E">
              <w:tab/>
              <w:t xml:space="preserve">Proportion of Aboriginal and Torres Strait Islander people who accessed health services by health status, </w:t>
            </w:r>
            <w:r w:rsidR="00A9382A" w:rsidRPr="00AA093E">
              <w:br/>
            </w:r>
            <w:r w:rsidRPr="00AA093E">
              <w:t>2012</w:t>
            </w:r>
            <w:r w:rsidRPr="00AA093E">
              <w:noBreakHyphen/>
              <w:t>13</w:t>
            </w:r>
            <w:r w:rsidRPr="00AA093E">
              <w:rPr>
                <w:rStyle w:val="NoteLabel"/>
                <w:b/>
              </w:rPr>
              <w:t>a,</w:t>
            </w:r>
            <w:r w:rsidR="00A9382A" w:rsidRPr="00AA093E">
              <w:rPr>
                <w:b w:val="0"/>
              </w:rPr>
              <w:t xml:space="preserve"> </w:t>
            </w:r>
            <w:r w:rsidRPr="00AA093E">
              <w:rPr>
                <w:rStyle w:val="NoteLabel"/>
                <w:b/>
              </w:rPr>
              <w:t>b,</w:t>
            </w:r>
            <w:r w:rsidR="00A9382A" w:rsidRPr="00AA093E">
              <w:rPr>
                <w:b w:val="0"/>
              </w:rPr>
              <w:t xml:space="preserve"> </w:t>
            </w:r>
            <w:r w:rsidRPr="00AA093E">
              <w:rPr>
                <w:rStyle w:val="NoteLabel"/>
                <w:b/>
              </w:rPr>
              <w:t>c,</w:t>
            </w:r>
            <w:r w:rsidR="00A9382A" w:rsidRPr="00AA093E">
              <w:rPr>
                <w:b w:val="0"/>
              </w:rPr>
              <w:t xml:space="preserve"> </w:t>
            </w:r>
            <w:r w:rsidRPr="00AA093E">
              <w:rPr>
                <w:rStyle w:val="NoteLabel"/>
                <w:b/>
              </w:rPr>
              <w:t>d, e</w:t>
            </w:r>
          </w:p>
        </w:tc>
      </w:tr>
      <w:tr w:rsidR="00336D7E" w:rsidRPr="00AA093E" w:rsidTr="00AA093E">
        <w:tblPrEx>
          <w:tblCellMar>
            <w:left w:w="108" w:type="dxa"/>
            <w:right w:w="108" w:type="dxa"/>
          </w:tblCellMar>
        </w:tblPrEx>
        <w:tc>
          <w:tcPr>
            <w:tcW w:w="8771" w:type="dxa"/>
            <w:tcBorders>
              <w:top w:val="nil"/>
              <w:left w:val="nil"/>
              <w:bottom w:val="nil"/>
              <w:right w:val="nil"/>
            </w:tcBorders>
            <w:shd w:val="clear" w:color="auto" w:fill="auto"/>
          </w:tcPr>
          <w:p w:rsidR="00336D7E" w:rsidRPr="00AA093E" w:rsidRDefault="003742D0" w:rsidP="007655EF">
            <w:pPr>
              <w:pStyle w:val="Figure"/>
            </w:pPr>
            <w:r>
              <w:rPr>
                <w:noProof/>
              </w:rPr>
              <w:drawing>
                <wp:inline distT="0" distB="0" distL="0" distR="0">
                  <wp:extent cx="5390515" cy="1616075"/>
                  <wp:effectExtent l="0" t="0" r="635" b="3175"/>
                  <wp:docPr id="4" name="Picture 4" descr="Figure E.7 Proportion of Aboriginal and Torres Strait Islander people who accessed health services by health status, 2012-13&#10;&#10;Admitted to hospita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1616075"/>
                          </a:xfrm>
                          <a:prstGeom prst="rect">
                            <a:avLst/>
                          </a:prstGeom>
                          <a:noFill/>
                          <a:ln>
                            <a:noFill/>
                          </a:ln>
                        </pic:spPr>
                      </pic:pic>
                    </a:graphicData>
                  </a:graphic>
                </wp:inline>
              </w:drawing>
            </w:r>
            <w:r>
              <w:rPr>
                <w:noProof/>
              </w:rPr>
              <w:drawing>
                <wp:inline distT="0" distB="0" distL="0" distR="0">
                  <wp:extent cx="5390515" cy="1605280"/>
                  <wp:effectExtent l="0" t="0" r="635" b="0"/>
                  <wp:docPr id="5" name="Picture 5" descr="Figure E.7 Proportion of Aboriginal and Torres Strait Islander people who accessed health services by health status, 2012-13&#10;&#10;Consulted a doctor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0515" cy="1605280"/>
                          </a:xfrm>
                          <a:prstGeom prst="rect">
                            <a:avLst/>
                          </a:prstGeom>
                          <a:noFill/>
                          <a:ln>
                            <a:noFill/>
                          </a:ln>
                        </pic:spPr>
                      </pic:pic>
                    </a:graphicData>
                  </a:graphic>
                </wp:inline>
              </w:drawing>
            </w:r>
            <w:r w:rsidR="00AA093E" w:rsidRPr="00AA093E">
              <w:rPr>
                <w:noProof/>
              </w:rPr>
              <w:t xml:space="preserve"> </w:t>
            </w:r>
            <w:r w:rsidR="00AA093E" w:rsidRPr="00AA093E">
              <w:rPr>
                <w:noProof/>
              </w:rPr>
              <w:drawing>
                <wp:inline distT="0" distB="0" distL="0" distR="0" wp14:anchorId="760F6099" wp14:editId="46F9C684">
                  <wp:extent cx="5400000" cy="1620000"/>
                  <wp:effectExtent l="0" t="0" r="0" b="0"/>
                  <wp:docPr id="24" name="Chart 24" descr="Figure E.7 Proportion of Aboriginal and Torres Strait Islander people who accessed health services by health status, 2012-13&#10;&#10;Consulted other health professional&#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336D7E" w:rsidRPr="00AA093E" w:rsidTr="007655EF">
        <w:tc>
          <w:tcPr>
            <w:tcW w:w="8771" w:type="dxa"/>
            <w:tcBorders>
              <w:top w:val="nil"/>
              <w:left w:val="nil"/>
              <w:bottom w:val="nil"/>
              <w:right w:val="nil"/>
            </w:tcBorders>
            <w:shd w:val="clear" w:color="auto" w:fill="auto"/>
          </w:tcPr>
          <w:p w:rsidR="00336D7E" w:rsidRPr="00AA093E" w:rsidRDefault="00336D7E" w:rsidP="007655EF">
            <w:pPr>
              <w:pStyle w:val="Note"/>
            </w:pPr>
            <w:r w:rsidRPr="00AA093E">
              <w:rPr>
                <w:rStyle w:val="NoteLabel"/>
              </w:rPr>
              <w:t>a</w:t>
            </w:r>
            <w:r w:rsidRPr="00AA093E">
              <w:sym w:font="Symbol" w:char="F020"/>
            </w:r>
            <w:r w:rsidRPr="00AA093E">
              <w:t xml:space="preserve">Rates are age standardised by State/Territory to the 2001 estimated resident population. </w:t>
            </w:r>
            <w:r w:rsidRPr="00AA093E">
              <w:rPr>
                <w:rStyle w:val="NoteLabel"/>
              </w:rPr>
              <w:t>b</w:t>
            </w:r>
            <w:r w:rsidRPr="00AA093E">
              <w:sym w:font="Symbol" w:char="F020"/>
            </w:r>
            <w:r w:rsidRPr="00AA093E">
              <w:t xml:space="preserve">Data are not comparable with data for all Australians due to differences in methodology. </w:t>
            </w:r>
            <w:r w:rsidRPr="00AA093E">
              <w:rPr>
                <w:rStyle w:val="NoteLabel"/>
              </w:rPr>
              <w:t>c</w:t>
            </w:r>
            <w:r w:rsidRPr="00AA093E">
              <w:sym w:font="Symbol" w:char="F020"/>
            </w:r>
            <w:r w:rsidRPr="00AA093E">
              <w:t xml:space="preserve">People aged 15 years or over who consulted a doctor or another health professional in the last 2 weeks, or were admitted to hospital in the last 12 months. </w:t>
            </w:r>
            <w:r w:rsidRPr="00AA093E">
              <w:rPr>
                <w:rStyle w:val="NoteLabel"/>
              </w:rPr>
              <w:t xml:space="preserve">d </w:t>
            </w:r>
            <w:r w:rsidRPr="00AA093E">
              <w:t xml:space="preserve">Error bars represent the 95 per cent confidence intervals associated with each estimate. </w:t>
            </w:r>
            <w:r w:rsidRPr="00AA093E">
              <w:rPr>
                <w:rStyle w:val="NoteLabel"/>
              </w:rPr>
              <w:t xml:space="preserve">e </w:t>
            </w:r>
            <w:r w:rsidRPr="00AA093E">
              <w:t>Figure has been revised and differs from the figure</w:t>
            </w:r>
            <w:r w:rsidR="00F32913" w:rsidRPr="00AA093E">
              <w:t xml:space="preserve"> presented in the 2014 Report.</w:t>
            </w:r>
          </w:p>
        </w:tc>
      </w:tr>
      <w:tr w:rsidR="00336D7E" w:rsidRPr="00AA093E" w:rsidTr="007655EF">
        <w:tc>
          <w:tcPr>
            <w:tcW w:w="8771" w:type="dxa"/>
            <w:tcBorders>
              <w:top w:val="nil"/>
              <w:left w:val="nil"/>
              <w:bottom w:val="nil"/>
              <w:right w:val="nil"/>
            </w:tcBorders>
            <w:shd w:val="clear" w:color="auto" w:fill="auto"/>
          </w:tcPr>
          <w:p w:rsidR="00336D7E" w:rsidRPr="00AA093E" w:rsidRDefault="00336D7E" w:rsidP="00B77104">
            <w:pPr>
              <w:pStyle w:val="Source"/>
            </w:pPr>
            <w:r w:rsidRPr="00AA093E">
              <w:rPr>
                <w:i/>
              </w:rPr>
              <w:t>Source</w:t>
            </w:r>
            <w:r w:rsidR="004D3B45" w:rsidRPr="00AA093E">
              <w:t xml:space="preserve">: ABS </w:t>
            </w:r>
            <w:r w:rsidRPr="00AA093E">
              <w:t xml:space="preserve">(unpublished) </w:t>
            </w:r>
            <w:r w:rsidRPr="00AA093E">
              <w:rPr>
                <w:i/>
              </w:rPr>
              <w:t>Australian Aboriginal and Torres Strait Islander Health Survey, 2012-13</w:t>
            </w:r>
            <w:r w:rsidRPr="00AA093E">
              <w:t xml:space="preserve"> (National Aboriginal and Torres Strait Islander Health Survey</w:t>
            </w:r>
            <w:r w:rsidRPr="00AA093E">
              <w:rPr>
                <w:i/>
              </w:rPr>
              <w:t xml:space="preserve"> </w:t>
            </w:r>
            <w:r w:rsidRPr="00AA093E">
              <w:t>component</w:t>
            </w:r>
            <w:r w:rsidR="00F32913" w:rsidRPr="00AA093E">
              <w:t xml:space="preserve">), Cat. no. 4727.0; table </w:t>
            </w:r>
            <w:proofErr w:type="spellStart"/>
            <w:r w:rsidR="00F32913" w:rsidRPr="00AA093E">
              <w:t>EA.68</w:t>
            </w:r>
            <w:proofErr w:type="spellEnd"/>
            <w:r w:rsidR="00F32913" w:rsidRPr="00AA093E">
              <w:t xml:space="preserve">; 2015 Report, figure </w:t>
            </w:r>
            <w:proofErr w:type="spellStart"/>
            <w:r w:rsidR="00F32913" w:rsidRPr="00AA093E">
              <w:t>E.19</w:t>
            </w:r>
            <w:proofErr w:type="spellEnd"/>
            <w:r w:rsidR="00F32913" w:rsidRPr="00AA093E">
              <w:t xml:space="preserve">, p. </w:t>
            </w:r>
            <w:proofErr w:type="spellStart"/>
            <w:r w:rsidR="00F32913" w:rsidRPr="00AA093E">
              <w:t>E.</w:t>
            </w:r>
            <w:r w:rsidR="00B77104" w:rsidRPr="00AA093E">
              <w:t>40</w:t>
            </w:r>
            <w:proofErr w:type="spellEnd"/>
            <w:r w:rsidR="00F32913" w:rsidRPr="00AA093E">
              <w:t>.</w:t>
            </w:r>
          </w:p>
        </w:tc>
      </w:tr>
      <w:tr w:rsidR="00336D7E" w:rsidRPr="00AA093E" w:rsidTr="007655EF">
        <w:tc>
          <w:tcPr>
            <w:tcW w:w="8771" w:type="dxa"/>
            <w:tcBorders>
              <w:top w:val="nil"/>
              <w:left w:val="nil"/>
              <w:bottom w:val="single" w:sz="6" w:space="0" w:color="78A22F"/>
              <w:right w:val="nil"/>
            </w:tcBorders>
            <w:shd w:val="clear" w:color="auto" w:fill="auto"/>
          </w:tcPr>
          <w:p w:rsidR="00336D7E" w:rsidRPr="00AA093E" w:rsidRDefault="00336D7E" w:rsidP="007655EF">
            <w:pPr>
              <w:pStyle w:val="Figurespace"/>
            </w:pPr>
          </w:p>
        </w:tc>
      </w:tr>
      <w:tr w:rsidR="00336D7E" w:rsidRPr="00AA093E" w:rsidTr="007655EF">
        <w:tc>
          <w:tcPr>
            <w:tcW w:w="8771" w:type="dxa"/>
            <w:tcBorders>
              <w:top w:val="single" w:sz="6" w:space="0" w:color="78A22F"/>
              <w:left w:val="nil"/>
              <w:bottom w:val="nil"/>
              <w:right w:val="nil"/>
            </w:tcBorders>
          </w:tcPr>
          <w:p w:rsidR="00336D7E" w:rsidRPr="00AA093E" w:rsidRDefault="00336D7E" w:rsidP="007655EF">
            <w:pPr>
              <w:pStyle w:val="BoxSpaceBelow"/>
            </w:pPr>
          </w:p>
        </w:tc>
      </w:tr>
    </w:tbl>
    <w:p w:rsidR="00336D7E" w:rsidRPr="00AA093E" w:rsidRDefault="00336D7E" w:rsidP="00F32913">
      <w:pPr>
        <w:pStyle w:val="Heading3"/>
      </w:pPr>
      <w:bookmarkStart w:id="26" w:name="_Toc313526080"/>
      <w:bookmarkStart w:id="27" w:name="_Toc338147187"/>
      <w:bookmarkStart w:id="28" w:name="_Toc396914538"/>
      <w:bookmarkStart w:id="29" w:name="_Toc410820913"/>
      <w:bookmarkEnd w:id="25"/>
      <w:r w:rsidRPr="00AA093E">
        <w:t>Cross cutting and interface issues</w:t>
      </w:r>
      <w:bookmarkEnd w:id="26"/>
      <w:bookmarkEnd w:id="27"/>
      <w:bookmarkEnd w:id="28"/>
      <w:bookmarkEnd w:id="29"/>
    </w:p>
    <w:p w:rsidR="00336D7E" w:rsidRPr="00AA093E" w:rsidRDefault="00336D7E" w:rsidP="00F32913">
      <w:pPr>
        <w:pStyle w:val="BodyText"/>
      </w:pPr>
      <w:r w:rsidRPr="00AA093E">
        <w:t>Many determinants a</w:t>
      </w:r>
      <w:r w:rsidR="00F32913" w:rsidRPr="00AA093E">
        <w:t xml:space="preserve">ffect Australian’s health (AIHW </w:t>
      </w:r>
      <w:r w:rsidRPr="00AA093E">
        <w:t>2012). They include the delivery of an efficient, effective and equitable health service, but also factors such as individuals’ and communities’ social and econo</w:t>
      </w:r>
      <w:r w:rsidR="00F32913" w:rsidRPr="00AA093E">
        <w:t xml:space="preserve">mic conditions and background. </w:t>
      </w:r>
      <w:r w:rsidRPr="00AA093E">
        <w:t xml:space="preserve">Major improvements in </w:t>
      </w:r>
      <w:r w:rsidRPr="00AA093E">
        <w:lastRenderedPageBreak/>
        <w:t>health outcomes therefore depend on strong partnerships between components of the health system and relationships between the health sector</w:t>
      </w:r>
      <w:r w:rsidR="00F32913" w:rsidRPr="00AA093E">
        <w:t xml:space="preserve"> and other government services</w:t>
      </w:r>
      <w:r w:rsidR="00281184" w:rsidRPr="00AA093E">
        <w:t>. For example,</w:t>
      </w:r>
      <w:r w:rsidR="00F32913" w:rsidRPr="00AA093E">
        <w:t xml:space="preserve"> </w:t>
      </w:r>
      <w:r w:rsidR="00281184" w:rsidRPr="00AA093E">
        <w:t>e</w:t>
      </w:r>
      <w:r w:rsidRPr="00AA093E">
        <w:t>arly childhood, education and training services play an important role in shaping a child’s development, which has consequences for overall hea</w:t>
      </w:r>
      <w:r w:rsidR="00F05F32" w:rsidRPr="00AA093E">
        <w:t>lth and wellbeing in later life</w:t>
      </w:r>
      <w:r w:rsidR="00281184" w:rsidRPr="00AA093E">
        <w:t>, and</w:t>
      </w:r>
      <w:r w:rsidRPr="00AA093E">
        <w:t xml:space="preserve"> </w:t>
      </w:r>
      <w:r w:rsidR="00281184" w:rsidRPr="00AA093E">
        <w:t>g</w:t>
      </w:r>
      <w:r w:rsidRPr="00AA093E">
        <w:t>ood health is critical to a child’s educational development</w:t>
      </w:r>
      <w:r w:rsidR="00F05F32" w:rsidRPr="00AA093E">
        <w:t xml:space="preserve"> (AIHW </w:t>
      </w:r>
      <w:r w:rsidR="00281184" w:rsidRPr="00AA093E">
        <w:t>2011)</w:t>
      </w:r>
      <w:r w:rsidRPr="00AA093E">
        <w:t>. Impaired hearing, malnutrition, poor general health, including poor eyesight, anaemia, skin diseases, and sleep deprivation have been identified as having adverse effects on the educational attainment of Aboriginal and Torre</w:t>
      </w:r>
      <w:r w:rsidR="00F32913" w:rsidRPr="00AA093E">
        <w:t>s Strait Islander children (</w:t>
      </w:r>
      <w:proofErr w:type="spellStart"/>
      <w:r w:rsidR="00F32913" w:rsidRPr="00AA093E">
        <w:t>AMA</w:t>
      </w:r>
      <w:proofErr w:type="spellEnd"/>
      <w:r w:rsidR="00F32913" w:rsidRPr="00AA093E">
        <w:t xml:space="preserve"> </w:t>
      </w:r>
      <w:r w:rsidRPr="00AA093E">
        <w:t>2001).</w:t>
      </w:r>
    </w:p>
    <w:p w:rsidR="00F32913" w:rsidRPr="00AA093E" w:rsidRDefault="00F32913" w:rsidP="00F32913">
      <w:pPr>
        <w:pStyle w:val="Heading3"/>
      </w:pPr>
      <w:bookmarkStart w:id="30" w:name="_Toc317582810"/>
      <w:bookmarkStart w:id="31" w:name="_Toc320630257"/>
      <w:bookmarkStart w:id="32" w:name="_Toc320774595"/>
      <w:bookmarkStart w:id="33" w:name="_Toc347820261"/>
      <w:bookmarkStart w:id="34" w:name="_Toc348342548"/>
      <w:bookmarkStart w:id="35" w:name="_Toc351389473"/>
      <w:bookmarkStart w:id="36" w:name="_Toc380475129"/>
      <w:bookmarkStart w:id="37" w:name="_Toc383409165"/>
      <w:bookmarkStart w:id="38" w:name="_Toc383680476"/>
      <w:bookmarkStart w:id="39" w:name="_Toc410820914"/>
      <w:r w:rsidRPr="00AA093E">
        <w:t>List of attachment tables</w:t>
      </w:r>
      <w:bookmarkEnd w:id="30"/>
      <w:bookmarkEnd w:id="31"/>
      <w:bookmarkEnd w:id="32"/>
      <w:bookmarkEnd w:id="33"/>
      <w:bookmarkEnd w:id="34"/>
      <w:bookmarkEnd w:id="35"/>
      <w:bookmarkEnd w:id="36"/>
      <w:bookmarkEnd w:id="37"/>
      <w:bookmarkEnd w:id="38"/>
      <w:bookmarkEnd w:id="39"/>
    </w:p>
    <w:p w:rsidR="00F32913" w:rsidRPr="00AA093E" w:rsidRDefault="00F32913" w:rsidP="00F32913">
      <w:pPr>
        <w:pStyle w:val="BodyText"/>
      </w:pPr>
      <w:r w:rsidRPr="00AA093E">
        <w:t xml:space="preserve">Attachment tables for data within this sector overview are contained in the attachment to the Compendium. These tables are identified in references throughout this chapter by a ‘EA’ prefix (for example, table </w:t>
      </w:r>
      <w:proofErr w:type="spellStart"/>
      <w:r w:rsidRPr="00AA093E">
        <w:t>EA.1</w:t>
      </w:r>
      <w:proofErr w:type="spellEnd"/>
      <w:r w:rsidRPr="00AA093E">
        <w:t xml:space="preserve"> is table 1 in the Health sector overview attachment). Attachment tables are on the Review website (</w:t>
      </w:r>
      <w:r w:rsidR="00AA093E" w:rsidRPr="00AA093E">
        <w:t>www.pc.gov.au/research/recurring/report-on-government-services</w:t>
      </w:r>
      <w:r w:rsidRPr="00AA093E">
        <w:t>).</w:t>
      </w:r>
    </w:p>
    <w:p w:rsidR="00F32913" w:rsidRPr="00AA093E" w:rsidRDefault="00F32913" w:rsidP="00F32913">
      <w:pPr>
        <w:pStyle w:val="BodyText"/>
      </w:pPr>
    </w:p>
    <w:tbl>
      <w:tblPr>
        <w:tblW w:w="8804" w:type="dxa"/>
        <w:tblInd w:w="93" w:type="dxa"/>
        <w:tblLook w:val="04A0" w:firstRow="1" w:lastRow="0" w:firstColumn="1" w:lastColumn="0" w:noHBand="0" w:noVBand="1"/>
      </w:tblPr>
      <w:tblGrid>
        <w:gridCol w:w="1578"/>
        <w:gridCol w:w="7226"/>
      </w:tblGrid>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EA.8</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Proportion of live-born singleton babies of low birthweight, by maternal Indigenous status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EA.10</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proofErr w:type="spellStart"/>
            <w:r w:rsidRPr="00AA093E">
              <w:rPr>
                <w:rFonts w:ascii="Arial" w:hAnsi="Arial" w:cs="Arial"/>
                <w:sz w:val="20"/>
                <w:szCs w:val="20"/>
              </w:rPr>
              <w:t>Birthweights</w:t>
            </w:r>
            <w:proofErr w:type="spellEnd"/>
            <w:r w:rsidRPr="00AA093E">
              <w:rPr>
                <w:rFonts w:ascii="Arial" w:hAnsi="Arial" w:cs="Arial"/>
                <w:sz w:val="20"/>
                <w:szCs w:val="20"/>
              </w:rPr>
              <w:t xml:space="preserve">, live births, Aboriginal and Torres Strait Islander mothers, 2012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EA.16</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Rates of overweight and obesity for adults, by Indigenous status, 2011–13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EA.17</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Rates of overweight and obesity for adults, by Indigenous status, 2004-05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EA.18</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Rate of overweight and obesity for children by Indigenous status, 2011–13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EA.21</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Proportion of adults who are daily smokers, by Indigenous status    </w:t>
            </w:r>
          </w:p>
        </w:tc>
      </w:tr>
      <w:tr w:rsidR="00F32913" w:rsidRPr="00AA093E" w:rsidTr="00F32913">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EA.24</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Proportion of adults at risk of long term harm from alcohol (2009 </w:t>
            </w:r>
            <w:proofErr w:type="spellStart"/>
            <w:r w:rsidRPr="00AA093E">
              <w:rPr>
                <w:rFonts w:ascii="Arial" w:hAnsi="Arial" w:cs="Arial"/>
                <w:sz w:val="20"/>
                <w:szCs w:val="20"/>
              </w:rPr>
              <w:t>NHMRC</w:t>
            </w:r>
            <w:proofErr w:type="spellEnd"/>
            <w:r w:rsidRPr="00AA093E">
              <w:rPr>
                <w:rFonts w:ascii="Arial" w:hAnsi="Arial" w:cs="Arial"/>
                <w:sz w:val="20"/>
                <w:szCs w:val="20"/>
              </w:rPr>
              <w:t xml:space="preserve"> guidelines), by Indigenous status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EA.25</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Adult abstainers from alcohol, by Indigenous status (per cent)</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EA.29</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Incidence of selected cancers, by Indigenous status (per 100 000 population)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EA.31</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Incidence of heart attacks (acute coronary events), people 25 years or over, by Indigenous status (per 100 000 people)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EA.41</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Proportion of people aged 18 years or over with type 2 diabetes (based on fasting blood glucose test), by Indigenous status, by sex, 2011–13 (per cent)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EA.42</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Proportion of people aged 25 years or over with type 2 diabetes (based on fasting blood glucose test), by Indigenous status, by sex, 2011–13 (per cent)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EA.44</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Age standardised mortality rates of potentially avoidable deaths, under 75 years, by Indigenous status, NSW, Queensland, WA, SA, NT, 2007–2011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EA.46</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Estimated life expectancies at birth, by Indigenous status and sex (years)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EA.48</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Median age at death, by Indigenous status (years)    </w:t>
            </w:r>
          </w:p>
        </w:tc>
      </w:tr>
      <w:tr w:rsidR="00F32913" w:rsidRPr="00AA093E" w:rsidTr="00551839">
        <w:trPr>
          <w:trHeight w:val="885"/>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EA.50</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Age standardised all-cause mortality rates and rate ratios, by Indigenous status, NSW, Qld, WA, SA, NT,  five year aggregate, 2008–2012 (per 100 000 people)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lastRenderedPageBreak/>
              <w:t xml:space="preserve">Table </w:t>
            </w:r>
            <w:proofErr w:type="spellStart"/>
            <w:r w:rsidRPr="00AA093E">
              <w:rPr>
                <w:rFonts w:ascii="Arial" w:hAnsi="Arial" w:cs="Arial"/>
                <w:b/>
                <w:bCs/>
                <w:color w:val="0000FF"/>
                <w:sz w:val="20"/>
                <w:szCs w:val="20"/>
              </w:rPr>
              <w:t>EA.51</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Age standardised all-cause mortality rate and rate ratios, by Indigenous status, NSW, Qld, WA, SA, NT, 2013 (per 100 000 people)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EA.53</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Infant mortality rate by Indigenous status, three year average (per 1000 live births)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EA.55</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All causes infant and child mortality, by Indigenous status, NSW, Queensland, WA, SA, NT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EA.57</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Age standardised mortality rates by major cause of death, by Indigenous status, 2008–2012         </w:t>
            </w:r>
          </w:p>
        </w:tc>
      </w:tr>
      <w:tr w:rsidR="00F32913" w:rsidRPr="00AA093E" w:rsidTr="00551839">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EA.62</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Employed health workforce, by Indigenous status and state or territory of principal practice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EA.63</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Aboriginal and Torres Strait Islander health workforce, by State/Territory, 2011    </w:t>
            </w:r>
          </w:p>
        </w:tc>
      </w:tr>
      <w:tr w:rsidR="00F32913" w:rsidRPr="00AA093E" w:rsidTr="00551839">
        <w:trPr>
          <w:trHeight w:val="357"/>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EA.64</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Aboriginal and Torres Strait Islander health workforce, by sex, 2011    </w:t>
            </w:r>
          </w:p>
        </w:tc>
      </w:tr>
      <w:tr w:rsidR="00F32913" w:rsidRPr="00AA093E" w:rsidTr="00F32913">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EA.65</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Aboriginal and Torres Strait Islander persons employed in selected health-related occupations, 2011    </w:t>
            </w:r>
          </w:p>
        </w:tc>
      </w:tr>
      <w:tr w:rsidR="00F32913" w:rsidRPr="00AA093E" w:rsidTr="00F32913">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EA.68</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Proportion of Aboriginal and Torres Strait Islander people who accessed health services by health status, 2012-13   </w:t>
            </w:r>
          </w:p>
        </w:tc>
      </w:tr>
      <w:tr w:rsidR="00F32913" w:rsidRPr="00AA093E" w:rsidTr="00F32913">
        <w:trPr>
          <w:trHeight w:val="612"/>
        </w:trPr>
        <w:tc>
          <w:tcPr>
            <w:tcW w:w="1578" w:type="dxa"/>
            <w:tcBorders>
              <w:top w:val="nil"/>
              <w:left w:val="nil"/>
              <w:bottom w:val="nil"/>
              <w:right w:val="nil"/>
            </w:tcBorders>
            <w:shd w:val="clear" w:color="auto" w:fill="auto"/>
            <w:noWrap/>
            <w:hideMark/>
          </w:tcPr>
          <w:p w:rsidR="00F32913" w:rsidRPr="00AA093E" w:rsidRDefault="00F32913" w:rsidP="00F32913">
            <w:pPr>
              <w:rPr>
                <w:rFonts w:ascii="Arial" w:hAnsi="Arial" w:cs="Arial"/>
                <w:b/>
                <w:bCs/>
                <w:color w:val="0000FF"/>
                <w:sz w:val="20"/>
                <w:szCs w:val="20"/>
              </w:rPr>
            </w:pPr>
            <w:r w:rsidRPr="00AA093E">
              <w:rPr>
                <w:rFonts w:ascii="Arial" w:hAnsi="Arial" w:cs="Arial"/>
                <w:b/>
                <w:bCs/>
                <w:color w:val="0000FF"/>
                <w:sz w:val="20"/>
                <w:szCs w:val="20"/>
              </w:rPr>
              <w:t xml:space="preserve">Table </w:t>
            </w:r>
            <w:proofErr w:type="spellStart"/>
            <w:r w:rsidRPr="00AA093E">
              <w:rPr>
                <w:rFonts w:ascii="Arial" w:hAnsi="Arial" w:cs="Arial"/>
                <w:b/>
                <w:bCs/>
                <w:color w:val="0000FF"/>
                <w:sz w:val="20"/>
                <w:szCs w:val="20"/>
              </w:rPr>
              <w:t>EA.69</w:t>
            </w:r>
            <w:proofErr w:type="spellEnd"/>
          </w:p>
        </w:tc>
        <w:tc>
          <w:tcPr>
            <w:tcW w:w="7226" w:type="dxa"/>
            <w:tcBorders>
              <w:top w:val="nil"/>
              <w:left w:val="nil"/>
              <w:bottom w:val="nil"/>
              <w:right w:val="nil"/>
            </w:tcBorders>
            <w:shd w:val="clear" w:color="auto" w:fill="auto"/>
            <w:hideMark/>
          </w:tcPr>
          <w:p w:rsidR="00F32913" w:rsidRPr="00AA093E" w:rsidRDefault="00F32913" w:rsidP="00F32913">
            <w:pPr>
              <w:jc w:val="both"/>
              <w:rPr>
                <w:rFonts w:ascii="Arial" w:hAnsi="Arial" w:cs="Arial"/>
                <w:sz w:val="20"/>
                <w:szCs w:val="20"/>
              </w:rPr>
            </w:pPr>
            <w:r w:rsidRPr="00AA093E">
              <w:rPr>
                <w:rFonts w:ascii="Arial" w:hAnsi="Arial" w:cs="Arial"/>
                <w:sz w:val="20"/>
                <w:szCs w:val="20"/>
              </w:rPr>
              <w:t xml:space="preserve">Proportion of people who accessed health services by health status, by Indigenous status, 2004-05   </w:t>
            </w:r>
          </w:p>
        </w:tc>
      </w:tr>
    </w:tbl>
    <w:p w:rsidR="001C2344" w:rsidRPr="00AA093E" w:rsidRDefault="001C2344" w:rsidP="001C2344">
      <w:pPr>
        <w:pStyle w:val="Heading3"/>
      </w:pPr>
      <w:bookmarkStart w:id="40" w:name="_Toc327870761"/>
      <w:bookmarkStart w:id="41" w:name="_Toc368581988"/>
      <w:bookmarkStart w:id="42" w:name="_Toc368582249"/>
      <w:bookmarkStart w:id="43" w:name="_Toc370136030"/>
      <w:bookmarkStart w:id="44" w:name="_Toc396743487"/>
      <w:bookmarkStart w:id="45" w:name="_Toc410121184"/>
      <w:bookmarkStart w:id="46" w:name="_Toc410121200"/>
      <w:bookmarkStart w:id="47" w:name="_Toc410820915"/>
      <w:r w:rsidRPr="00AA093E">
        <w:t>References</w:t>
      </w:r>
      <w:bookmarkEnd w:id="40"/>
      <w:bookmarkEnd w:id="41"/>
      <w:bookmarkEnd w:id="42"/>
      <w:bookmarkEnd w:id="43"/>
      <w:bookmarkEnd w:id="44"/>
      <w:bookmarkEnd w:id="45"/>
      <w:bookmarkEnd w:id="46"/>
      <w:bookmarkEnd w:id="47"/>
    </w:p>
    <w:p w:rsidR="004D3B45" w:rsidRPr="00AA093E" w:rsidRDefault="004D3B45" w:rsidP="004D3B45">
      <w:pPr>
        <w:pStyle w:val="Reference"/>
        <w:rPr>
          <w:i/>
        </w:rPr>
      </w:pPr>
      <w:r w:rsidRPr="00AA093E">
        <w:t>ABS (A</w:t>
      </w:r>
      <w:r w:rsidR="00C25C93" w:rsidRPr="00AA093E">
        <w:t xml:space="preserve">ustralian Bureau of Statistics) </w:t>
      </w:r>
      <w:proofErr w:type="spellStart"/>
      <w:r w:rsidRPr="00AA093E">
        <w:t>2014a</w:t>
      </w:r>
      <w:proofErr w:type="spellEnd"/>
      <w:r w:rsidRPr="00AA093E">
        <w:t xml:space="preserve">, </w:t>
      </w:r>
      <w:r w:rsidRPr="00AA093E">
        <w:rPr>
          <w:i/>
        </w:rPr>
        <w:t>Australian Aboriginal and Torres Strait Islander Health Survey: Updated Results, 2012-13</w:t>
      </w:r>
      <w:r w:rsidRPr="00AA093E">
        <w:t>, Cat. no. 4727.0.55.006, Canberra.</w:t>
      </w:r>
    </w:p>
    <w:p w:rsidR="004D3B45" w:rsidRPr="00AA093E" w:rsidRDefault="004D3B45" w:rsidP="004D3B45">
      <w:pPr>
        <w:pStyle w:val="Reference"/>
      </w:pPr>
      <w:r w:rsidRPr="00AA093E">
        <w:t>—— </w:t>
      </w:r>
      <w:proofErr w:type="spellStart"/>
      <w:r w:rsidRPr="00AA093E">
        <w:t>2014b</w:t>
      </w:r>
      <w:proofErr w:type="spellEnd"/>
      <w:r w:rsidRPr="00AA093E">
        <w:t xml:space="preserve">, </w:t>
      </w:r>
      <w:r w:rsidR="00C25C93" w:rsidRPr="00AA093E">
        <w:rPr>
          <w:i/>
        </w:rPr>
        <w:t xml:space="preserve">Causes of Death Australia, </w:t>
      </w:r>
      <w:r w:rsidRPr="00AA093E">
        <w:rPr>
          <w:i/>
        </w:rPr>
        <w:t>2012</w:t>
      </w:r>
      <w:r w:rsidRPr="00AA093E">
        <w:t xml:space="preserve">, Cat. no. 3303.0, Canberra. </w:t>
      </w:r>
    </w:p>
    <w:p w:rsidR="004D3B45" w:rsidRPr="00AA093E" w:rsidRDefault="004D3B45" w:rsidP="004D3B45">
      <w:pPr>
        <w:pStyle w:val="Reference"/>
        <w:rPr>
          <w:b/>
          <w:u w:val="dotted"/>
        </w:rPr>
      </w:pPr>
      <w:r w:rsidRPr="00AA093E">
        <w:t>—— </w:t>
      </w:r>
      <w:proofErr w:type="spellStart"/>
      <w:r w:rsidRPr="00AA093E">
        <w:t>2014c</w:t>
      </w:r>
      <w:proofErr w:type="spellEnd"/>
      <w:r w:rsidRPr="00AA093E">
        <w:t xml:space="preserve">, </w:t>
      </w:r>
      <w:r w:rsidR="00C25C93" w:rsidRPr="00AA093E">
        <w:rPr>
          <w:i/>
        </w:rPr>
        <w:t xml:space="preserve">Deaths </w:t>
      </w:r>
      <w:proofErr w:type="spellStart"/>
      <w:r w:rsidR="00C25C93" w:rsidRPr="00AA093E">
        <w:rPr>
          <w:i/>
        </w:rPr>
        <w:t>Australia</w:t>
      </w:r>
      <w:r w:rsidRPr="00AA093E">
        <w:rPr>
          <w:i/>
        </w:rPr>
        <w:t>2013</w:t>
      </w:r>
      <w:proofErr w:type="spellEnd"/>
      <w:r w:rsidRPr="00AA093E">
        <w:t>, Cat. no. 3302.0, Canberra.</w:t>
      </w:r>
    </w:p>
    <w:p w:rsidR="004D3B45" w:rsidRPr="00AA093E" w:rsidRDefault="004D3B45" w:rsidP="004D3B45">
      <w:pPr>
        <w:pStyle w:val="Reference"/>
      </w:pPr>
      <w:r w:rsidRPr="00AA093E">
        <w:t>—— </w:t>
      </w:r>
      <w:proofErr w:type="spellStart"/>
      <w:r w:rsidRPr="00AA093E">
        <w:t>2013a</w:t>
      </w:r>
      <w:proofErr w:type="spellEnd"/>
      <w:r w:rsidRPr="00AA093E">
        <w:t xml:space="preserve">, </w:t>
      </w:r>
      <w:r w:rsidRPr="00AA093E">
        <w:rPr>
          <w:i/>
        </w:rPr>
        <w:t>Australian Aboriginal and Torres Strait Islander Health Survey: First Results, Australia, 2012-13</w:t>
      </w:r>
      <w:r w:rsidRPr="00AA093E">
        <w:t>, Cat. no. 4727.0.55.001, Canberra.</w:t>
      </w:r>
    </w:p>
    <w:p w:rsidR="004D3B45" w:rsidRPr="00AA093E" w:rsidRDefault="004D3B45" w:rsidP="004D3B45">
      <w:pPr>
        <w:pStyle w:val="Reference"/>
      </w:pPr>
      <w:r w:rsidRPr="00AA093E">
        <w:t>—— </w:t>
      </w:r>
      <w:proofErr w:type="spellStart"/>
      <w:r w:rsidRPr="00AA093E">
        <w:t>2013b</w:t>
      </w:r>
      <w:proofErr w:type="spellEnd"/>
      <w:r w:rsidRPr="00AA093E">
        <w:t xml:space="preserve">, </w:t>
      </w:r>
      <w:r w:rsidR="00C25C93" w:rsidRPr="00AA093E">
        <w:rPr>
          <w:i/>
        </w:rPr>
        <w:t xml:space="preserve">Deaths Australia </w:t>
      </w:r>
      <w:r w:rsidRPr="00AA093E">
        <w:rPr>
          <w:i/>
        </w:rPr>
        <w:t>2012</w:t>
      </w:r>
      <w:r w:rsidRPr="00AA093E">
        <w:t>, Cat. no. 3302.0, Canberra.</w:t>
      </w:r>
    </w:p>
    <w:p w:rsidR="008119F8" w:rsidRPr="00AA093E" w:rsidRDefault="005D007A" w:rsidP="004D3B45">
      <w:pPr>
        <w:pStyle w:val="Reference"/>
      </w:pPr>
      <w:r w:rsidRPr="00AA093E">
        <w:t>——</w:t>
      </w:r>
      <w:r w:rsidR="00F05F32" w:rsidRPr="00AA093E">
        <w:t> </w:t>
      </w:r>
      <w:proofErr w:type="spellStart"/>
      <w:r w:rsidRPr="00AA093E">
        <w:t>2013c</w:t>
      </w:r>
      <w:proofErr w:type="spellEnd"/>
      <w:r w:rsidRPr="00AA093E">
        <w:t>, Australian Health Survey: Updated Results, 2011–12, Table 12, Cat. no. 4364.0.55, Canberra.</w:t>
      </w:r>
    </w:p>
    <w:p w:rsidR="004D3B45" w:rsidRPr="00AA093E" w:rsidRDefault="004D3B45" w:rsidP="004D3B45">
      <w:pPr>
        <w:pStyle w:val="Reference"/>
      </w:pPr>
      <w:r w:rsidRPr="00AA093E">
        <w:t xml:space="preserve">—— 2007, </w:t>
      </w:r>
      <w:r w:rsidRPr="00AA093E">
        <w:rPr>
          <w:i/>
        </w:rPr>
        <w:t>Housing and Infrastructure in Aboriginal and Torres Islander Communities 2006, Australia, (Reissue)</w:t>
      </w:r>
      <w:r w:rsidRPr="00AA093E">
        <w:t>, Cat. no. 4710.0, Canberra.</w:t>
      </w:r>
    </w:p>
    <w:p w:rsidR="004D3B45" w:rsidRPr="00AA093E" w:rsidRDefault="004D3B45" w:rsidP="004D3B45">
      <w:pPr>
        <w:pStyle w:val="Reference"/>
      </w:pPr>
      <w:r w:rsidRPr="00AA093E">
        <w:t>—— and AIHW (Australian I</w:t>
      </w:r>
      <w:r w:rsidR="00F05F32" w:rsidRPr="00AA093E">
        <w:t xml:space="preserve">nstitute of Health and Welfare) </w:t>
      </w:r>
      <w:r w:rsidRPr="00AA093E">
        <w:t xml:space="preserve">2008, </w:t>
      </w:r>
      <w:r w:rsidRPr="00AA093E">
        <w:rPr>
          <w:i/>
        </w:rPr>
        <w:t>The Health and Welfare of Australia’s Aboriginal and Torres Strait Islander Peoples, 2008</w:t>
      </w:r>
      <w:r w:rsidRPr="00AA093E">
        <w:t>, ABS Cat. no. 4704.0, Canberra.</w:t>
      </w:r>
    </w:p>
    <w:p w:rsidR="00222DFE" w:rsidRPr="00AA093E" w:rsidRDefault="00222DFE" w:rsidP="00222DFE">
      <w:pPr>
        <w:pStyle w:val="Reference"/>
        <w:shd w:val="clear" w:color="auto" w:fill="FFFFFF" w:themeFill="background1"/>
      </w:pPr>
      <w:proofErr w:type="spellStart"/>
      <w:r w:rsidRPr="00AA093E">
        <w:t>AHMAC</w:t>
      </w:r>
      <w:proofErr w:type="spellEnd"/>
      <w:r w:rsidRPr="00AA093E">
        <w:t xml:space="preserve"> (Australian Health Ministers’ Advisory Council) 2012, </w:t>
      </w:r>
      <w:r w:rsidRPr="00AA093E">
        <w:rPr>
          <w:i/>
        </w:rPr>
        <w:t>Aboriginal and Torres Strait Islander Health Performance Framework 2012 Report</w:t>
      </w:r>
      <w:r w:rsidRPr="00AA093E">
        <w:t>, Canberra.</w:t>
      </w:r>
    </w:p>
    <w:p w:rsidR="003742D0" w:rsidRDefault="00222DFE" w:rsidP="004D3B45">
      <w:pPr>
        <w:pStyle w:val="Reference"/>
      </w:pPr>
      <w:proofErr w:type="spellStart"/>
      <w:r w:rsidRPr="00AA093E">
        <w:t>AIHW</w:t>
      </w:r>
      <w:proofErr w:type="spellEnd"/>
      <w:r w:rsidR="00F05F32" w:rsidRPr="00AA093E">
        <w:t xml:space="preserve"> </w:t>
      </w:r>
      <w:proofErr w:type="spellStart"/>
      <w:r w:rsidRPr="00AA093E">
        <w:t>2014</w:t>
      </w:r>
      <w:r w:rsidR="00F05F32" w:rsidRPr="00AA093E">
        <w:t>a</w:t>
      </w:r>
      <w:proofErr w:type="spellEnd"/>
      <w:r w:rsidRPr="00AA093E">
        <w:t xml:space="preserve">, </w:t>
      </w:r>
      <w:r w:rsidRPr="00AA093E">
        <w:rPr>
          <w:i/>
        </w:rPr>
        <w:t>Australia’s health 2014</w:t>
      </w:r>
      <w:r w:rsidRPr="00AA093E">
        <w:t xml:space="preserve">, Australia’s health series no. 14, Cat. no. </w:t>
      </w:r>
      <w:proofErr w:type="spellStart"/>
      <w:r w:rsidRPr="00AA093E">
        <w:t>AUS</w:t>
      </w:r>
      <w:proofErr w:type="spellEnd"/>
      <w:r w:rsidRPr="00AA093E">
        <w:t xml:space="preserve"> 178, Canberra.</w:t>
      </w:r>
    </w:p>
    <w:p w:rsidR="004D3B45" w:rsidRPr="00AA093E" w:rsidRDefault="00222DFE" w:rsidP="004D3B45">
      <w:pPr>
        <w:pStyle w:val="Reference"/>
      </w:pPr>
      <w:r w:rsidRPr="00AA093E">
        <w:lastRenderedPageBreak/>
        <w:t xml:space="preserve">—— </w:t>
      </w:r>
      <w:proofErr w:type="spellStart"/>
      <w:r w:rsidR="004D3B45" w:rsidRPr="00AA093E">
        <w:t>2014</w:t>
      </w:r>
      <w:r w:rsidR="00F05F32" w:rsidRPr="00AA093E">
        <w:t>b</w:t>
      </w:r>
      <w:proofErr w:type="spellEnd"/>
      <w:r w:rsidR="004D3B45" w:rsidRPr="00AA093E">
        <w:t xml:space="preserve">, </w:t>
      </w:r>
      <w:proofErr w:type="spellStart"/>
      <w:r w:rsidR="004D3B45" w:rsidRPr="00AA093E">
        <w:rPr>
          <w:i/>
        </w:rPr>
        <w:t>Birthweight</w:t>
      </w:r>
      <w:proofErr w:type="spellEnd"/>
      <w:r w:rsidR="004D3B45" w:rsidRPr="00AA093E">
        <w:rPr>
          <w:i/>
        </w:rPr>
        <w:t xml:space="preserve"> of babies born to Indigenous mothers</w:t>
      </w:r>
      <w:r w:rsidR="004D3B45" w:rsidRPr="00AA093E">
        <w:t xml:space="preserve">, Cat. no. </w:t>
      </w:r>
      <w:proofErr w:type="spellStart"/>
      <w:r w:rsidR="004D3B45" w:rsidRPr="00AA093E">
        <w:t>IHW</w:t>
      </w:r>
      <w:proofErr w:type="spellEnd"/>
      <w:r w:rsidR="004D3B45" w:rsidRPr="00AA093E">
        <w:t xml:space="preserve"> 138, Canberra.</w:t>
      </w:r>
    </w:p>
    <w:p w:rsidR="004D3B45" w:rsidRPr="00AA093E" w:rsidRDefault="004D3B45" w:rsidP="004D3B45">
      <w:pPr>
        <w:pStyle w:val="Reference"/>
      </w:pPr>
      <w:r w:rsidRPr="00AA093E">
        <w:rPr>
          <w:lang w:val="en"/>
        </w:rPr>
        <w:t>—— </w:t>
      </w:r>
      <w:proofErr w:type="spellStart"/>
      <w:r w:rsidRPr="00AA093E">
        <w:rPr>
          <w:lang w:val="en"/>
        </w:rPr>
        <w:t>2013a</w:t>
      </w:r>
      <w:proofErr w:type="spellEnd"/>
      <w:r w:rsidRPr="00AA093E">
        <w:rPr>
          <w:lang w:val="en"/>
        </w:rPr>
        <w:t xml:space="preserve">, </w:t>
      </w:r>
      <w:r w:rsidRPr="00AA093E">
        <w:rPr>
          <w:i/>
          <w:lang w:val="en"/>
        </w:rPr>
        <w:t>Expenditure on health for Aboriginal and Torres Strait Islander people 2010</w:t>
      </w:r>
      <w:r w:rsidR="00350E00" w:rsidRPr="00AA093E">
        <w:rPr>
          <w:i/>
          <w:lang w:val="en"/>
        </w:rPr>
        <w:noBreakHyphen/>
      </w:r>
      <w:r w:rsidRPr="00AA093E">
        <w:rPr>
          <w:i/>
          <w:lang w:val="en"/>
        </w:rPr>
        <w:t>11</w:t>
      </w:r>
      <w:r w:rsidRPr="00AA093E">
        <w:rPr>
          <w:lang w:val="en"/>
        </w:rPr>
        <w:t xml:space="preserve">, Health and welfare expenditure series no. 48, Cat. no. </w:t>
      </w:r>
      <w:proofErr w:type="spellStart"/>
      <w:r w:rsidRPr="00AA093E">
        <w:rPr>
          <w:lang w:val="en"/>
        </w:rPr>
        <w:t>HWE</w:t>
      </w:r>
      <w:proofErr w:type="spellEnd"/>
      <w:r w:rsidRPr="00AA093E">
        <w:rPr>
          <w:lang w:val="en"/>
        </w:rPr>
        <w:t xml:space="preserve"> 57, Canberra.</w:t>
      </w:r>
    </w:p>
    <w:p w:rsidR="004D3B45" w:rsidRPr="00AA093E" w:rsidRDefault="004D3B45" w:rsidP="004D3B45">
      <w:pPr>
        <w:pStyle w:val="Reference"/>
      </w:pPr>
      <w:r w:rsidRPr="00AA093E">
        <w:t>—— </w:t>
      </w:r>
      <w:proofErr w:type="spellStart"/>
      <w:r w:rsidRPr="00AA093E">
        <w:t>2013b</w:t>
      </w:r>
      <w:proofErr w:type="spellEnd"/>
      <w:r w:rsidRPr="00AA093E">
        <w:t xml:space="preserve">, </w:t>
      </w:r>
      <w:r w:rsidRPr="00AA093E">
        <w:rPr>
          <w:i/>
        </w:rPr>
        <w:t>Why are mortality data important?</w:t>
      </w:r>
      <w:r w:rsidRPr="00AA093E">
        <w:t>, www.aihw.gov.au/why-are-mortali</w:t>
      </w:r>
      <w:r w:rsidR="00C25C93" w:rsidRPr="00AA093E">
        <w:t xml:space="preserve">ty-data-important/ (accessed 29 August </w:t>
      </w:r>
      <w:r w:rsidRPr="00AA093E">
        <w:t>2013).</w:t>
      </w:r>
    </w:p>
    <w:p w:rsidR="004D3B45" w:rsidRPr="00AA093E" w:rsidRDefault="004D3B45" w:rsidP="004D3B45">
      <w:pPr>
        <w:pStyle w:val="Reference"/>
      </w:pPr>
      <w:r w:rsidRPr="00AA093E">
        <w:t xml:space="preserve">—— 2012, </w:t>
      </w:r>
      <w:r w:rsidRPr="00AA093E">
        <w:rPr>
          <w:i/>
        </w:rPr>
        <w:t>Australia’s Health 2012</w:t>
      </w:r>
      <w:r w:rsidR="00C25C93" w:rsidRPr="00AA093E">
        <w:t xml:space="preserve">, Australia’s health series no. </w:t>
      </w:r>
      <w:r w:rsidRPr="00AA093E">
        <w:t xml:space="preserve">13, </w:t>
      </w:r>
      <w:r w:rsidRPr="00AA093E">
        <w:br/>
        <w:t>Cat. no. AUS 156, Canberra.</w:t>
      </w:r>
    </w:p>
    <w:p w:rsidR="004D3B45" w:rsidRPr="00AA093E" w:rsidRDefault="004D3B45" w:rsidP="004D3B45">
      <w:pPr>
        <w:pStyle w:val="Reference"/>
      </w:pPr>
      <w:r w:rsidRPr="00AA093E">
        <w:t xml:space="preserve">—— 2011, </w:t>
      </w:r>
      <w:r w:rsidRPr="00AA093E">
        <w:rPr>
          <w:i/>
        </w:rPr>
        <w:t xml:space="preserve">National outcome measures for early childhood development — development of an indicator based reporting framework, </w:t>
      </w:r>
      <w:r w:rsidRPr="00AA093E">
        <w:t xml:space="preserve">Cat. no. </w:t>
      </w:r>
      <w:proofErr w:type="spellStart"/>
      <w:r w:rsidRPr="00AA093E">
        <w:t>PHE</w:t>
      </w:r>
      <w:proofErr w:type="spellEnd"/>
      <w:r w:rsidRPr="00AA093E">
        <w:t xml:space="preserve"> 134, Canberra.</w:t>
      </w:r>
    </w:p>
    <w:p w:rsidR="004D3B45" w:rsidRPr="00AA093E" w:rsidRDefault="004D3B45" w:rsidP="004D3B45">
      <w:pPr>
        <w:pStyle w:val="Reference"/>
      </w:pPr>
      <w:proofErr w:type="spellStart"/>
      <w:r w:rsidRPr="00AA093E">
        <w:t>AIHW</w:t>
      </w:r>
      <w:proofErr w:type="spellEnd"/>
      <w:r w:rsidRPr="00AA093E">
        <w:t xml:space="preserve"> </w:t>
      </w:r>
      <w:proofErr w:type="spellStart"/>
      <w:r w:rsidRPr="00AA093E">
        <w:t>NPESU</w:t>
      </w:r>
      <w:proofErr w:type="spellEnd"/>
      <w:r w:rsidRPr="00AA093E">
        <w:t xml:space="preserve"> (National Perinatal Epidemiology and Statistics Unit) and AIHW 2013, </w:t>
      </w:r>
      <w:r w:rsidRPr="00AA093E">
        <w:rPr>
          <w:i/>
        </w:rPr>
        <w:t>National core maternity indicators</w:t>
      </w:r>
      <w:r w:rsidRPr="00AA093E">
        <w:t>, Cat. no. PER 58, Canberra.</w:t>
      </w:r>
    </w:p>
    <w:p w:rsidR="004D3B45" w:rsidRPr="00AA093E" w:rsidRDefault="00F05F32" w:rsidP="004D3B45">
      <w:pPr>
        <w:pStyle w:val="Reference"/>
        <w:jc w:val="left"/>
      </w:pPr>
      <w:proofErr w:type="spellStart"/>
      <w:r w:rsidRPr="00AA093E">
        <w:t>AMA</w:t>
      </w:r>
      <w:proofErr w:type="spellEnd"/>
      <w:r w:rsidRPr="00AA093E">
        <w:t xml:space="preserve"> </w:t>
      </w:r>
      <w:r w:rsidR="004D3B45" w:rsidRPr="00AA093E">
        <w:t xml:space="preserve">(Australian Medical Association) 2001, </w:t>
      </w:r>
      <w:r w:rsidR="004D3B45" w:rsidRPr="00AA093E">
        <w:rPr>
          <w:i/>
        </w:rPr>
        <w:t>The Links Between Health and Education For Indigenous Australian Children</w:t>
      </w:r>
      <w:r w:rsidR="004D3B45" w:rsidRPr="00AA093E">
        <w:t xml:space="preserve">, </w:t>
      </w:r>
      <w:proofErr w:type="spellStart"/>
      <w:r w:rsidR="004D3B45" w:rsidRPr="00AA093E">
        <w:t>ama.com.au</w:t>
      </w:r>
      <w:proofErr w:type="spellEnd"/>
      <w:r w:rsidR="004D3B45" w:rsidRPr="00AA093E">
        <w:t>/node/508 (accessed 12 October 2011).</w:t>
      </w:r>
    </w:p>
    <w:p w:rsidR="004D3B45" w:rsidRPr="00AA093E" w:rsidRDefault="004D3B45" w:rsidP="004D3B45">
      <w:pPr>
        <w:pStyle w:val="Reference"/>
      </w:pPr>
      <w:proofErr w:type="spellStart"/>
      <w:r w:rsidRPr="00AA093E">
        <w:t>Coory</w:t>
      </w:r>
      <w:proofErr w:type="spellEnd"/>
      <w:r w:rsidRPr="00AA093E">
        <w:t xml:space="preserve"> and Baade 2003, </w:t>
      </w:r>
      <w:r w:rsidRPr="00AA093E">
        <w:rPr>
          <w:i/>
        </w:rPr>
        <w:t>Is median age at death a useful way to monitor improvements in mortality among Indigenous Australians</w:t>
      </w:r>
      <w:r w:rsidRPr="00AA093E">
        <w:t>, Australia New Zealand Journal of Public Health, 27: 627-31.</w:t>
      </w:r>
    </w:p>
    <w:p w:rsidR="004D3B45" w:rsidRPr="00AA093E" w:rsidRDefault="00C25C93" w:rsidP="004D3B45">
      <w:pPr>
        <w:pStyle w:val="Reference"/>
      </w:pPr>
      <w:proofErr w:type="spellStart"/>
      <w:r w:rsidRPr="00AA093E">
        <w:t>HealthInsite</w:t>
      </w:r>
      <w:proofErr w:type="spellEnd"/>
      <w:r w:rsidRPr="00AA093E">
        <w:t xml:space="preserve"> </w:t>
      </w:r>
      <w:r w:rsidR="004D3B45" w:rsidRPr="00AA093E">
        <w:t xml:space="preserve">2011, </w:t>
      </w:r>
      <w:r w:rsidR="004D3B45" w:rsidRPr="00AA093E">
        <w:rPr>
          <w:i/>
        </w:rPr>
        <w:t>Health effects of smoking</w:t>
      </w:r>
      <w:r w:rsidR="004D3B45" w:rsidRPr="00AA093E">
        <w:t>,</w:t>
      </w:r>
      <w:r w:rsidR="004D3B45" w:rsidRPr="00AA093E">
        <w:rPr>
          <w:i/>
        </w:rPr>
        <w:t xml:space="preserve"> </w:t>
      </w:r>
      <w:proofErr w:type="spellStart"/>
      <w:r w:rsidRPr="00AA093E">
        <w:t>www.healthinsite.gov.au</w:t>
      </w:r>
      <w:proofErr w:type="spellEnd"/>
      <w:r w:rsidRPr="00AA093E">
        <w:t>/</w:t>
      </w:r>
      <w:r w:rsidR="004D3B45" w:rsidRPr="00AA093E">
        <w:t>topics/</w:t>
      </w:r>
      <w:r w:rsidRPr="00AA093E">
        <w:br/>
      </w:r>
      <w:proofErr w:type="spellStart"/>
      <w:r w:rsidR="004D3B45" w:rsidRPr="00AA093E">
        <w:t>Health_Effects_of_Smokin</w:t>
      </w:r>
      <w:r w:rsidRPr="00AA093E">
        <w:t>g</w:t>
      </w:r>
      <w:proofErr w:type="spellEnd"/>
      <w:r w:rsidRPr="00AA093E">
        <w:t xml:space="preserve">, (accessed 30 </w:t>
      </w:r>
      <w:r w:rsidR="004D3B45" w:rsidRPr="00AA093E">
        <w:t>September 2011).</w:t>
      </w:r>
    </w:p>
    <w:p w:rsidR="004D3B45" w:rsidRPr="00AA093E" w:rsidRDefault="004D3B45" w:rsidP="004D3B45">
      <w:pPr>
        <w:pStyle w:val="Reference"/>
      </w:pPr>
      <w:r w:rsidRPr="00AA093E">
        <w:t xml:space="preserve">Li Z., </w:t>
      </w:r>
      <w:proofErr w:type="spellStart"/>
      <w:r w:rsidRPr="00AA093E">
        <w:t>Zeki</w:t>
      </w:r>
      <w:proofErr w:type="spellEnd"/>
      <w:r w:rsidRPr="00AA093E">
        <w:t xml:space="preserve"> R., </w:t>
      </w:r>
      <w:proofErr w:type="spellStart"/>
      <w:r w:rsidRPr="00AA093E">
        <w:t>Hilder</w:t>
      </w:r>
      <w:proofErr w:type="spellEnd"/>
      <w:r w:rsidRPr="00AA093E">
        <w:t xml:space="preserve"> L. and Sullivan </w:t>
      </w:r>
      <w:proofErr w:type="spellStart"/>
      <w:r w:rsidRPr="00AA093E">
        <w:t>E.A</w:t>
      </w:r>
      <w:proofErr w:type="spellEnd"/>
      <w:r w:rsidRPr="00AA093E">
        <w:t xml:space="preserve">. 2013, </w:t>
      </w:r>
      <w:r w:rsidRPr="00AA093E">
        <w:rPr>
          <w:i/>
        </w:rPr>
        <w:t>Australia’s mothers and babies 2011</w:t>
      </w:r>
      <w:r w:rsidRPr="00AA093E">
        <w:t>, Perinatal statistics series no. 28, Cat. no. PER 59, Canberra: AIHW National Perinatal Epidemiology and Statistics Unit.</w:t>
      </w:r>
    </w:p>
    <w:p w:rsidR="004D3B45" w:rsidRPr="00AA093E" w:rsidRDefault="00AA093E" w:rsidP="004D3B45">
      <w:pPr>
        <w:pStyle w:val="Reference"/>
      </w:pPr>
      <w:r w:rsidRPr="00AA093E">
        <w:t>COAG</w:t>
      </w:r>
      <w:r w:rsidR="004D3B45" w:rsidRPr="00AA093E">
        <w:t xml:space="preserve"> (</w:t>
      </w:r>
      <w:r w:rsidRPr="00AA093E">
        <w:t>Council of Australian Governments</w:t>
      </w:r>
      <w:r w:rsidR="00C25C93" w:rsidRPr="00AA093E">
        <w:t xml:space="preserve">) </w:t>
      </w:r>
      <w:r w:rsidR="004D3B45" w:rsidRPr="00AA093E">
        <w:t xml:space="preserve">2012, </w:t>
      </w:r>
      <w:r w:rsidR="004D3B45" w:rsidRPr="00AA093E">
        <w:rPr>
          <w:i/>
        </w:rPr>
        <w:t>National Healthcare Agreement</w:t>
      </w:r>
      <w:r w:rsidR="004D3B45" w:rsidRPr="00AA093E">
        <w:t>, Canberra, www.fe</w:t>
      </w:r>
      <w:r w:rsidR="00C25C93" w:rsidRPr="00AA093E">
        <w:t>deralfinancialrelations.gov.au/</w:t>
      </w:r>
      <w:r w:rsidR="004D3B45" w:rsidRPr="00AA093E">
        <w:t>content/national_agreements.aspx (accessed 8 January 2014).</w:t>
      </w:r>
    </w:p>
    <w:p w:rsidR="004D3B45" w:rsidRPr="00AA093E" w:rsidRDefault="00C25C93" w:rsidP="004D3B45">
      <w:pPr>
        <w:pStyle w:val="Reference"/>
      </w:pPr>
      <w:proofErr w:type="spellStart"/>
      <w:r w:rsidRPr="00AA093E">
        <w:t>NHMRC</w:t>
      </w:r>
      <w:proofErr w:type="spellEnd"/>
      <w:r w:rsidRPr="00AA093E">
        <w:t xml:space="preserve"> </w:t>
      </w:r>
      <w:r w:rsidR="004D3B45" w:rsidRPr="00AA093E">
        <w:t xml:space="preserve">(National Health and Medical Research Council) 2009, </w:t>
      </w:r>
      <w:r w:rsidR="004D3B45" w:rsidRPr="00AA093E">
        <w:rPr>
          <w:i/>
        </w:rPr>
        <w:t>Australian Guidelines to Reduce Health Risks from Drinking Alcohol</w:t>
      </w:r>
      <w:r w:rsidR="004D3B45" w:rsidRPr="00AA093E">
        <w:t>, Commonwealth of Australia, Canberra.</w:t>
      </w:r>
    </w:p>
    <w:p w:rsidR="004D3B45" w:rsidRPr="00AA093E" w:rsidRDefault="004D3B45" w:rsidP="004D3B45">
      <w:pPr>
        <w:pStyle w:val="Reference"/>
      </w:pPr>
      <w:r w:rsidRPr="00AA093E">
        <w:t xml:space="preserve">—— 2013, </w:t>
      </w:r>
      <w:r w:rsidRPr="00AA093E">
        <w:rPr>
          <w:i/>
        </w:rPr>
        <w:t>Clinical Practice Guidelines for the Management of Overweight and Obesity in Adults, Adolescents and Children in Australia (2013)</w:t>
      </w:r>
      <w:r w:rsidRPr="00AA093E">
        <w:t>, Canberra.</w:t>
      </w:r>
    </w:p>
    <w:p w:rsidR="004D3B45" w:rsidRPr="00AA093E" w:rsidRDefault="004D3B45" w:rsidP="004D3B45">
      <w:pPr>
        <w:pStyle w:val="Reference"/>
      </w:pPr>
      <w:proofErr w:type="spellStart"/>
      <w:r w:rsidRPr="00AA093E">
        <w:rPr>
          <w:iCs/>
        </w:rPr>
        <w:t>NPHT</w:t>
      </w:r>
      <w:proofErr w:type="spellEnd"/>
      <w:r w:rsidRPr="00AA093E">
        <w:rPr>
          <w:iCs/>
        </w:rPr>
        <w:t xml:space="preserve"> (National Preventative Health Taskforce) 2009, </w:t>
      </w:r>
      <w:r w:rsidRPr="00AA093E">
        <w:rPr>
          <w:i/>
          <w:iCs/>
        </w:rPr>
        <w:t>Australia: The Healthiest Country by 2020 – National Preventative Health Strategy – Overview</w:t>
      </w:r>
      <w:r w:rsidRPr="00AA093E">
        <w:rPr>
          <w:iCs/>
        </w:rPr>
        <w:t>,</w:t>
      </w:r>
      <w:r w:rsidRPr="00AA093E">
        <w:t xml:space="preserve"> Commonwealth of Australia, Canberra.</w:t>
      </w:r>
    </w:p>
    <w:p w:rsidR="004D3B45" w:rsidRPr="00AA093E" w:rsidRDefault="004D3B45" w:rsidP="004D3B45">
      <w:pPr>
        <w:pStyle w:val="Reference"/>
      </w:pPr>
      <w:r w:rsidRPr="00AA093E">
        <w:t>SCRGSP (Steering Committee for the Review o</w:t>
      </w:r>
      <w:r w:rsidR="00C25C93" w:rsidRPr="00AA093E">
        <w:t xml:space="preserve">f Government Service Provision) </w:t>
      </w:r>
      <w:r w:rsidRPr="00AA093E">
        <w:t xml:space="preserve">2014, </w:t>
      </w:r>
      <w:r w:rsidRPr="00AA093E">
        <w:rPr>
          <w:i/>
        </w:rPr>
        <w:t>Overcoming Indigenous Disadvantage: Key Indicators 2014</w:t>
      </w:r>
      <w:r w:rsidRPr="00AA093E">
        <w:t>, Productivity Commission, Canberra.</w:t>
      </w:r>
    </w:p>
    <w:p w:rsidR="004D3B45" w:rsidRPr="00AA093E" w:rsidRDefault="00C25C93" w:rsidP="004D3B45">
      <w:pPr>
        <w:pStyle w:val="Reference"/>
      </w:pPr>
      <w:r w:rsidRPr="00AA093E">
        <w:t xml:space="preserve">WHO </w:t>
      </w:r>
      <w:r w:rsidR="004D3B45" w:rsidRPr="00AA093E">
        <w:t xml:space="preserve">(World Health Organization) 2000, </w:t>
      </w:r>
      <w:r w:rsidR="004D3B45" w:rsidRPr="00AA093E">
        <w:rPr>
          <w:i/>
        </w:rPr>
        <w:t>Obesity: Preventing and Managing the Global Epidemic</w:t>
      </w:r>
      <w:r w:rsidR="004D3B45" w:rsidRPr="00AA093E">
        <w:t>, WHO Technical Report Series No. 894, Geneva.</w:t>
      </w:r>
    </w:p>
    <w:p w:rsidR="00F05F32" w:rsidRPr="00AA093E" w:rsidRDefault="00F05F32">
      <w:pPr>
        <w:rPr>
          <w:szCs w:val="20"/>
        </w:rPr>
      </w:pPr>
      <w:r w:rsidRPr="00AA093E">
        <w:br w:type="page"/>
      </w:r>
    </w:p>
    <w:p w:rsidR="00D51212" w:rsidRPr="00F05F32" w:rsidRDefault="004D3B45" w:rsidP="004D3B45">
      <w:pPr>
        <w:pStyle w:val="Reference"/>
      </w:pPr>
      <w:r w:rsidRPr="00AA093E">
        <w:lastRenderedPageBreak/>
        <w:t xml:space="preserve">Zhao, Y. Wright, J. </w:t>
      </w:r>
      <w:proofErr w:type="spellStart"/>
      <w:r w:rsidRPr="00AA093E">
        <w:t>Begg</w:t>
      </w:r>
      <w:proofErr w:type="spellEnd"/>
      <w:r w:rsidRPr="00AA093E">
        <w:t xml:space="preserve">, S. and Guthridge, S. 2013, Decomposing Indigenous life expectancy gap by risk factors: a life table analysis. </w:t>
      </w:r>
      <w:r w:rsidRPr="00AA093E">
        <w:rPr>
          <w:i/>
        </w:rPr>
        <w:t>Population Health Metrics</w:t>
      </w:r>
      <w:r w:rsidRPr="00AA093E">
        <w:t xml:space="preserve"> 2013, vol. 11, no. 1 (</w:t>
      </w:r>
      <w:proofErr w:type="spellStart"/>
      <w:r w:rsidRPr="00AA093E">
        <w:t>www.pophealthmetrics.com</w:t>
      </w:r>
      <w:proofErr w:type="spellEnd"/>
      <w:r w:rsidRPr="00AA093E">
        <w:t>/content/11/1/1, accessed 22 November 2013).</w:t>
      </w:r>
    </w:p>
    <w:sectPr w:rsidR="00D51212" w:rsidRPr="00F05F32" w:rsidSect="00C25C93">
      <w:headerReference w:type="even" r:id="rId19"/>
      <w:headerReference w:type="default" r:id="rId20"/>
      <w:footerReference w:type="even" r:id="rId21"/>
      <w:footerReference w:type="default" r:id="rId2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CEA" w:rsidRDefault="00287CEA">
      <w:r>
        <w:separator/>
      </w:r>
    </w:p>
  </w:endnote>
  <w:endnote w:type="continuationSeparator" w:id="0">
    <w:p w:rsidR="00287CEA" w:rsidRDefault="0028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87CEA" w:rsidTr="001E414C">
      <w:trPr>
        <w:trHeight w:hRule="exact" w:val="567"/>
      </w:trPr>
      <w:tc>
        <w:tcPr>
          <w:tcW w:w="510" w:type="dxa"/>
        </w:tcPr>
        <w:p w:rsidR="00287CEA" w:rsidRPr="00A24443" w:rsidRDefault="00287CEA"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sidR="000A7843">
            <w:rPr>
              <w:rStyle w:val="PageNumber"/>
            </w:rPr>
            <w:t>E.</w:t>
          </w:r>
          <w:r>
            <w:rPr>
              <w:rStyle w:val="PageNumber"/>
            </w:rPr>
            <w:fldChar w:fldCharType="end"/>
          </w:r>
          <w:proofErr w:type="spellEnd"/>
          <w:r>
            <w:rPr>
              <w:rStyle w:val="PageNumber"/>
            </w:rPr>
            <w:fldChar w:fldCharType="begin"/>
          </w:r>
          <w:r>
            <w:rPr>
              <w:rStyle w:val="PageNumber"/>
            </w:rPr>
            <w:instrText xml:space="preserve">PAGE  </w:instrText>
          </w:r>
          <w:r>
            <w:rPr>
              <w:rStyle w:val="PageNumber"/>
            </w:rPr>
            <w:fldChar w:fldCharType="separate"/>
          </w:r>
          <w:r w:rsidR="000A7843">
            <w:rPr>
              <w:rStyle w:val="PageNumber"/>
              <w:noProof/>
            </w:rPr>
            <w:t>20</w:t>
          </w:r>
          <w:r>
            <w:rPr>
              <w:rStyle w:val="PageNumber"/>
            </w:rPr>
            <w:fldChar w:fldCharType="end"/>
          </w:r>
        </w:p>
      </w:tc>
      <w:tc>
        <w:tcPr>
          <w:tcW w:w="7767" w:type="dxa"/>
        </w:tcPr>
        <w:p w:rsidR="00287CEA" w:rsidRPr="0013739A" w:rsidRDefault="00287CEA" w:rsidP="001E414C">
          <w:pPr>
            <w:pStyle w:val="Footer"/>
            <w:rPr>
              <w:rFonts w:cs="Arial"/>
            </w:rPr>
          </w:pPr>
          <w:r>
            <w:rPr>
              <w:rFonts w:cs="Arial"/>
            </w:rPr>
            <w:t>Report on Government Services 2015</w:t>
          </w:r>
          <w:bookmarkStart w:id="48" w:name="DraftReportEven"/>
          <w:bookmarkEnd w:id="48"/>
        </w:p>
      </w:tc>
      <w:tc>
        <w:tcPr>
          <w:tcW w:w="510" w:type="dxa"/>
        </w:tcPr>
        <w:p w:rsidR="00287CEA" w:rsidRDefault="00287CEA" w:rsidP="0019293B">
          <w:pPr>
            <w:pStyle w:val="Footer"/>
          </w:pPr>
        </w:p>
      </w:tc>
    </w:tr>
  </w:tbl>
  <w:p w:rsidR="00287CEA" w:rsidRDefault="00287CEA" w:rsidP="0019293B">
    <w:pPr>
      <w:pStyle w:val="FooterEnd"/>
    </w:pPr>
  </w:p>
  <w:p w:rsidR="00287CEA" w:rsidRDefault="00287CE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87CEA" w:rsidTr="001E414C">
      <w:trPr>
        <w:trHeight w:hRule="exact" w:val="567"/>
      </w:trPr>
      <w:tc>
        <w:tcPr>
          <w:tcW w:w="510" w:type="dxa"/>
        </w:tcPr>
        <w:p w:rsidR="00287CEA" w:rsidRDefault="00287CEA">
          <w:pPr>
            <w:pStyle w:val="Footer"/>
            <w:ind w:right="360" w:firstLine="360"/>
          </w:pPr>
          <w:bookmarkStart w:id="49" w:name="_AppendixByChapter"/>
          <w:bookmarkEnd w:id="49"/>
        </w:p>
      </w:tc>
      <w:tc>
        <w:tcPr>
          <w:tcW w:w="7767" w:type="dxa"/>
        </w:tcPr>
        <w:p w:rsidR="00287CEA" w:rsidRPr="00BA5B14" w:rsidRDefault="00287CEA" w:rsidP="001E414C">
          <w:pPr>
            <w:pStyle w:val="Footer"/>
            <w:jc w:val="right"/>
            <w:rPr>
              <w:rFonts w:cs="Arial"/>
            </w:rPr>
          </w:pPr>
          <w:r>
            <w:rPr>
              <w:rFonts w:cs="Arial"/>
            </w:rPr>
            <w:t>Indigenous Compendium 2015</w:t>
          </w:r>
        </w:p>
      </w:tc>
      <w:tc>
        <w:tcPr>
          <w:tcW w:w="510" w:type="dxa"/>
        </w:tcPr>
        <w:p w:rsidR="00287CEA" w:rsidRPr="00A24443" w:rsidRDefault="00287CEA">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sidR="000A7843">
            <w:rPr>
              <w:rStyle w:val="PageNumber"/>
            </w:rPr>
            <w:t>E.</w:t>
          </w:r>
          <w:r>
            <w:rPr>
              <w:rStyle w:val="PageNumber"/>
            </w:rPr>
            <w:fldChar w:fldCharType="end"/>
          </w:r>
          <w:proofErr w:type="spellEnd"/>
          <w:r>
            <w:rPr>
              <w:rStyle w:val="PageNumber"/>
            </w:rPr>
            <w:fldChar w:fldCharType="begin"/>
          </w:r>
          <w:r>
            <w:rPr>
              <w:rStyle w:val="PageNumber"/>
            </w:rPr>
            <w:instrText xml:space="preserve">PAGE  </w:instrText>
          </w:r>
          <w:r>
            <w:rPr>
              <w:rStyle w:val="PageNumber"/>
            </w:rPr>
            <w:fldChar w:fldCharType="separate"/>
          </w:r>
          <w:r w:rsidR="000A7843">
            <w:rPr>
              <w:rStyle w:val="PageNumber"/>
              <w:noProof/>
            </w:rPr>
            <w:t>19</w:t>
          </w:r>
          <w:r>
            <w:rPr>
              <w:rStyle w:val="PageNumber"/>
            </w:rPr>
            <w:fldChar w:fldCharType="end"/>
          </w:r>
        </w:p>
      </w:tc>
    </w:tr>
  </w:tbl>
  <w:p w:rsidR="00287CEA" w:rsidRDefault="00287CEA">
    <w:pPr>
      <w:pStyle w:val="FooterEnd"/>
    </w:pPr>
  </w:p>
  <w:p w:rsidR="00287CEA" w:rsidRDefault="00287CE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CEA" w:rsidRDefault="00287CEA">
      <w:r>
        <w:separator/>
      </w:r>
    </w:p>
  </w:footnote>
  <w:footnote w:type="continuationSeparator" w:id="0">
    <w:p w:rsidR="00287CEA" w:rsidRDefault="00287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87CEA">
      <w:tc>
        <w:tcPr>
          <w:tcW w:w="2155" w:type="dxa"/>
          <w:tcBorders>
            <w:top w:val="single" w:sz="24" w:space="0" w:color="auto"/>
          </w:tcBorders>
        </w:tcPr>
        <w:p w:rsidR="00287CEA" w:rsidRDefault="00287CEA" w:rsidP="0019293B">
          <w:pPr>
            <w:pStyle w:val="HeaderEven"/>
          </w:pPr>
        </w:p>
      </w:tc>
      <w:tc>
        <w:tcPr>
          <w:tcW w:w="6634" w:type="dxa"/>
          <w:tcBorders>
            <w:top w:val="single" w:sz="6" w:space="0" w:color="auto"/>
          </w:tcBorders>
        </w:tcPr>
        <w:p w:rsidR="00287CEA" w:rsidRDefault="00287CEA" w:rsidP="00DC492D">
          <w:pPr>
            <w:pStyle w:val="HeaderEven"/>
            <w:jc w:val="right"/>
          </w:pPr>
        </w:p>
      </w:tc>
    </w:tr>
  </w:tbl>
  <w:p w:rsidR="00287CEA" w:rsidRDefault="00287CE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87CEA">
      <w:tc>
        <w:tcPr>
          <w:tcW w:w="6634" w:type="dxa"/>
          <w:tcBorders>
            <w:top w:val="single" w:sz="6" w:space="0" w:color="auto"/>
          </w:tcBorders>
        </w:tcPr>
        <w:p w:rsidR="00287CEA" w:rsidRDefault="00287CEA" w:rsidP="00E669E2">
          <w:pPr>
            <w:pStyle w:val="HeaderOdd"/>
          </w:pPr>
        </w:p>
      </w:tc>
      <w:tc>
        <w:tcPr>
          <w:tcW w:w="2155" w:type="dxa"/>
          <w:tcBorders>
            <w:top w:val="single" w:sz="24" w:space="0" w:color="auto"/>
          </w:tcBorders>
        </w:tcPr>
        <w:p w:rsidR="00287CEA" w:rsidRDefault="00287CEA" w:rsidP="00E669E2">
          <w:pPr>
            <w:pStyle w:val="HeaderOdd"/>
          </w:pPr>
        </w:p>
      </w:tc>
    </w:tr>
  </w:tbl>
  <w:p w:rsidR="00287CEA" w:rsidRDefault="00287CE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560DF9E"/>
    <w:lvl w:ilvl="0">
      <w:start w:val="1"/>
      <w:numFmt w:val="decimal"/>
      <w:lvlText w:val="%1."/>
      <w:lvlJc w:val="left"/>
      <w:pPr>
        <w:tabs>
          <w:tab w:val="num" w:pos="926"/>
        </w:tabs>
        <w:ind w:left="926" w:hanging="360"/>
      </w:pPr>
    </w:lvl>
  </w:abstractNum>
  <w:abstractNum w:abstractNumId="1">
    <w:nsid w:val="FFFFFF7F"/>
    <w:multiLevelType w:val="singleLevel"/>
    <w:tmpl w:val="375E75F0"/>
    <w:lvl w:ilvl="0">
      <w:start w:val="1"/>
      <w:numFmt w:val="decimal"/>
      <w:lvlText w:val="%1."/>
      <w:lvlJc w:val="left"/>
      <w:pPr>
        <w:tabs>
          <w:tab w:val="num" w:pos="643"/>
        </w:tabs>
        <w:ind w:left="643" w:hanging="360"/>
      </w:pPr>
    </w:lvl>
  </w:abstractNum>
  <w:abstractNum w:abstractNumId="2">
    <w:nsid w:val="FFFFFF82"/>
    <w:multiLevelType w:val="singleLevel"/>
    <w:tmpl w:val="6726AC9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0B5AF1CA"/>
    <w:lvl w:ilvl="0">
      <w:start w:val="1"/>
      <w:numFmt w:val="decimal"/>
      <w:lvlText w:val="%1."/>
      <w:lvlJc w:val="left"/>
      <w:pPr>
        <w:tabs>
          <w:tab w:val="num" w:pos="360"/>
        </w:tabs>
        <w:ind w:left="360" w:hanging="360"/>
      </w:pPr>
    </w:lvl>
  </w:abstractNum>
  <w:abstractNum w:abstractNumId="5">
    <w:nsid w:val="FFFFFF89"/>
    <w:multiLevelType w:val="singleLevel"/>
    <w:tmpl w:val="1E0E54F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762C39"/>
    <w:multiLevelType w:val="hybridMultilevel"/>
    <w:tmpl w:val="043CC62C"/>
    <w:lvl w:ilvl="0" w:tplc="9AE6F2AA">
      <w:start w:val="59"/>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CCD54E4"/>
    <w:multiLevelType w:val="hybridMultilevel"/>
    <w:tmpl w:val="F2E4BC32"/>
    <w:lvl w:ilvl="0" w:tplc="C4E2BBB8">
      <w:start w:val="1"/>
      <w:numFmt w:val="bullet"/>
      <w:pStyle w:val="BoxListBullet4"/>
      <w:lvlText w:val=""/>
      <w:lvlJc w:val="left"/>
      <w:pPr>
        <w:ind w:left="1741" w:hanging="360"/>
      </w:pPr>
      <w:rPr>
        <w:rFonts w:ascii="MT Extra" w:hAnsi="MT Extra" w:hint="default"/>
        <w:b w:val="0"/>
        <w:i w:val="0"/>
        <w:sz w:val="16"/>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49C1DEA"/>
    <w:multiLevelType w:val="singleLevel"/>
    <w:tmpl w:val="BFF252C2"/>
    <w:lvl w:ilvl="0">
      <w:start w:val="1"/>
      <w:numFmt w:val="decimal"/>
      <w:lvlText w:val="%1."/>
      <w:legacy w:legacy="1" w:legacySpace="0" w:legacyIndent="340"/>
      <w:lvlJc w:val="left"/>
      <w:pPr>
        <w:ind w:left="340" w:hanging="340"/>
      </w:pPr>
    </w:lvl>
  </w:abstractNum>
  <w:abstractNum w:abstractNumId="19">
    <w:nsid w:val="25585D74"/>
    <w:multiLevelType w:val="hybridMultilevel"/>
    <w:tmpl w:val="82C8DB30"/>
    <w:lvl w:ilvl="0" w:tplc="47BA1114">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0">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E1B03C0"/>
    <w:multiLevelType w:val="multilevel"/>
    <w:tmpl w:val="0E02D150"/>
    <w:lvl w:ilvl="0">
      <w:start w:val="1"/>
      <w:numFmt w:val="none"/>
      <w:suff w:val="space"/>
      <w:lvlText w:va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63A033F5"/>
    <w:multiLevelType w:val="hybridMultilevel"/>
    <w:tmpl w:val="298AF648"/>
    <w:lvl w:ilvl="0" w:tplc="C48CDFEE">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B8936F5"/>
    <w:multiLevelType w:val="hybridMultilevel"/>
    <w:tmpl w:val="7D6633DE"/>
    <w:lvl w:ilvl="0" w:tplc="1BB8DD9A">
      <w:start w:val="1"/>
      <w:numFmt w:val="bullet"/>
      <w:lvlText w:val=""/>
      <w:lvlJc w:val="left"/>
      <w:pPr>
        <w:ind w:left="720" w:hanging="402"/>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0"/>
  </w:num>
  <w:num w:numId="3">
    <w:abstractNumId w:val="41"/>
  </w:num>
  <w:num w:numId="4">
    <w:abstractNumId w:val="7"/>
  </w:num>
  <w:num w:numId="5">
    <w:abstractNumId w:val="30"/>
  </w:num>
  <w:num w:numId="6">
    <w:abstractNumId w:val="8"/>
  </w:num>
  <w:num w:numId="7">
    <w:abstractNumId w:val="39"/>
  </w:num>
  <w:num w:numId="8">
    <w:abstractNumId w:val="32"/>
  </w:num>
  <w:num w:numId="9">
    <w:abstractNumId w:val="42"/>
  </w:num>
  <w:num w:numId="10">
    <w:abstractNumId w:val="17"/>
  </w:num>
  <w:num w:numId="11">
    <w:abstractNumId w:val="15"/>
  </w:num>
  <w:num w:numId="12">
    <w:abstractNumId w:val="31"/>
  </w:num>
  <w:num w:numId="13">
    <w:abstractNumId w:val="14"/>
  </w:num>
  <w:num w:numId="14">
    <w:abstractNumId w:val="12"/>
  </w:num>
  <w:num w:numId="1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21"/>
  </w:num>
  <w:num w:numId="17">
    <w:abstractNumId w:val="27"/>
  </w:num>
  <w:num w:numId="18">
    <w:abstractNumId w:val="33"/>
  </w:num>
  <w:num w:numId="19">
    <w:abstractNumId w:val="18"/>
  </w:num>
  <w:num w:numId="20">
    <w:abstractNumId w:val="36"/>
  </w:num>
  <w:num w:numId="21">
    <w:abstractNumId w:val="16"/>
  </w:num>
  <w:num w:numId="22">
    <w:abstractNumId w:val="3"/>
  </w:num>
  <w:num w:numId="23">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4"/>
  </w:num>
  <w:num w:numId="25">
    <w:abstractNumId w:val="20"/>
  </w:num>
  <w:num w:numId="26">
    <w:abstractNumId w:val="13"/>
  </w:num>
  <w:num w:numId="27">
    <w:abstractNumId w:val="22"/>
  </w:num>
  <w:num w:numId="28">
    <w:abstractNumId w:val="29"/>
  </w:num>
  <w:num w:numId="29">
    <w:abstractNumId w:val="34"/>
  </w:num>
  <w:num w:numId="30">
    <w:abstractNumId w:val="28"/>
  </w:num>
  <w:num w:numId="31">
    <w:abstractNumId w:val="43"/>
  </w:num>
  <w:num w:numId="32">
    <w:abstractNumId w:val="24"/>
  </w:num>
  <w:num w:numId="33">
    <w:abstractNumId w:val="25"/>
  </w:num>
  <w:num w:numId="34">
    <w:abstractNumId w:val="26"/>
  </w:num>
  <w:num w:numId="35">
    <w:abstractNumId w:val="11"/>
  </w:num>
  <w:num w:numId="36">
    <w:abstractNumId w:val="37"/>
  </w:num>
  <w:num w:numId="37">
    <w:abstractNumId w:val="35"/>
  </w:num>
  <w:num w:numId="38">
    <w:abstractNumId w:val="9"/>
  </w:num>
  <w:num w:numId="39">
    <w:abstractNumId w:val="2"/>
  </w:num>
  <w:num w:numId="40">
    <w:abstractNumId w:val="5"/>
  </w:num>
  <w:num w:numId="41">
    <w:abstractNumId w:val="1"/>
  </w:num>
  <w:num w:numId="42">
    <w:abstractNumId w:val="0"/>
  </w:num>
  <w:num w:numId="43">
    <w:abstractNumId w:val="38"/>
  </w:num>
  <w:num w:numId="44">
    <w:abstractNumId w:val="19"/>
  </w:num>
  <w:num w:numId="45">
    <w:abstractNumId w:val="40"/>
  </w:num>
  <w:num w:numId="46">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06"/>
  <w:clickAndTypeStyle w:val="BodyText"/>
  <w:evenAndOddHeaders/>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09C5"/>
    <w:rsid w:val="000227D5"/>
    <w:rsid w:val="000245AA"/>
    <w:rsid w:val="00024F19"/>
    <w:rsid w:val="00030032"/>
    <w:rsid w:val="00032342"/>
    <w:rsid w:val="0003344D"/>
    <w:rsid w:val="000337A8"/>
    <w:rsid w:val="0003664B"/>
    <w:rsid w:val="00036FB1"/>
    <w:rsid w:val="00037649"/>
    <w:rsid w:val="0004111F"/>
    <w:rsid w:val="00042EB0"/>
    <w:rsid w:val="00043CAB"/>
    <w:rsid w:val="0005037C"/>
    <w:rsid w:val="00050D19"/>
    <w:rsid w:val="000565B3"/>
    <w:rsid w:val="00056E65"/>
    <w:rsid w:val="0006615C"/>
    <w:rsid w:val="0007150B"/>
    <w:rsid w:val="00071F24"/>
    <w:rsid w:val="00073FFB"/>
    <w:rsid w:val="000744D9"/>
    <w:rsid w:val="00074B96"/>
    <w:rsid w:val="000801A4"/>
    <w:rsid w:val="000847C4"/>
    <w:rsid w:val="00087DEB"/>
    <w:rsid w:val="00092C45"/>
    <w:rsid w:val="000938F5"/>
    <w:rsid w:val="00094D77"/>
    <w:rsid w:val="00095336"/>
    <w:rsid w:val="00095E57"/>
    <w:rsid w:val="00096B70"/>
    <w:rsid w:val="00096D07"/>
    <w:rsid w:val="00096E55"/>
    <w:rsid w:val="00097DB9"/>
    <w:rsid w:val="000A0927"/>
    <w:rsid w:val="000A488F"/>
    <w:rsid w:val="000A5121"/>
    <w:rsid w:val="000A7843"/>
    <w:rsid w:val="000B2363"/>
    <w:rsid w:val="000B3468"/>
    <w:rsid w:val="000B4499"/>
    <w:rsid w:val="000B601B"/>
    <w:rsid w:val="000B7811"/>
    <w:rsid w:val="000C1914"/>
    <w:rsid w:val="000C207E"/>
    <w:rsid w:val="000D3AB2"/>
    <w:rsid w:val="000D5C0D"/>
    <w:rsid w:val="000D6F89"/>
    <w:rsid w:val="000E14F8"/>
    <w:rsid w:val="000F0035"/>
    <w:rsid w:val="000F35F5"/>
    <w:rsid w:val="000F420B"/>
    <w:rsid w:val="000F4682"/>
    <w:rsid w:val="000F7074"/>
    <w:rsid w:val="000F7408"/>
    <w:rsid w:val="00100AE9"/>
    <w:rsid w:val="00100B08"/>
    <w:rsid w:val="001024E5"/>
    <w:rsid w:val="00103B73"/>
    <w:rsid w:val="00104AE5"/>
    <w:rsid w:val="0010578D"/>
    <w:rsid w:val="00110116"/>
    <w:rsid w:val="001105CD"/>
    <w:rsid w:val="00113F09"/>
    <w:rsid w:val="00117312"/>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28B9"/>
    <w:rsid w:val="0015350C"/>
    <w:rsid w:val="00153A43"/>
    <w:rsid w:val="00155D7C"/>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34D"/>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2344"/>
    <w:rsid w:val="001C36DE"/>
    <w:rsid w:val="001C3ABA"/>
    <w:rsid w:val="001C555C"/>
    <w:rsid w:val="001D0B09"/>
    <w:rsid w:val="001D0C58"/>
    <w:rsid w:val="001D1B1C"/>
    <w:rsid w:val="001E291B"/>
    <w:rsid w:val="001E414C"/>
    <w:rsid w:val="001E4F29"/>
    <w:rsid w:val="001E7BE8"/>
    <w:rsid w:val="001F0248"/>
    <w:rsid w:val="001F3B16"/>
    <w:rsid w:val="001F3EB3"/>
    <w:rsid w:val="001F4F86"/>
    <w:rsid w:val="001F5F43"/>
    <w:rsid w:val="002021B5"/>
    <w:rsid w:val="00202C2C"/>
    <w:rsid w:val="00203630"/>
    <w:rsid w:val="00204019"/>
    <w:rsid w:val="002043FE"/>
    <w:rsid w:val="00211004"/>
    <w:rsid w:val="0021241A"/>
    <w:rsid w:val="002135AB"/>
    <w:rsid w:val="002144BE"/>
    <w:rsid w:val="00217669"/>
    <w:rsid w:val="00220B0B"/>
    <w:rsid w:val="0022188E"/>
    <w:rsid w:val="00222DFE"/>
    <w:rsid w:val="00230CED"/>
    <w:rsid w:val="0023514C"/>
    <w:rsid w:val="00236CA4"/>
    <w:rsid w:val="00240C58"/>
    <w:rsid w:val="00242279"/>
    <w:rsid w:val="00245C82"/>
    <w:rsid w:val="002473EE"/>
    <w:rsid w:val="00251A28"/>
    <w:rsid w:val="002534DC"/>
    <w:rsid w:val="00271323"/>
    <w:rsid w:val="00272BB2"/>
    <w:rsid w:val="00272EA4"/>
    <w:rsid w:val="00274820"/>
    <w:rsid w:val="00281184"/>
    <w:rsid w:val="002823BB"/>
    <w:rsid w:val="00285D78"/>
    <w:rsid w:val="00287153"/>
    <w:rsid w:val="00287CEA"/>
    <w:rsid w:val="00291B40"/>
    <w:rsid w:val="00293C0B"/>
    <w:rsid w:val="00296070"/>
    <w:rsid w:val="00296E34"/>
    <w:rsid w:val="002974CB"/>
    <w:rsid w:val="002A596D"/>
    <w:rsid w:val="002A718A"/>
    <w:rsid w:val="002B0B58"/>
    <w:rsid w:val="002B4008"/>
    <w:rsid w:val="002B414C"/>
    <w:rsid w:val="002C4A00"/>
    <w:rsid w:val="002C69A4"/>
    <w:rsid w:val="002D0E8E"/>
    <w:rsid w:val="002D17C2"/>
    <w:rsid w:val="002D2C4F"/>
    <w:rsid w:val="002D614F"/>
    <w:rsid w:val="002E3CFD"/>
    <w:rsid w:val="002E5719"/>
    <w:rsid w:val="002E5B45"/>
    <w:rsid w:val="00300562"/>
    <w:rsid w:val="00300F53"/>
    <w:rsid w:val="00301189"/>
    <w:rsid w:val="00301396"/>
    <w:rsid w:val="00305411"/>
    <w:rsid w:val="00307665"/>
    <w:rsid w:val="00313234"/>
    <w:rsid w:val="00314AF9"/>
    <w:rsid w:val="00317360"/>
    <w:rsid w:val="00317430"/>
    <w:rsid w:val="0032019A"/>
    <w:rsid w:val="0032151B"/>
    <w:rsid w:val="003222A4"/>
    <w:rsid w:val="00322C8A"/>
    <w:rsid w:val="00323E09"/>
    <w:rsid w:val="00324F75"/>
    <w:rsid w:val="003255C6"/>
    <w:rsid w:val="0033006C"/>
    <w:rsid w:val="00333932"/>
    <w:rsid w:val="00333E68"/>
    <w:rsid w:val="003348F7"/>
    <w:rsid w:val="00335580"/>
    <w:rsid w:val="00335795"/>
    <w:rsid w:val="00335964"/>
    <w:rsid w:val="00336D7E"/>
    <w:rsid w:val="00342690"/>
    <w:rsid w:val="003434B1"/>
    <w:rsid w:val="00343581"/>
    <w:rsid w:val="00346CF1"/>
    <w:rsid w:val="00350E00"/>
    <w:rsid w:val="003518AA"/>
    <w:rsid w:val="00352165"/>
    <w:rsid w:val="0035238F"/>
    <w:rsid w:val="00353182"/>
    <w:rsid w:val="003539F0"/>
    <w:rsid w:val="0035472D"/>
    <w:rsid w:val="00355323"/>
    <w:rsid w:val="003565D9"/>
    <w:rsid w:val="00357BC8"/>
    <w:rsid w:val="003602E1"/>
    <w:rsid w:val="0036188A"/>
    <w:rsid w:val="00362423"/>
    <w:rsid w:val="00362BC3"/>
    <w:rsid w:val="00363F39"/>
    <w:rsid w:val="00366538"/>
    <w:rsid w:val="003671A7"/>
    <w:rsid w:val="0037026F"/>
    <w:rsid w:val="00371240"/>
    <w:rsid w:val="00372961"/>
    <w:rsid w:val="003742D0"/>
    <w:rsid w:val="00374731"/>
    <w:rsid w:val="00376E59"/>
    <w:rsid w:val="00383838"/>
    <w:rsid w:val="003859AA"/>
    <w:rsid w:val="00386B15"/>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2A46"/>
    <w:rsid w:val="003F37B1"/>
    <w:rsid w:val="00401882"/>
    <w:rsid w:val="00405282"/>
    <w:rsid w:val="004100C8"/>
    <w:rsid w:val="00411DBD"/>
    <w:rsid w:val="00412ACE"/>
    <w:rsid w:val="0041324E"/>
    <w:rsid w:val="00413D0E"/>
    <w:rsid w:val="00413EED"/>
    <w:rsid w:val="00414468"/>
    <w:rsid w:val="0041600A"/>
    <w:rsid w:val="004161BE"/>
    <w:rsid w:val="004165B9"/>
    <w:rsid w:val="00417611"/>
    <w:rsid w:val="00417B3C"/>
    <w:rsid w:val="00423112"/>
    <w:rsid w:val="00424FD8"/>
    <w:rsid w:val="00426CD8"/>
    <w:rsid w:val="00431249"/>
    <w:rsid w:val="00432A31"/>
    <w:rsid w:val="00432EAC"/>
    <w:rsid w:val="004339C4"/>
    <w:rsid w:val="00434C19"/>
    <w:rsid w:val="00436531"/>
    <w:rsid w:val="00440DA0"/>
    <w:rsid w:val="00442AC8"/>
    <w:rsid w:val="0044605A"/>
    <w:rsid w:val="00450810"/>
    <w:rsid w:val="0045207F"/>
    <w:rsid w:val="00454488"/>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6580"/>
    <w:rsid w:val="004A71CC"/>
    <w:rsid w:val="004B43AE"/>
    <w:rsid w:val="004B73EE"/>
    <w:rsid w:val="004B7EB2"/>
    <w:rsid w:val="004C1916"/>
    <w:rsid w:val="004C30ED"/>
    <w:rsid w:val="004C3EBA"/>
    <w:rsid w:val="004D3B45"/>
    <w:rsid w:val="004D3BE7"/>
    <w:rsid w:val="004D5675"/>
    <w:rsid w:val="004D5D4F"/>
    <w:rsid w:val="004E4DE7"/>
    <w:rsid w:val="004E622C"/>
    <w:rsid w:val="004F17F0"/>
    <w:rsid w:val="004F31EB"/>
    <w:rsid w:val="004F485E"/>
    <w:rsid w:val="004F5196"/>
    <w:rsid w:val="004F6BE7"/>
    <w:rsid w:val="00503055"/>
    <w:rsid w:val="00504ED9"/>
    <w:rsid w:val="00512F9B"/>
    <w:rsid w:val="00512F9F"/>
    <w:rsid w:val="00514610"/>
    <w:rsid w:val="005204F1"/>
    <w:rsid w:val="005212AE"/>
    <w:rsid w:val="00523639"/>
    <w:rsid w:val="00523956"/>
    <w:rsid w:val="0052457D"/>
    <w:rsid w:val="00530214"/>
    <w:rsid w:val="00531FE5"/>
    <w:rsid w:val="005402FA"/>
    <w:rsid w:val="005418AD"/>
    <w:rsid w:val="00543106"/>
    <w:rsid w:val="00546751"/>
    <w:rsid w:val="00546E22"/>
    <w:rsid w:val="00551839"/>
    <w:rsid w:val="00552C5F"/>
    <w:rsid w:val="00552F4D"/>
    <w:rsid w:val="00560052"/>
    <w:rsid w:val="005604C0"/>
    <w:rsid w:val="005652D0"/>
    <w:rsid w:val="00566F46"/>
    <w:rsid w:val="0057368E"/>
    <w:rsid w:val="00574853"/>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2790"/>
    <w:rsid w:val="005B5291"/>
    <w:rsid w:val="005C0622"/>
    <w:rsid w:val="005C534B"/>
    <w:rsid w:val="005D007A"/>
    <w:rsid w:val="005D2238"/>
    <w:rsid w:val="005D5116"/>
    <w:rsid w:val="005D62DA"/>
    <w:rsid w:val="005E10C5"/>
    <w:rsid w:val="005E3476"/>
    <w:rsid w:val="005F2132"/>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27E95"/>
    <w:rsid w:val="00630D4D"/>
    <w:rsid w:val="00632A74"/>
    <w:rsid w:val="0063416B"/>
    <w:rsid w:val="0064435E"/>
    <w:rsid w:val="00644C69"/>
    <w:rsid w:val="006527F2"/>
    <w:rsid w:val="00654E5F"/>
    <w:rsid w:val="00655F70"/>
    <w:rsid w:val="006562B1"/>
    <w:rsid w:val="00664657"/>
    <w:rsid w:val="00667801"/>
    <w:rsid w:val="00674FDF"/>
    <w:rsid w:val="00675B32"/>
    <w:rsid w:val="00684EDD"/>
    <w:rsid w:val="006873D6"/>
    <w:rsid w:val="00694FB0"/>
    <w:rsid w:val="00695CED"/>
    <w:rsid w:val="0069673D"/>
    <w:rsid w:val="006A0617"/>
    <w:rsid w:val="006A39A4"/>
    <w:rsid w:val="006A4655"/>
    <w:rsid w:val="006B2B3C"/>
    <w:rsid w:val="006B41A9"/>
    <w:rsid w:val="006C18FD"/>
    <w:rsid w:val="006C1D81"/>
    <w:rsid w:val="006C6034"/>
    <w:rsid w:val="006C7038"/>
    <w:rsid w:val="006D50AD"/>
    <w:rsid w:val="006D5FD8"/>
    <w:rsid w:val="006E0A14"/>
    <w:rsid w:val="006E2E8A"/>
    <w:rsid w:val="006E412C"/>
    <w:rsid w:val="006E50A7"/>
    <w:rsid w:val="006E68FE"/>
    <w:rsid w:val="006E73EF"/>
    <w:rsid w:val="006F70D2"/>
    <w:rsid w:val="007050C3"/>
    <w:rsid w:val="00705996"/>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6587"/>
    <w:rsid w:val="0075718A"/>
    <w:rsid w:val="007604BB"/>
    <w:rsid w:val="007655EF"/>
    <w:rsid w:val="00766872"/>
    <w:rsid w:val="0077475E"/>
    <w:rsid w:val="00774B4C"/>
    <w:rsid w:val="00775C7E"/>
    <w:rsid w:val="00776543"/>
    <w:rsid w:val="00782CC9"/>
    <w:rsid w:val="007834F2"/>
    <w:rsid w:val="00785232"/>
    <w:rsid w:val="00787241"/>
    <w:rsid w:val="00790681"/>
    <w:rsid w:val="007908DF"/>
    <w:rsid w:val="00791CB3"/>
    <w:rsid w:val="00792AAD"/>
    <w:rsid w:val="00793CAA"/>
    <w:rsid w:val="007A0846"/>
    <w:rsid w:val="007A21EB"/>
    <w:rsid w:val="007A38A6"/>
    <w:rsid w:val="007A4E8C"/>
    <w:rsid w:val="007A5D47"/>
    <w:rsid w:val="007B1A93"/>
    <w:rsid w:val="007C0A72"/>
    <w:rsid w:val="007C2204"/>
    <w:rsid w:val="007C36C9"/>
    <w:rsid w:val="007C3F8F"/>
    <w:rsid w:val="007C7411"/>
    <w:rsid w:val="007D14B1"/>
    <w:rsid w:val="007D22E7"/>
    <w:rsid w:val="007D252F"/>
    <w:rsid w:val="007D6401"/>
    <w:rsid w:val="007E01E4"/>
    <w:rsid w:val="007E1044"/>
    <w:rsid w:val="007E23D5"/>
    <w:rsid w:val="007E447B"/>
    <w:rsid w:val="007E4C14"/>
    <w:rsid w:val="007F18BF"/>
    <w:rsid w:val="007F5A73"/>
    <w:rsid w:val="007F7107"/>
    <w:rsid w:val="007F733F"/>
    <w:rsid w:val="007F738D"/>
    <w:rsid w:val="00800D4C"/>
    <w:rsid w:val="00802DC3"/>
    <w:rsid w:val="008039DB"/>
    <w:rsid w:val="008041EC"/>
    <w:rsid w:val="00806AEC"/>
    <w:rsid w:val="0081030F"/>
    <w:rsid w:val="008107B6"/>
    <w:rsid w:val="008119F8"/>
    <w:rsid w:val="00812252"/>
    <w:rsid w:val="008143C3"/>
    <w:rsid w:val="00816555"/>
    <w:rsid w:val="0082087D"/>
    <w:rsid w:val="0082141A"/>
    <w:rsid w:val="00831865"/>
    <w:rsid w:val="00835039"/>
    <w:rsid w:val="00835771"/>
    <w:rsid w:val="008361D1"/>
    <w:rsid w:val="00842277"/>
    <w:rsid w:val="00842933"/>
    <w:rsid w:val="00847D86"/>
    <w:rsid w:val="00851036"/>
    <w:rsid w:val="0085561A"/>
    <w:rsid w:val="00856145"/>
    <w:rsid w:val="00856E61"/>
    <w:rsid w:val="00857D6C"/>
    <w:rsid w:val="0086082C"/>
    <w:rsid w:val="00861D89"/>
    <w:rsid w:val="0086262E"/>
    <w:rsid w:val="00864ADC"/>
    <w:rsid w:val="00865A60"/>
    <w:rsid w:val="00867C89"/>
    <w:rsid w:val="0087110E"/>
    <w:rsid w:val="008727C1"/>
    <w:rsid w:val="00873B9D"/>
    <w:rsid w:val="0087717D"/>
    <w:rsid w:val="00880153"/>
    <w:rsid w:val="00880D54"/>
    <w:rsid w:val="00880F97"/>
    <w:rsid w:val="0088133A"/>
    <w:rsid w:val="00882459"/>
    <w:rsid w:val="00884C96"/>
    <w:rsid w:val="00884CFC"/>
    <w:rsid w:val="00887A43"/>
    <w:rsid w:val="00887EEE"/>
    <w:rsid w:val="00890EB1"/>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3702"/>
    <w:rsid w:val="008F4FDC"/>
    <w:rsid w:val="008F66C0"/>
    <w:rsid w:val="009024CF"/>
    <w:rsid w:val="009030BF"/>
    <w:rsid w:val="009052D1"/>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8C6"/>
    <w:rsid w:val="009A3348"/>
    <w:rsid w:val="009A6F85"/>
    <w:rsid w:val="009B3A39"/>
    <w:rsid w:val="009C5A93"/>
    <w:rsid w:val="009C616D"/>
    <w:rsid w:val="009D7945"/>
    <w:rsid w:val="009E1844"/>
    <w:rsid w:val="009E3759"/>
    <w:rsid w:val="009F0D1B"/>
    <w:rsid w:val="009F1762"/>
    <w:rsid w:val="009F1AD3"/>
    <w:rsid w:val="009F20AC"/>
    <w:rsid w:val="009F23C1"/>
    <w:rsid w:val="009F2860"/>
    <w:rsid w:val="009F696D"/>
    <w:rsid w:val="009F6BC6"/>
    <w:rsid w:val="00A0077B"/>
    <w:rsid w:val="00A00BF9"/>
    <w:rsid w:val="00A148E5"/>
    <w:rsid w:val="00A16D6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382A"/>
    <w:rsid w:val="00A94FA6"/>
    <w:rsid w:val="00A94FB3"/>
    <w:rsid w:val="00A97D49"/>
    <w:rsid w:val="00AA093E"/>
    <w:rsid w:val="00AA0BC8"/>
    <w:rsid w:val="00AA1294"/>
    <w:rsid w:val="00AA2904"/>
    <w:rsid w:val="00AA2A0B"/>
    <w:rsid w:val="00AA49A0"/>
    <w:rsid w:val="00AA6710"/>
    <w:rsid w:val="00AB0681"/>
    <w:rsid w:val="00AB22E4"/>
    <w:rsid w:val="00AB4333"/>
    <w:rsid w:val="00AB4978"/>
    <w:rsid w:val="00AB4C70"/>
    <w:rsid w:val="00AB53D0"/>
    <w:rsid w:val="00AB6BFD"/>
    <w:rsid w:val="00AB7565"/>
    <w:rsid w:val="00AC674D"/>
    <w:rsid w:val="00AC711E"/>
    <w:rsid w:val="00AD33C7"/>
    <w:rsid w:val="00AD5101"/>
    <w:rsid w:val="00AD520B"/>
    <w:rsid w:val="00AE5DF7"/>
    <w:rsid w:val="00AF0B9A"/>
    <w:rsid w:val="00AF6CB1"/>
    <w:rsid w:val="00B00B62"/>
    <w:rsid w:val="00B011C0"/>
    <w:rsid w:val="00B035C9"/>
    <w:rsid w:val="00B05A59"/>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7781"/>
    <w:rsid w:val="00B7113F"/>
    <w:rsid w:val="00B725C6"/>
    <w:rsid w:val="00B762DB"/>
    <w:rsid w:val="00B77104"/>
    <w:rsid w:val="00B802DD"/>
    <w:rsid w:val="00B8234F"/>
    <w:rsid w:val="00B82BCB"/>
    <w:rsid w:val="00B8475C"/>
    <w:rsid w:val="00B86B35"/>
    <w:rsid w:val="00B87333"/>
    <w:rsid w:val="00B90AB7"/>
    <w:rsid w:val="00B94F94"/>
    <w:rsid w:val="00BA0F27"/>
    <w:rsid w:val="00BA39A3"/>
    <w:rsid w:val="00BA7166"/>
    <w:rsid w:val="00BA73B6"/>
    <w:rsid w:val="00BA7E27"/>
    <w:rsid w:val="00BB2603"/>
    <w:rsid w:val="00BB31CD"/>
    <w:rsid w:val="00BB4B7B"/>
    <w:rsid w:val="00BB4FCD"/>
    <w:rsid w:val="00BC020E"/>
    <w:rsid w:val="00BC04E9"/>
    <w:rsid w:val="00BC2EFE"/>
    <w:rsid w:val="00BC381B"/>
    <w:rsid w:val="00BD13EA"/>
    <w:rsid w:val="00BD6160"/>
    <w:rsid w:val="00BE1BA8"/>
    <w:rsid w:val="00BE3808"/>
    <w:rsid w:val="00BE4663"/>
    <w:rsid w:val="00BE5B48"/>
    <w:rsid w:val="00BE7F41"/>
    <w:rsid w:val="00BF2097"/>
    <w:rsid w:val="00BF3602"/>
    <w:rsid w:val="00BF3B2F"/>
    <w:rsid w:val="00BF4CB4"/>
    <w:rsid w:val="00BF5AA4"/>
    <w:rsid w:val="00BF5AEF"/>
    <w:rsid w:val="00C04F3D"/>
    <w:rsid w:val="00C062E9"/>
    <w:rsid w:val="00C07B64"/>
    <w:rsid w:val="00C11D74"/>
    <w:rsid w:val="00C13035"/>
    <w:rsid w:val="00C13721"/>
    <w:rsid w:val="00C13C82"/>
    <w:rsid w:val="00C14FE4"/>
    <w:rsid w:val="00C15C2C"/>
    <w:rsid w:val="00C25B16"/>
    <w:rsid w:val="00C25C93"/>
    <w:rsid w:val="00C3066D"/>
    <w:rsid w:val="00C32C65"/>
    <w:rsid w:val="00C3342D"/>
    <w:rsid w:val="00C3533E"/>
    <w:rsid w:val="00C41B88"/>
    <w:rsid w:val="00C45679"/>
    <w:rsid w:val="00C4618F"/>
    <w:rsid w:val="00C50AD9"/>
    <w:rsid w:val="00C52416"/>
    <w:rsid w:val="00C53138"/>
    <w:rsid w:val="00C53A31"/>
    <w:rsid w:val="00C543F4"/>
    <w:rsid w:val="00C54991"/>
    <w:rsid w:val="00C5751E"/>
    <w:rsid w:val="00C575C2"/>
    <w:rsid w:val="00C62696"/>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0B7C"/>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CF6ED5"/>
    <w:rsid w:val="00CF7AA0"/>
    <w:rsid w:val="00D01C12"/>
    <w:rsid w:val="00D12373"/>
    <w:rsid w:val="00D15351"/>
    <w:rsid w:val="00D15695"/>
    <w:rsid w:val="00D15AC3"/>
    <w:rsid w:val="00D22E2B"/>
    <w:rsid w:val="00D253E4"/>
    <w:rsid w:val="00D25DBC"/>
    <w:rsid w:val="00D270A4"/>
    <w:rsid w:val="00D27427"/>
    <w:rsid w:val="00D306A1"/>
    <w:rsid w:val="00D31379"/>
    <w:rsid w:val="00D31FE9"/>
    <w:rsid w:val="00D33F42"/>
    <w:rsid w:val="00D34E1B"/>
    <w:rsid w:val="00D376BA"/>
    <w:rsid w:val="00D41997"/>
    <w:rsid w:val="00D45634"/>
    <w:rsid w:val="00D45A66"/>
    <w:rsid w:val="00D45EB6"/>
    <w:rsid w:val="00D51212"/>
    <w:rsid w:val="00D51744"/>
    <w:rsid w:val="00D5568A"/>
    <w:rsid w:val="00D56978"/>
    <w:rsid w:val="00D62FEB"/>
    <w:rsid w:val="00D637B9"/>
    <w:rsid w:val="00D63D73"/>
    <w:rsid w:val="00D64452"/>
    <w:rsid w:val="00D66E1E"/>
    <w:rsid w:val="00D7003C"/>
    <w:rsid w:val="00D72A50"/>
    <w:rsid w:val="00D75722"/>
    <w:rsid w:val="00D76276"/>
    <w:rsid w:val="00D80CF5"/>
    <w:rsid w:val="00D95DC2"/>
    <w:rsid w:val="00DA4D0D"/>
    <w:rsid w:val="00DA5BBA"/>
    <w:rsid w:val="00DB26D2"/>
    <w:rsid w:val="00DB2EB3"/>
    <w:rsid w:val="00DB3FCB"/>
    <w:rsid w:val="00DB4396"/>
    <w:rsid w:val="00DB487E"/>
    <w:rsid w:val="00DB494F"/>
    <w:rsid w:val="00DB67C9"/>
    <w:rsid w:val="00DC0C95"/>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5592"/>
    <w:rsid w:val="00E46FC3"/>
    <w:rsid w:val="00E477E8"/>
    <w:rsid w:val="00E47A31"/>
    <w:rsid w:val="00E51F94"/>
    <w:rsid w:val="00E520B7"/>
    <w:rsid w:val="00E52768"/>
    <w:rsid w:val="00E53751"/>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4198"/>
    <w:rsid w:val="00EA5236"/>
    <w:rsid w:val="00EB56BA"/>
    <w:rsid w:val="00EC2844"/>
    <w:rsid w:val="00EC297C"/>
    <w:rsid w:val="00EC5500"/>
    <w:rsid w:val="00ED18F8"/>
    <w:rsid w:val="00ED2ECE"/>
    <w:rsid w:val="00ED35FC"/>
    <w:rsid w:val="00ED7951"/>
    <w:rsid w:val="00ED7C85"/>
    <w:rsid w:val="00EE1477"/>
    <w:rsid w:val="00EE366A"/>
    <w:rsid w:val="00EF0AC2"/>
    <w:rsid w:val="00EF2258"/>
    <w:rsid w:val="00EF67C3"/>
    <w:rsid w:val="00EF6C6C"/>
    <w:rsid w:val="00F01A99"/>
    <w:rsid w:val="00F053C1"/>
    <w:rsid w:val="00F056FC"/>
    <w:rsid w:val="00F05F32"/>
    <w:rsid w:val="00F10476"/>
    <w:rsid w:val="00F113CE"/>
    <w:rsid w:val="00F135D8"/>
    <w:rsid w:val="00F15C46"/>
    <w:rsid w:val="00F2288A"/>
    <w:rsid w:val="00F23A3A"/>
    <w:rsid w:val="00F25CC5"/>
    <w:rsid w:val="00F31299"/>
    <w:rsid w:val="00F32913"/>
    <w:rsid w:val="00F3534A"/>
    <w:rsid w:val="00F37CB7"/>
    <w:rsid w:val="00F41499"/>
    <w:rsid w:val="00F42141"/>
    <w:rsid w:val="00F458A1"/>
    <w:rsid w:val="00F47C9B"/>
    <w:rsid w:val="00F51609"/>
    <w:rsid w:val="00F526BC"/>
    <w:rsid w:val="00F57186"/>
    <w:rsid w:val="00F60B3F"/>
    <w:rsid w:val="00F636EA"/>
    <w:rsid w:val="00F66371"/>
    <w:rsid w:val="00F67E43"/>
    <w:rsid w:val="00F71D79"/>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5F5A"/>
    <w:rsid w:val="00FB75C5"/>
    <w:rsid w:val="00FC4A0D"/>
    <w:rsid w:val="00FC4B5E"/>
    <w:rsid w:val="00FC4CE3"/>
    <w:rsid w:val="00FC7889"/>
    <w:rsid w:val="00FC7F26"/>
    <w:rsid w:val="00FD22B1"/>
    <w:rsid w:val="00FD342E"/>
    <w:rsid w:val="00FD665F"/>
    <w:rsid w:val="00FD6B61"/>
    <w:rsid w:val="00FD6CE4"/>
    <w:rsid w:val="00FD7F00"/>
    <w:rsid w:val="00FE343B"/>
    <w:rsid w:val="00FE5397"/>
    <w:rsid w:val="00FF011B"/>
    <w:rsid w:val="00FF51E1"/>
    <w:rsid w:val="00FF5578"/>
    <w:rsid w:val="00FF6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66A"/>
    <w:rPr>
      <w:sz w:val="24"/>
      <w:szCs w:val="24"/>
    </w:rPr>
  </w:style>
  <w:style w:type="paragraph" w:styleId="Heading1">
    <w:name w:val="heading 1"/>
    <w:basedOn w:val="BodyText"/>
    <w:next w:val="BodyText"/>
    <w:link w:val="Heading1Char"/>
    <w:rsid w:val="00EE366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E366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E366A"/>
    <w:pPr>
      <w:spacing w:before="560" w:line="320" w:lineRule="exact"/>
      <w:ind w:left="0" w:firstLine="0"/>
      <w:outlineLvl w:val="2"/>
    </w:pPr>
    <w:rPr>
      <w:sz w:val="26"/>
    </w:rPr>
  </w:style>
  <w:style w:type="paragraph" w:styleId="Heading4">
    <w:name w:val="heading 4"/>
    <w:basedOn w:val="Heading3"/>
    <w:next w:val="BodyText"/>
    <w:link w:val="Heading4Char"/>
    <w:qFormat/>
    <w:rsid w:val="00EE366A"/>
    <w:pPr>
      <w:spacing w:before="480"/>
      <w:outlineLvl w:val="3"/>
    </w:pPr>
    <w:rPr>
      <w:b w:val="0"/>
      <w:sz w:val="24"/>
    </w:rPr>
  </w:style>
  <w:style w:type="paragraph" w:styleId="Heading5">
    <w:name w:val="heading 5"/>
    <w:basedOn w:val="Heading4"/>
    <w:next w:val="BodyText"/>
    <w:link w:val="Heading5Char"/>
    <w:qFormat/>
    <w:rsid w:val="00EE366A"/>
    <w:pPr>
      <w:outlineLvl w:val="4"/>
    </w:pPr>
    <w:rPr>
      <w:i/>
      <w:sz w:val="22"/>
    </w:rPr>
  </w:style>
  <w:style w:type="paragraph" w:styleId="Heading6">
    <w:name w:val="heading 6"/>
    <w:basedOn w:val="BodyText"/>
    <w:next w:val="BodyText"/>
    <w:link w:val="Heading6Char"/>
    <w:rsid w:val="00EE366A"/>
    <w:pPr>
      <w:spacing w:after="60"/>
      <w:jc w:val="left"/>
      <w:outlineLvl w:val="5"/>
    </w:pPr>
    <w:rPr>
      <w:i/>
      <w:sz w:val="22"/>
    </w:rPr>
  </w:style>
  <w:style w:type="paragraph" w:styleId="Heading7">
    <w:name w:val="heading 7"/>
    <w:basedOn w:val="BodyText"/>
    <w:next w:val="BodyText"/>
    <w:link w:val="Heading7Char"/>
    <w:rsid w:val="00EE366A"/>
    <w:pPr>
      <w:spacing w:after="60" w:line="240" w:lineRule="auto"/>
      <w:jc w:val="left"/>
      <w:outlineLvl w:val="6"/>
    </w:pPr>
    <w:rPr>
      <w:rFonts w:ascii="Arial" w:hAnsi="Arial"/>
      <w:sz w:val="20"/>
    </w:rPr>
  </w:style>
  <w:style w:type="paragraph" w:styleId="Heading8">
    <w:name w:val="heading 8"/>
    <w:basedOn w:val="BodyText"/>
    <w:next w:val="BodyText"/>
    <w:link w:val="Heading8Char"/>
    <w:rsid w:val="00EE366A"/>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E366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E36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66A"/>
  </w:style>
  <w:style w:type="paragraph" w:styleId="BodyText">
    <w:name w:val="Body Text"/>
    <w:link w:val="BodyTextChar"/>
    <w:qFormat/>
    <w:rsid w:val="00EE366A"/>
    <w:pPr>
      <w:spacing w:before="240" w:line="300" w:lineRule="atLeast"/>
      <w:jc w:val="both"/>
    </w:pPr>
    <w:rPr>
      <w:sz w:val="24"/>
    </w:rPr>
  </w:style>
  <w:style w:type="paragraph" w:styleId="Footer">
    <w:name w:val="footer"/>
    <w:basedOn w:val="BodyText"/>
    <w:link w:val="FooterChar"/>
    <w:rsid w:val="00EE366A"/>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EE366A"/>
    <w:pPr>
      <w:spacing w:before="0" w:line="20" w:lineRule="exact"/>
    </w:pPr>
  </w:style>
  <w:style w:type="paragraph" w:styleId="Header">
    <w:name w:val="header"/>
    <w:basedOn w:val="BodyText"/>
    <w:link w:val="HeaderChar"/>
    <w:rsid w:val="00EE366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E366A"/>
    <w:pPr>
      <w:spacing w:line="20" w:lineRule="exact"/>
    </w:pPr>
    <w:rPr>
      <w:sz w:val="16"/>
    </w:rPr>
  </w:style>
  <w:style w:type="paragraph" w:customStyle="1" w:styleId="HeaderEven">
    <w:name w:val="Header Even"/>
    <w:basedOn w:val="Header"/>
    <w:semiHidden/>
    <w:rsid w:val="00EE366A"/>
  </w:style>
  <w:style w:type="paragraph" w:customStyle="1" w:styleId="HeaderOdd">
    <w:name w:val="Header Odd"/>
    <w:basedOn w:val="Header"/>
    <w:semiHidden/>
    <w:rsid w:val="00EE366A"/>
  </w:style>
  <w:style w:type="character" w:styleId="PageNumber">
    <w:name w:val="page number"/>
    <w:basedOn w:val="DefaultParagraphFont"/>
    <w:rsid w:val="00EE366A"/>
    <w:rPr>
      <w:rFonts w:ascii="Arial" w:hAnsi="Arial"/>
      <w:b/>
      <w:sz w:val="16"/>
    </w:rPr>
  </w:style>
  <w:style w:type="paragraph" w:customStyle="1" w:styleId="Abbreviation">
    <w:name w:val="Abbreviation"/>
    <w:basedOn w:val="BodyText"/>
    <w:rsid w:val="00EE366A"/>
    <w:pPr>
      <w:spacing w:before="120"/>
      <w:ind w:left="2381" w:hanging="2381"/>
      <w:jc w:val="left"/>
    </w:pPr>
  </w:style>
  <w:style w:type="paragraph" w:customStyle="1" w:styleId="Box">
    <w:name w:val="Box"/>
    <w:basedOn w:val="BodyText"/>
    <w:link w:val="BoxChar"/>
    <w:qFormat/>
    <w:rsid w:val="00EE366A"/>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EE366A"/>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EE366A"/>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EE366A"/>
    <w:rPr>
      <w:b w:val="0"/>
      <w:i/>
    </w:rPr>
  </w:style>
  <w:style w:type="paragraph" w:customStyle="1" w:styleId="BoxListBullet">
    <w:name w:val="Box List Bullet"/>
    <w:basedOn w:val="BodyText"/>
    <w:link w:val="BoxListBulletChar"/>
    <w:rsid w:val="00EE366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E366A"/>
    <w:pPr>
      <w:numPr>
        <w:numId w:val="2"/>
      </w:numPr>
      <w:ind w:left="568" w:hanging="284"/>
    </w:pPr>
  </w:style>
  <w:style w:type="paragraph" w:customStyle="1" w:styleId="BoxListNumber">
    <w:name w:val="Box List Number"/>
    <w:basedOn w:val="BodyText"/>
    <w:link w:val="BoxListNumberChar"/>
    <w:rsid w:val="00EE366A"/>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EE366A"/>
    <w:pPr>
      <w:numPr>
        <w:ilvl w:val="1"/>
      </w:numPr>
      <w:ind w:left="681" w:hanging="397"/>
    </w:pPr>
  </w:style>
  <w:style w:type="paragraph" w:customStyle="1" w:styleId="BoxQuote">
    <w:name w:val="Box Quote"/>
    <w:basedOn w:val="BodyText"/>
    <w:next w:val="Box"/>
    <w:link w:val="BoxQuoteChar"/>
    <w:qFormat/>
    <w:rsid w:val="00EE366A"/>
    <w:pPr>
      <w:keepNext/>
      <w:spacing w:before="60" w:line="240" w:lineRule="exact"/>
      <w:ind w:left="284"/>
    </w:pPr>
    <w:rPr>
      <w:rFonts w:ascii="Arial" w:hAnsi="Arial"/>
      <w:sz w:val="18"/>
    </w:rPr>
  </w:style>
  <w:style w:type="paragraph" w:customStyle="1" w:styleId="Note">
    <w:name w:val="Note"/>
    <w:basedOn w:val="BodyText"/>
    <w:next w:val="BodyText"/>
    <w:link w:val="NoteChar"/>
    <w:rsid w:val="00EE366A"/>
    <w:pPr>
      <w:keepLines/>
      <w:spacing w:before="80" w:line="220" w:lineRule="exact"/>
    </w:pPr>
    <w:rPr>
      <w:rFonts w:ascii="Arial" w:hAnsi="Arial"/>
      <w:sz w:val="18"/>
    </w:rPr>
  </w:style>
  <w:style w:type="paragraph" w:customStyle="1" w:styleId="Source">
    <w:name w:val="Source"/>
    <w:basedOn w:val="Normal"/>
    <w:next w:val="BodyText"/>
    <w:link w:val="SourceChar"/>
    <w:rsid w:val="00EE366A"/>
    <w:pPr>
      <w:keepLines/>
      <w:spacing w:before="80" w:line="220" w:lineRule="exact"/>
      <w:jc w:val="both"/>
    </w:pPr>
    <w:rPr>
      <w:rFonts w:ascii="Arial" w:hAnsi="Arial"/>
      <w:sz w:val="18"/>
      <w:szCs w:val="20"/>
    </w:rPr>
  </w:style>
  <w:style w:type="paragraph" w:customStyle="1" w:styleId="BoxSource">
    <w:name w:val="Box Source"/>
    <w:basedOn w:val="Source"/>
    <w:next w:val="BodyText"/>
    <w:rsid w:val="00EE366A"/>
    <w:pPr>
      <w:spacing w:before="120"/>
    </w:pPr>
  </w:style>
  <w:style w:type="paragraph" w:customStyle="1" w:styleId="BoxSpaceAbove">
    <w:name w:val="Box Space Above"/>
    <w:basedOn w:val="BodyText"/>
    <w:rsid w:val="00EE366A"/>
    <w:pPr>
      <w:keepNext/>
      <w:spacing w:before="360" w:line="80" w:lineRule="exact"/>
      <w:jc w:val="left"/>
    </w:pPr>
  </w:style>
  <w:style w:type="paragraph" w:styleId="Caption">
    <w:name w:val="caption"/>
    <w:basedOn w:val="Normal"/>
    <w:next w:val="BodyText"/>
    <w:rsid w:val="00EE366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EE366A"/>
    <w:pPr>
      <w:spacing w:before="120" w:after="0"/>
    </w:pPr>
  </w:style>
  <w:style w:type="paragraph" w:customStyle="1" w:styleId="BoxSubtitle">
    <w:name w:val="Box Subtitle"/>
    <w:basedOn w:val="BoxTitle"/>
    <w:next w:val="Normal"/>
    <w:rsid w:val="00EE366A"/>
    <w:pPr>
      <w:spacing w:after="80" w:line="200" w:lineRule="exact"/>
      <w:ind w:firstLine="0"/>
    </w:pPr>
    <w:rPr>
      <w:b w:val="0"/>
      <w:sz w:val="20"/>
    </w:rPr>
  </w:style>
  <w:style w:type="paragraph" w:customStyle="1" w:styleId="Chapter">
    <w:name w:val="Chapter"/>
    <w:basedOn w:val="Heading1"/>
    <w:next w:val="BodyText"/>
    <w:link w:val="ChapterChar"/>
    <w:semiHidden/>
    <w:rsid w:val="00EE366A"/>
    <w:pPr>
      <w:ind w:left="0" w:firstLine="0"/>
      <w:outlineLvl w:val="9"/>
    </w:pPr>
  </w:style>
  <w:style w:type="paragraph" w:customStyle="1" w:styleId="ChapterSummary">
    <w:name w:val="Chapter Summary"/>
    <w:basedOn w:val="BodyText"/>
    <w:rsid w:val="00EE366A"/>
    <w:pPr>
      <w:spacing w:line="280" w:lineRule="atLeast"/>
      <w:ind w:left="907"/>
    </w:pPr>
    <w:rPr>
      <w:rFonts w:ascii="Arial" w:hAnsi="Arial"/>
      <w:b/>
      <w:sz w:val="20"/>
    </w:rPr>
  </w:style>
  <w:style w:type="character" w:styleId="CommentReference">
    <w:name w:val="annotation reference"/>
    <w:basedOn w:val="DefaultParagraphFont"/>
    <w:rsid w:val="00EE366A"/>
    <w:rPr>
      <w:b/>
      <w:vanish/>
      <w:color w:val="FF00FF"/>
      <w:sz w:val="20"/>
    </w:rPr>
  </w:style>
  <w:style w:type="paragraph" w:styleId="CommentText">
    <w:name w:val="annotation text"/>
    <w:basedOn w:val="Normal"/>
    <w:link w:val="CommentTextChar1"/>
    <w:semiHidden/>
    <w:rsid w:val="00EE366A"/>
    <w:pPr>
      <w:spacing w:before="120" w:line="240" w:lineRule="atLeast"/>
      <w:ind w:left="567" w:hanging="567"/>
    </w:pPr>
    <w:rPr>
      <w:sz w:val="20"/>
    </w:rPr>
  </w:style>
  <w:style w:type="paragraph" w:customStyle="1" w:styleId="Continued">
    <w:name w:val="Continued"/>
    <w:basedOn w:val="BoxContinued"/>
    <w:next w:val="BodyText"/>
    <w:rsid w:val="00EE366A"/>
  </w:style>
  <w:style w:type="character" w:customStyle="1" w:styleId="DocumentInfo">
    <w:name w:val="Document Info"/>
    <w:basedOn w:val="DefaultParagraphFont"/>
    <w:semiHidden/>
    <w:rsid w:val="00EE366A"/>
    <w:rPr>
      <w:rFonts w:ascii="Arial" w:hAnsi="Arial"/>
      <w:sz w:val="14"/>
    </w:rPr>
  </w:style>
  <w:style w:type="character" w:customStyle="1" w:styleId="DraftingNote">
    <w:name w:val="Drafting Note"/>
    <w:basedOn w:val="DefaultParagraphFont"/>
    <w:rsid w:val="00EE366A"/>
    <w:rPr>
      <w:b/>
      <w:color w:val="FF0000"/>
      <w:sz w:val="24"/>
      <w:u w:val="dotted"/>
    </w:rPr>
  </w:style>
  <w:style w:type="paragraph" w:customStyle="1" w:styleId="Figure">
    <w:name w:val="Figure"/>
    <w:basedOn w:val="BodyText"/>
    <w:rsid w:val="00EE366A"/>
    <w:pPr>
      <w:keepNext/>
      <w:spacing w:before="120" w:after="120" w:line="240" w:lineRule="atLeast"/>
      <w:jc w:val="center"/>
    </w:pPr>
  </w:style>
  <w:style w:type="paragraph" w:customStyle="1" w:styleId="FigureTitle">
    <w:name w:val="Figure Title"/>
    <w:basedOn w:val="Caption"/>
    <w:next w:val="Subtitle"/>
    <w:rsid w:val="00EE366A"/>
    <w:pPr>
      <w:spacing w:before="120"/>
    </w:pPr>
  </w:style>
  <w:style w:type="paragraph" w:styleId="Subtitle">
    <w:name w:val="Subtitle"/>
    <w:basedOn w:val="Caption"/>
    <w:link w:val="SubtitleChar"/>
    <w:qFormat/>
    <w:rsid w:val="00EE366A"/>
    <w:pPr>
      <w:spacing w:before="0" w:line="200" w:lineRule="exact"/>
      <w:ind w:firstLine="0"/>
    </w:pPr>
    <w:rPr>
      <w:b w:val="0"/>
      <w:sz w:val="20"/>
    </w:rPr>
  </w:style>
  <w:style w:type="paragraph" w:customStyle="1" w:styleId="Finding">
    <w:name w:val="Finding"/>
    <w:basedOn w:val="BodyText"/>
    <w:rsid w:val="00EE366A"/>
    <w:pPr>
      <w:keepLines/>
      <w:spacing w:before="120" w:line="280" w:lineRule="atLeast"/>
    </w:pPr>
    <w:rPr>
      <w:rFonts w:ascii="Arial" w:hAnsi="Arial"/>
      <w:sz w:val="22"/>
    </w:rPr>
  </w:style>
  <w:style w:type="paragraph" w:customStyle="1" w:styleId="FindingBullet">
    <w:name w:val="Finding Bullet"/>
    <w:basedOn w:val="Finding"/>
    <w:rsid w:val="00EE366A"/>
    <w:pPr>
      <w:numPr>
        <w:numId w:val="3"/>
      </w:numPr>
      <w:spacing w:before="80"/>
    </w:pPr>
  </w:style>
  <w:style w:type="paragraph" w:customStyle="1" w:styleId="FindingNoTitle">
    <w:name w:val="Finding NoTitle"/>
    <w:basedOn w:val="Finding"/>
    <w:rsid w:val="00EE366A"/>
    <w:pPr>
      <w:spacing w:before="240"/>
    </w:pPr>
  </w:style>
  <w:style w:type="paragraph" w:customStyle="1" w:styleId="RecTitle">
    <w:name w:val="Rec Title"/>
    <w:basedOn w:val="BodyText"/>
    <w:next w:val="Rec"/>
    <w:qFormat/>
    <w:rsid w:val="00EE366A"/>
    <w:pPr>
      <w:keepNext/>
      <w:keepLines/>
      <w:spacing w:line="280" w:lineRule="atLeast"/>
    </w:pPr>
    <w:rPr>
      <w:rFonts w:ascii="Arial" w:hAnsi="Arial"/>
      <w:caps/>
      <w:sz w:val="18"/>
    </w:rPr>
  </w:style>
  <w:style w:type="paragraph" w:customStyle="1" w:styleId="FindingTitle">
    <w:name w:val="Finding Title"/>
    <w:basedOn w:val="RecTitle"/>
    <w:next w:val="Finding"/>
    <w:rsid w:val="00EE366A"/>
  </w:style>
  <w:style w:type="character" w:styleId="FootnoteReference">
    <w:name w:val="footnote reference"/>
    <w:basedOn w:val="DefaultParagraphFont"/>
    <w:semiHidden/>
    <w:rsid w:val="00EE366A"/>
    <w:rPr>
      <w:rFonts w:ascii="Times New Roman" w:hAnsi="Times New Roman"/>
      <w:position w:val="6"/>
      <w:sz w:val="20"/>
      <w:vertAlign w:val="baseline"/>
    </w:rPr>
  </w:style>
  <w:style w:type="paragraph" w:styleId="FootnoteText">
    <w:name w:val="footnote text"/>
    <w:basedOn w:val="BodyText"/>
    <w:link w:val="FootnoteTextChar"/>
    <w:rsid w:val="00EE366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E366A"/>
    <w:rPr>
      <w:i/>
    </w:rPr>
  </w:style>
  <w:style w:type="paragraph" w:customStyle="1" w:styleId="Jurisdictioncommentsbodytext">
    <w:name w:val="Jurisdiction comments body text"/>
    <w:rsid w:val="00EE366A"/>
    <w:pPr>
      <w:spacing w:after="140"/>
      <w:jc w:val="both"/>
    </w:pPr>
    <w:rPr>
      <w:rFonts w:ascii="Arial" w:hAnsi="Arial"/>
      <w:sz w:val="24"/>
      <w:lang w:eastAsia="en-US"/>
    </w:rPr>
  </w:style>
  <w:style w:type="paragraph" w:customStyle="1" w:styleId="Jurisdictioncommentsheading">
    <w:name w:val="Jurisdiction comments heading"/>
    <w:rsid w:val="00EE366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E366A"/>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EE366A"/>
    <w:pPr>
      <w:numPr>
        <w:numId w:val="5"/>
      </w:numPr>
      <w:spacing w:before="120"/>
    </w:pPr>
  </w:style>
  <w:style w:type="paragraph" w:styleId="ListBullet2">
    <w:name w:val="List Bullet 2"/>
    <w:basedOn w:val="BodyText"/>
    <w:link w:val="ListBullet2Char"/>
    <w:rsid w:val="00EE366A"/>
    <w:pPr>
      <w:numPr>
        <w:numId w:val="6"/>
      </w:numPr>
      <w:spacing w:before="120"/>
    </w:pPr>
  </w:style>
  <w:style w:type="paragraph" w:styleId="ListBullet3">
    <w:name w:val="List Bullet 3"/>
    <w:basedOn w:val="BodyText"/>
    <w:rsid w:val="00EE366A"/>
    <w:pPr>
      <w:numPr>
        <w:numId w:val="7"/>
      </w:numPr>
      <w:spacing w:before="120"/>
      <w:ind w:left="1020" w:hanging="340"/>
    </w:pPr>
  </w:style>
  <w:style w:type="paragraph" w:styleId="ListNumber">
    <w:name w:val="List Number"/>
    <w:basedOn w:val="BodyText"/>
    <w:rsid w:val="00EE366A"/>
    <w:pPr>
      <w:numPr>
        <w:numId w:val="13"/>
      </w:numPr>
      <w:spacing w:before="120"/>
    </w:pPr>
  </w:style>
  <w:style w:type="paragraph" w:styleId="ListNumber2">
    <w:name w:val="List Number 2"/>
    <w:basedOn w:val="ListNumber"/>
    <w:rsid w:val="00EE366A"/>
    <w:pPr>
      <w:numPr>
        <w:ilvl w:val="1"/>
      </w:numPr>
    </w:pPr>
  </w:style>
  <w:style w:type="paragraph" w:styleId="ListNumber3">
    <w:name w:val="List Number 3"/>
    <w:basedOn w:val="ListNumber2"/>
    <w:rsid w:val="00EE366A"/>
    <w:pPr>
      <w:numPr>
        <w:ilvl w:val="2"/>
      </w:numPr>
    </w:pPr>
  </w:style>
  <w:style w:type="character" w:customStyle="1" w:styleId="NoteLabel">
    <w:name w:val="Note Label"/>
    <w:basedOn w:val="DefaultParagraphFont"/>
    <w:rsid w:val="00EE366A"/>
    <w:rPr>
      <w:rFonts w:ascii="Arial" w:hAnsi="Arial"/>
      <w:b/>
      <w:position w:val="6"/>
      <w:sz w:val="18"/>
    </w:rPr>
  </w:style>
  <w:style w:type="paragraph" w:customStyle="1" w:styleId="PartDivider">
    <w:name w:val="Part Divider"/>
    <w:basedOn w:val="BodyText"/>
    <w:next w:val="BodyText"/>
    <w:semiHidden/>
    <w:rsid w:val="00EE366A"/>
    <w:pPr>
      <w:spacing w:before="0" w:line="40" w:lineRule="exact"/>
      <w:jc w:val="right"/>
    </w:pPr>
    <w:rPr>
      <w:smallCaps/>
      <w:sz w:val="16"/>
    </w:rPr>
  </w:style>
  <w:style w:type="paragraph" w:customStyle="1" w:styleId="PartNumber">
    <w:name w:val="Part Number"/>
    <w:basedOn w:val="BodyText"/>
    <w:next w:val="BodyText"/>
    <w:semiHidden/>
    <w:rsid w:val="00EE366A"/>
    <w:pPr>
      <w:spacing w:before="4000" w:line="320" w:lineRule="exact"/>
      <w:ind w:left="6634"/>
      <w:jc w:val="right"/>
    </w:pPr>
    <w:rPr>
      <w:smallCaps/>
      <w:spacing w:val="60"/>
      <w:sz w:val="32"/>
    </w:rPr>
  </w:style>
  <w:style w:type="paragraph" w:customStyle="1" w:styleId="PartTitle">
    <w:name w:val="Part Title"/>
    <w:basedOn w:val="BodyText"/>
    <w:semiHidden/>
    <w:rsid w:val="00EE366A"/>
    <w:pPr>
      <w:spacing w:before="160" w:after="1360" w:line="520" w:lineRule="exact"/>
      <w:ind w:right="2381"/>
      <w:jc w:val="right"/>
    </w:pPr>
    <w:rPr>
      <w:smallCaps/>
      <w:sz w:val="52"/>
    </w:rPr>
  </w:style>
  <w:style w:type="paragraph" w:styleId="Quote">
    <w:name w:val="Quote"/>
    <w:basedOn w:val="BodyText"/>
    <w:next w:val="BodyText"/>
    <w:link w:val="QuoteChar"/>
    <w:qFormat/>
    <w:rsid w:val="00EE366A"/>
    <w:pPr>
      <w:spacing w:before="120" w:line="280" w:lineRule="exact"/>
      <w:ind w:left="340"/>
    </w:pPr>
    <w:rPr>
      <w:sz w:val="22"/>
    </w:rPr>
  </w:style>
  <w:style w:type="paragraph" w:customStyle="1" w:styleId="QuoteBullet">
    <w:name w:val="Quote Bullet"/>
    <w:basedOn w:val="Quote"/>
    <w:rsid w:val="00EE366A"/>
    <w:pPr>
      <w:numPr>
        <w:numId w:val="8"/>
      </w:numPr>
    </w:pPr>
  </w:style>
  <w:style w:type="paragraph" w:customStyle="1" w:styleId="Rec">
    <w:name w:val="Rec"/>
    <w:basedOn w:val="BodyText"/>
    <w:qFormat/>
    <w:rsid w:val="00EE366A"/>
    <w:pPr>
      <w:keepLines/>
      <w:spacing w:before="120" w:line="280" w:lineRule="atLeast"/>
    </w:pPr>
    <w:rPr>
      <w:rFonts w:ascii="Arial" w:hAnsi="Arial"/>
      <w:sz w:val="22"/>
    </w:rPr>
  </w:style>
  <w:style w:type="paragraph" w:customStyle="1" w:styleId="RecBullet">
    <w:name w:val="Rec Bullet"/>
    <w:basedOn w:val="Rec"/>
    <w:rsid w:val="00EE366A"/>
    <w:pPr>
      <w:numPr>
        <w:numId w:val="9"/>
      </w:numPr>
      <w:spacing w:before="80"/>
    </w:pPr>
  </w:style>
  <w:style w:type="paragraph" w:customStyle="1" w:styleId="RecB">
    <w:name w:val="RecB"/>
    <w:basedOn w:val="Normal"/>
    <w:rsid w:val="00EE366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E366A"/>
    <w:pPr>
      <w:numPr>
        <w:numId w:val="10"/>
      </w:numPr>
      <w:spacing w:before="80"/>
    </w:pPr>
  </w:style>
  <w:style w:type="paragraph" w:customStyle="1" w:styleId="RecBNoTitle">
    <w:name w:val="RecB NoTitle"/>
    <w:basedOn w:val="RecB"/>
    <w:rsid w:val="00EE366A"/>
    <w:pPr>
      <w:spacing w:before="240"/>
    </w:pPr>
  </w:style>
  <w:style w:type="paragraph" w:customStyle="1" w:styleId="Reference">
    <w:name w:val="Reference"/>
    <w:basedOn w:val="BodyText"/>
    <w:link w:val="ReferenceChar"/>
    <w:rsid w:val="00EE366A"/>
    <w:pPr>
      <w:spacing w:before="120"/>
      <w:ind w:left="340" w:hanging="340"/>
    </w:pPr>
  </w:style>
  <w:style w:type="paragraph" w:customStyle="1" w:styleId="SequenceInfo">
    <w:name w:val="Sequence Info"/>
    <w:basedOn w:val="BodyText"/>
    <w:semiHidden/>
    <w:rsid w:val="00EE366A"/>
    <w:rPr>
      <w:vanish/>
      <w:sz w:val="16"/>
    </w:rPr>
  </w:style>
  <w:style w:type="paragraph" w:customStyle="1" w:styleId="SideNote">
    <w:name w:val="Side Note"/>
    <w:basedOn w:val="BodyText"/>
    <w:next w:val="BodyText"/>
    <w:semiHidden/>
    <w:rsid w:val="00EE366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E366A"/>
    <w:pPr>
      <w:framePr w:wrap="around"/>
      <w:numPr>
        <w:numId w:val="11"/>
      </w:numPr>
      <w:tabs>
        <w:tab w:val="left" w:pos="227"/>
      </w:tabs>
    </w:pPr>
  </w:style>
  <w:style w:type="paragraph" w:customStyle="1" w:styleId="SideNoteGraphic">
    <w:name w:val="Side Note Graphic"/>
    <w:basedOn w:val="SideNote"/>
    <w:next w:val="BodyText"/>
    <w:semiHidden/>
    <w:rsid w:val="00EE366A"/>
    <w:pPr>
      <w:framePr w:wrap="around"/>
    </w:pPr>
  </w:style>
  <w:style w:type="paragraph" w:customStyle="1" w:styleId="TableBodyText">
    <w:name w:val="Table Body Text"/>
    <w:basedOn w:val="BodyText"/>
    <w:link w:val="TableBodyTextChar"/>
    <w:rsid w:val="00EE366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E366A"/>
    <w:pPr>
      <w:numPr>
        <w:numId w:val="12"/>
      </w:numPr>
      <w:jc w:val="left"/>
    </w:pPr>
  </w:style>
  <w:style w:type="paragraph" w:customStyle="1" w:styleId="TableColumnHeading">
    <w:name w:val="Table Column Heading"/>
    <w:basedOn w:val="TableBodyText"/>
    <w:rsid w:val="00EE366A"/>
    <w:pPr>
      <w:spacing w:before="80" w:after="80"/>
    </w:pPr>
    <w:rPr>
      <w:i/>
    </w:rPr>
  </w:style>
  <w:style w:type="paragraph" w:styleId="TOC2">
    <w:name w:val="toc 2"/>
    <w:basedOn w:val="TOC1"/>
    <w:rsid w:val="00EE366A"/>
    <w:pPr>
      <w:ind w:left="1134" w:hanging="624"/>
    </w:pPr>
    <w:rPr>
      <w:b w:val="0"/>
    </w:rPr>
  </w:style>
  <w:style w:type="paragraph" w:styleId="TOC3">
    <w:name w:val="toc 3"/>
    <w:basedOn w:val="TOC2"/>
    <w:rsid w:val="00EE366A"/>
    <w:pPr>
      <w:spacing w:before="60"/>
      <w:ind w:left="1190" w:hanging="680"/>
    </w:pPr>
  </w:style>
  <w:style w:type="paragraph" w:styleId="TableofFigures">
    <w:name w:val="table of figures"/>
    <w:basedOn w:val="TOC3"/>
    <w:next w:val="BodyText"/>
    <w:semiHidden/>
    <w:rsid w:val="00EE366A"/>
    <w:pPr>
      <w:ind w:left="737" w:hanging="737"/>
    </w:pPr>
  </w:style>
  <w:style w:type="paragraph" w:customStyle="1" w:styleId="TableTitle">
    <w:name w:val="Table Title"/>
    <w:basedOn w:val="Caption"/>
    <w:next w:val="Subtitle"/>
    <w:link w:val="TableTitleChar"/>
    <w:qFormat/>
    <w:rsid w:val="00EE366A"/>
    <w:pPr>
      <w:spacing w:before="120"/>
    </w:pPr>
  </w:style>
  <w:style w:type="paragraph" w:customStyle="1" w:styleId="TableUnitsRow">
    <w:name w:val="Table Units Row"/>
    <w:basedOn w:val="TableBodyText"/>
    <w:rsid w:val="00EE366A"/>
    <w:pPr>
      <w:spacing w:before="40"/>
    </w:pPr>
  </w:style>
  <w:style w:type="paragraph" w:styleId="TOC1">
    <w:name w:val="toc 1"/>
    <w:basedOn w:val="Normal"/>
    <w:next w:val="TOC2"/>
    <w:link w:val="TOC1Char"/>
    <w:rsid w:val="00EE366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E366A"/>
    <w:pPr>
      <w:ind w:left="1191" w:firstLine="0"/>
    </w:pPr>
  </w:style>
  <w:style w:type="paragraph" w:customStyle="1" w:styleId="RecBBullet2">
    <w:name w:val="RecB Bullet 2"/>
    <w:basedOn w:val="ListBullet2"/>
    <w:rsid w:val="00EE366A"/>
    <w:pPr>
      <w:pBdr>
        <w:left w:val="single" w:sz="24" w:space="29" w:color="C0C0C0"/>
      </w:pBdr>
    </w:pPr>
    <w:rPr>
      <w:b/>
      <w:i/>
    </w:rPr>
  </w:style>
  <w:style w:type="paragraph" w:styleId="BalloonText">
    <w:name w:val="Balloon Text"/>
    <w:basedOn w:val="Normal"/>
    <w:link w:val="BalloonTextChar"/>
    <w:rsid w:val="00EE366A"/>
    <w:rPr>
      <w:rFonts w:ascii="Tahoma" w:hAnsi="Tahoma" w:cs="Tahoma"/>
      <w:sz w:val="16"/>
      <w:szCs w:val="16"/>
    </w:rPr>
  </w:style>
  <w:style w:type="character" w:customStyle="1" w:styleId="BalloonTextChar">
    <w:name w:val="Balloon Text Char"/>
    <w:basedOn w:val="DefaultParagraphFont"/>
    <w:link w:val="BalloonText"/>
    <w:rsid w:val="00EE366A"/>
    <w:rPr>
      <w:rFonts w:ascii="Tahoma" w:hAnsi="Tahoma" w:cs="Tahoma"/>
      <w:sz w:val="16"/>
      <w:szCs w:val="16"/>
    </w:rPr>
  </w:style>
  <w:style w:type="character" w:customStyle="1" w:styleId="SubtitleChar">
    <w:name w:val="Subtitle Char"/>
    <w:basedOn w:val="DefaultParagraphFont"/>
    <w:link w:val="Subtitle"/>
    <w:rsid w:val="00EE366A"/>
    <w:rPr>
      <w:rFonts w:ascii="Arial" w:hAnsi="Arial"/>
      <w:szCs w:val="24"/>
    </w:rPr>
  </w:style>
  <w:style w:type="paragraph" w:customStyle="1" w:styleId="BoxListBullet3">
    <w:name w:val="Box List Bullet 3"/>
    <w:basedOn w:val="ListBullet3"/>
    <w:rsid w:val="00EE366A"/>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E366A"/>
    <w:rPr>
      <w:i/>
      <w:iCs/>
    </w:rPr>
  </w:style>
  <w:style w:type="paragraph" w:customStyle="1" w:styleId="BoxQuoteBullet">
    <w:name w:val="Box Quote Bullet"/>
    <w:basedOn w:val="BoxQuote"/>
    <w:next w:val="Box"/>
    <w:rsid w:val="00EE366A"/>
    <w:pPr>
      <w:numPr>
        <w:numId w:val="16"/>
      </w:numPr>
      <w:ind w:left="568" w:hanging="284"/>
    </w:pPr>
  </w:style>
  <w:style w:type="paragraph" w:customStyle="1" w:styleId="InformationRequestBullet">
    <w:name w:val="Information Request Bullet"/>
    <w:basedOn w:val="ListBullet"/>
    <w:next w:val="BodyText"/>
    <w:rsid w:val="00EE366A"/>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EE366A"/>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EE366A"/>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EE366A"/>
    <w:rPr>
      <w:sz w:val="24"/>
    </w:rPr>
  </w:style>
  <w:style w:type="character" w:customStyle="1" w:styleId="FooterChar">
    <w:name w:val="Footer Char"/>
    <w:basedOn w:val="BodyTextChar"/>
    <w:link w:val="Footer"/>
    <w:rsid w:val="00EE366A"/>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EE3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EE366A"/>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E366A"/>
    <w:pPr>
      <w:numPr>
        <w:numId w:val="21"/>
      </w:numPr>
      <w:ind w:left="568" w:hanging="284"/>
    </w:pPr>
  </w:style>
  <w:style w:type="paragraph" w:customStyle="1" w:styleId="InformationRequestTitle">
    <w:name w:val="Information Request Title"/>
    <w:basedOn w:val="FindingTitle"/>
    <w:next w:val="InformationRequest"/>
    <w:rsid w:val="00EE366A"/>
    <w:rPr>
      <w:i/>
    </w:rPr>
  </w:style>
  <w:style w:type="paragraph" w:customStyle="1" w:styleId="Space">
    <w:name w:val="Space"/>
    <w:basedOn w:val="Normal"/>
    <w:rsid w:val="00EE366A"/>
    <w:pPr>
      <w:keepNext/>
      <w:spacing w:line="120" w:lineRule="exact"/>
      <w:jc w:val="both"/>
    </w:pPr>
    <w:rPr>
      <w:rFonts w:ascii="Arial" w:hAnsi="Arial"/>
      <w:sz w:val="20"/>
      <w:szCs w:val="20"/>
    </w:rPr>
  </w:style>
  <w:style w:type="paragraph" w:customStyle="1" w:styleId="Heading1nochapterno">
    <w:name w:val="Heading 1 (no chapter no.)"/>
    <w:basedOn w:val="Heading1"/>
    <w:rsid w:val="00EE366A"/>
    <w:pPr>
      <w:spacing w:before="0"/>
      <w:ind w:left="0" w:firstLine="0"/>
    </w:pPr>
  </w:style>
  <w:style w:type="paragraph" w:customStyle="1" w:styleId="Heading2nosectionno">
    <w:name w:val="Heading 2 (no section no.)"/>
    <w:basedOn w:val="Heading2"/>
    <w:rsid w:val="00EE366A"/>
    <w:pPr>
      <w:ind w:left="0" w:firstLine="0"/>
    </w:pPr>
  </w:style>
  <w:style w:type="paragraph" w:customStyle="1" w:styleId="Figurespace">
    <w:name w:val="Figure space"/>
    <w:basedOn w:val="Box"/>
    <w:rsid w:val="00EE366A"/>
    <w:pPr>
      <w:spacing w:before="0" w:line="120" w:lineRule="exact"/>
    </w:pPr>
  </w:style>
  <w:style w:type="paragraph" w:customStyle="1" w:styleId="FooterDraftReport">
    <w:name w:val="FooterDraftReport"/>
    <w:basedOn w:val="Footer"/>
    <w:link w:val="FooterDraftReportChar"/>
    <w:rsid w:val="00EE366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EE366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E366A"/>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99"/>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StyleBulletedOutlinenumberedLatinCourierNewComp1">
    <w:name w:val="Style Style Bulleted + Outline numbered (Latin) Courier New (Comp...1"/>
    <w:basedOn w:val="NoList"/>
    <w:rsid w:val="00336D7E"/>
    <w:pPr>
      <w:numPr>
        <w:numId w:val="34"/>
      </w:numPr>
    </w:pPr>
  </w:style>
  <w:style w:type="paragraph" w:customStyle="1" w:styleId="BoxListBullet4">
    <w:name w:val="Box List Bullet 4"/>
    <w:basedOn w:val="BoxListBullet3"/>
    <w:rsid w:val="00336D7E"/>
    <w:pPr>
      <w:numPr>
        <w:numId w:val="35"/>
      </w:numPr>
      <w:ind w:left="1247" w:hanging="3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E366A"/>
    <w:rPr>
      <w:sz w:val="24"/>
      <w:szCs w:val="24"/>
    </w:rPr>
  </w:style>
  <w:style w:type="paragraph" w:styleId="Heading1">
    <w:name w:val="heading 1"/>
    <w:basedOn w:val="BodyText"/>
    <w:next w:val="BodyText"/>
    <w:link w:val="Heading1Char"/>
    <w:rsid w:val="00EE366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E366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E366A"/>
    <w:pPr>
      <w:spacing w:before="560" w:line="320" w:lineRule="exact"/>
      <w:ind w:left="0" w:firstLine="0"/>
      <w:outlineLvl w:val="2"/>
    </w:pPr>
    <w:rPr>
      <w:sz w:val="26"/>
    </w:rPr>
  </w:style>
  <w:style w:type="paragraph" w:styleId="Heading4">
    <w:name w:val="heading 4"/>
    <w:basedOn w:val="Heading3"/>
    <w:next w:val="BodyText"/>
    <w:link w:val="Heading4Char"/>
    <w:qFormat/>
    <w:rsid w:val="00EE366A"/>
    <w:pPr>
      <w:spacing w:before="480"/>
      <w:outlineLvl w:val="3"/>
    </w:pPr>
    <w:rPr>
      <w:b w:val="0"/>
      <w:sz w:val="24"/>
    </w:rPr>
  </w:style>
  <w:style w:type="paragraph" w:styleId="Heading5">
    <w:name w:val="heading 5"/>
    <w:basedOn w:val="Heading4"/>
    <w:next w:val="BodyText"/>
    <w:link w:val="Heading5Char"/>
    <w:qFormat/>
    <w:rsid w:val="00EE366A"/>
    <w:pPr>
      <w:outlineLvl w:val="4"/>
    </w:pPr>
    <w:rPr>
      <w:i/>
      <w:sz w:val="22"/>
    </w:rPr>
  </w:style>
  <w:style w:type="paragraph" w:styleId="Heading6">
    <w:name w:val="heading 6"/>
    <w:basedOn w:val="BodyText"/>
    <w:next w:val="BodyText"/>
    <w:link w:val="Heading6Char"/>
    <w:rsid w:val="00EE366A"/>
    <w:pPr>
      <w:spacing w:after="60"/>
      <w:jc w:val="left"/>
      <w:outlineLvl w:val="5"/>
    </w:pPr>
    <w:rPr>
      <w:i/>
      <w:sz w:val="22"/>
    </w:rPr>
  </w:style>
  <w:style w:type="paragraph" w:styleId="Heading7">
    <w:name w:val="heading 7"/>
    <w:basedOn w:val="BodyText"/>
    <w:next w:val="BodyText"/>
    <w:link w:val="Heading7Char"/>
    <w:rsid w:val="00EE366A"/>
    <w:pPr>
      <w:spacing w:after="60" w:line="240" w:lineRule="auto"/>
      <w:jc w:val="left"/>
      <w:outlineLvl w:val="6"/>
    </w:pPr>
    <w:rPr>
      <w:rFonts w:ascii="Arial" w:hAnsi="Arial"/>
      <w:sz w:val="20"/>
    </w:rPr>
  </w:style>
  <w:style w:type="paragraph" w:styleId="Heading8">
    <w:name w:val="heading 8"/>
    <w:basedOn w:val="BodyText"/>
    <w:next w:val="BodyText"/>
    <w:link w:val="Heading8Char"/>
    <w:rsid w:val="00EE366A"/>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E366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E36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66A"/>
  </w:style>
  <w:style w:type="paragraph" w:styleId="BodyText">
    <w:name w:val="Body Text"/>
    <w:link w:val="BodyTextChar"/>
    <w:qFormat/>
    <w:rsid w:val="00EE366A"/>
    <w:pPr>
      <w:spacing w:before="240" w:line="300" w:lineRule="atLeast"/>
      <w:jc w:val="both"/>
    </w:pPr>
    <w:rPr>
      <w:sz w:val="24"/>
    </w:rPr>
  </w:style>
  <w:style w:type="paragraph" w:styleId="Footer">
    <w:name w:val="footer"/>
    <w:basedOn w:val="BodyText"/>
    <w:link w:val="FooterChar"/>
    <w:rsid w:val="00EE366A"/>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EE366A"/>
    <w:pPr>
      <w:spacing w:before="0" w:line="20" w:lineRule="exact"/>
    </w:pPr>
  </w:style>
  <w:style w:type="paragraph" w:styleId="Header">
    <w:name w:val="header"/>
    <w:basedOn w:val="BodyText"/>
    <w:link w:val="HeaderChar"/>
    <w:rsid w:val="00EE366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E366A"/>
    <w:pPr>
      <w:spacing w:line="20" w:lineRule="exact"/>
    </w:pPr>
    <w:rPr>
      <w:sz w:val="16"/>
    </w:rPr>
  </w:style>
  <w:style w:type="paragraph" w:customStyle="1" w:styleId="HeaderEven">
    <w:name w:val="Header Even"/>
    <w:basedOn w:val="Header"/>
    <w:semiHidden/>
    <w:rsid w:val="00EE366A"/>
  </w:style>
  <w:style w:type="paragraph" w:customStyle="1" w:styleId="HeaderOdd">
    <w:name w:val="Header Odd"/>
    <w:basedOn w:val="Header"/>
    <w:semiHidden/>
    <w:rsid w:val="00EE366A"/>
  </w:style>
  <w:style w:type="character" w:styleId="PageNumber">
    <w:name w:val="page number"/>
    <w:basedOn w:val="DefaultParagraphFont"/>
    <w:rsid w:val="00EE366A"/>
    <w:rPr>
      <w:rFonts w:ascii="Arial" w:hAnsi="Arial"/>
      <w:b/>
      <w:sz w:val="16"/>
    </w:rPr>
  </w:style>
  <w:style w:type="paragraph" w:customStyle="1" w:styleId="Abbreviation">
    <w:name w:val="Abbreviation"/>
    <w:basedOn w:val="BodyText"/>
    <w:rsid w:val="00EE366A"/>
    <w:pPr>
      <w:spacing w:before="120"/>
      <w:ind w:left="2381" w:hanging="2381"/>
      <w:jc w:val="left"/>
    </w:pPr>
  </w:style>
  <w:style w:type="paragraph" w:customStyle="1" w:styleId="Box">
    <w:name w:val="Box"/>
    <w:basedOn w:val="BodyText"/>
    <w:link w:val="BoxChar"/>
    <w:qFormat/>
    <w:rsid w:val="00EE366A"/>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EE366A"/>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EE366A"/>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EE366A"/>
    <w:rPr>
      <w:b w:val="0"/>
      <w:i/>
    </w:rPr>
  </w:style>
  <w:style w:type="paragraph" w:customStyle="1" w:styleId="BoxListBullet">
    <w:name w:val="Box List Bullet"/>
    <w:basedOn w:val="BodyText"/>
    <w:link w:val="BoxListBulletChar"/>
    <w:rsid w:val="00EE366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E366A"/>
    <w:pPr>
      <w:numPr>
        <w:numId w:val="2"/>
      </w:numPr>
      <w:ind w:left="568" w:hanging="284"/>
    </w:pPr>
  </w:style>
  <w:style w:type="paragraph" w:customStyle="1" w:styleId="BoxListNumber">
    <w:name w:val="Box List Number"/>
    <w:basedOn w:val="BodyText"/>
    <w:link w:val="BoxListNumberChar"/>
    <w:rsid w:val="00EE366A"/>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EE366A"/>
    <w:pPr>
      <w:numPr>
        <w:ilvl w:val="1"/>
      </w:numPr>
      <w:ind w:left="681" w:hanging="397"/>
    </w:pPr>
  </w:style>
  <w:style w:type="paragraph" w:customStyle="1" w:styleId="BoxQuote">
    <w:name w:val="Box Quote"/>
    <w:basedOn w:val="BodyText"/>
    <w:next w:val="Box"/>
    <w:link w:val="BoxQuoteChar"/>
    <w:qFormat/>
    <w:rsid w:val="00EE366A"/>
    <w:pPr>
      <w:keepNext/>
      <w:spacing w:before="60" w:line="240" w:lineRule="exact"/>
      <w:ind w:left="284"/>
    </w:pPr>
    <w:rPr>
      <w:rFonts w:ascii="Arial" w:hAnsi="Arial"/>
      <w:sz w:val="18"/>
    </w:rPr>
  </w:style>
  <w:style w:type="paragraph" w:customStyle="1" w:styleId="Note">
    <w:name w:val="Note"/>
    <w:basedOn w:val="BodyText"/>
    <w:next w:val="BodyText"/>
    <w:link w:val="NoteChar"/>
    <w:rsid w:val="00EE366A"/>
    <w:pPr>
      <w:keepLines/>
      <w:spacing w:before="80" w:line="220" w:lineRule="exact"/>
    </w:pPr>
    <w:rPr>
      <w:rFonts w:ascii="Arial" w:hAnsi="Arial"/>
      <w:sz w:val="18"/>
    </w:rPr>
  </w:style>
  <w:style w:type="paragraph" w:customStyle="1" w:styleId="Source">
    <w:name w:val="Source"/>
    <w:basedOn w:val="Normal"/>
    <w:next w:val="BodyText"/>
    <w:link w:val="SourceChar"/>
    <w:rsid w:val="00EE366A"/>
    <w:pPr>
      <w:keepLines/>
      <w:spacing w:before="80" w:line="220" w:lineRule="exact"/>
      <w:jc w:val="both"/>
    </w:pPr>
    <w:rPr>
      <w:rFonts w:ascii="Arial" w:hAnsi="Arial"/>
      <w:sz w:val="18"/>
      <w:szCs w:val="20"/>
    </w:rPr>
  </w:style>
  <w:style w:type="paragraph" w:customStyle="1" w:styleId="BoxSource">
    <w:name w:val="Box Source"/>
    <w:basedOn w:val="Source"/>
    <w:next w:val="BodyText"/>
    <w:rsid w:val="00EE366A"/>
    <w:pPr>
      <w:spacing w:before="120"/>
    </w:pPr>
  </w:style>
  <w:style w:type="paragraph" w:customStyle="1" w:styleId="BoxSpaceAbove">
    <w:name w:val="Box Space Above"/>
    <w:basedOn w:val="BodyText"/>
    <w:rsid w:val="00EE366A"/>
    <w:pPr>
      <w:keepNext/>
      <w:spacing w:before="360" w:line="80" w:lineRule="exact"/>
      <w:jc w:val="left"/>
    </w:pPr>
  </w:style>
  <w:style w:type="paragraph" w:styleId="Caption">
    <w:name w:val="caption"/>
    <w:basedOn w:val="Normal"/>
    <w:next w:val="BodyText"/>
    <w:rsid w:val="00EE366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EE366A"/>
    <w:pPr>
      <w:spacing w:before="120" w:after="0"/>
    </w:pPr>
  </w:style>
  <w:style w:type="paragraph" w:customStyle="1" w:styleId="BoxSubtitle">
    <w:name w:val="Box Subtitle"/>
    <w:basedOn w:val="BoxTitle"/>
    <w:next w:val="Normal"/>
    <w:rsid w:val="00EE366A"/>
    <w:pPr>
      <w:spacing w:after="80" w:line="200" w:lineRule="exact"/>
      <w:ind w:firstLine="0"/>
    </w:pPr>
    <w:rPr>
      <w:b w:val="0"/>
      <w:sz w:val="20"/>
    </w:rPr>
  </w:style>
  <w:style w:type="paragraph" w:customStyle="1" w:styleId="Chapter">
    <w:name w:val="Chapter"/>
    <w:basedOn w:val="Heading1"/>
    <w:next w:val="BodyText"/>
    <w:link w:val="ChapterChar"/>
    <w:semiHidden/>
    <w:rsid w:val="00EE366A"/>
    <w:pPr>
      <w:ind w:left="0" w:firstLine="0"/>
      <w:outlineLvl w:val="9"/>
    </w:pPr>
  </w:style>
  <w:style w:type="paragraph" w:customStyle="1" w:styleId="ChapterSummary">
    <w:name w:val="Chapter Summary"/>
    <w:basedOn w:val="BodyText"/>
    <w:rsid w:val="00EE366A"/>
    <w:pPr>
      <w:spacing w:line="280" w:lineRule="atLeast"/>
      <w:ind w:left="907"/>
    </w:pPr>
    <w:rPr>
      <w:rFonts w:ascii="Arial" w:hAnsi="Arial"/>
      <w:b/>
      <w:sz w:val="20"/>
    </w:rPr>
  </w:style>
  <w:style w:type="character" w:styleId="CommentReference">
    <w:name w:val="annotation reference"/>
    <w:basedOn w:val="DefaultParagraphFont"/>
    <w:rsid w:val="00EE366A"/>
    <w:rPr>
      <w:b/>
      <w:vanish/>
      <w:color w:val="FF00FF"/>
      <w:sz w:val="20"/>
    </w:rPr>
  </w:style>
  <w:style w:type="paragraph" w:styleId="CommentText">
    <w:name w:val="annotation text"/>
    <w:basedOn w:val="Normal"/>
    <w:link w:val="CommentTextChar1"/>
    <w:semiHidden/>
    <w:rsid w:val="00EE366A"/>
    <w:pPr>
      <w:spacing w:before="120" w:line="240" w:lineRule="atLeast"/>
      <w:ind w:left="567" w:hanging="567"/>
    </w:pPr>
    <w:rPr>
      <w:sz w:val="20"/>
    </w:rPr>
  </w:style>
  <w:style w:type="paragraph" w:customStyle="1" w:styleId="Continued">
    <w:name w:val="Continued"/>
    <w:basedOn w:val="BoxContinued"/>
    <w:next w:val="BodyText"/>
    <w:rsid w:val="00EE366A"/>
  </w:style>
  <w:style w:type="character" w:customStyle="1" w:styleId="DocumentInfo">
    <w:name w:val="Document Info"/>
    <w:basedOn w:val="DefaultParagraphFont"/>
    <w:semiHidden/>
    <w:rsid w:val="00EE366A"/>
    <w:rPr>
      <w:rFonts w:ascii="Arial" w:hAnsi="Arial"/>
      <w:sz w:val="14"/>
    </w:rPr>
  </w:style>
  <w:style w:type="character" w:customStyle="1" w:styleId="DraftingNote">
    <w:name w:val="Drafting Note"/>
    <w:basedOn w:val="DefaultParagraphFont"/>
    <w:rsid w:val="00EE366A"/>
    <w:rPr>
      <w:b/>
      <w:color w:val="FF0000"/>
      <w:sz w:val="24"/>
      <w:u w:val="dotted"/>
    </w:rPr>
  </w:style>
  <w:style w:type="paragraph" w:customStyle="1" w:styleId="Figure">
    <w:name w:val="Figure"/>
    <w:basedOn w:val="BodyText"/>
    <w:rsid w:val="00EE366A"/>
    <w:pPr>
      <w:keepNext/>
      <w:spacing w:before="120" w:after="120" w:line="240" w:lineRule="atLeast"/>
      <w:jc w:val="center"/>
    </w:pPr>
  </w:style>
  <w:style w:type="paragraph" w:customStyle="1" w:styleId="FigureTitle">
    <w:name w:val="Figure Title"/>
    <w:basedOn w:val="Caption"/>
    <w:next w:val="Subtitle"/>
    <w:rsid w:val="00EE366A"/>
    <w:pPr>
      <w:spacing w:before="120"/>
    </w:pPr>
  </w:style>
  <w:style w:type="paragraph" w:styleId="Subtitle">
    <w:name w:val="Subtitle"/>
    <w:basedOn w:val="Caption"/>
    <w:link w:val="SubtitleChar"/>
    <w:qFormat/>
    <w:rsid w:val="00EE366A"/>
    <w:pPr>
      <w:spacing w:before="0" w:line="200" w:lineRule="exact"/>
      <w:ind w:firstLine="0"/>
    </w:pPr>
    <w:rPr>
      <w:b w:val="0"/>
      <w:sz w:val="20"/>
    </w:rPr>
  </w:style>
  <w:style w:type="paragraph" w:customStyle="1" w:styleId="Finding">
    <w:name w:val="Finding"/>
    <w:basedOn w:val="BodyText"/>
    <w:rsid w:val="00EE366A"/>
    <w:pPr>
      <w:keepLines/>
      <w:spacing w:before="120" w:line="280" w:lineRule="atLeast"/>
    </w:pPr>
    <w:rPr>
      <w:rFonts w:ascii="Arial" w:hAnsi="Arial"/>
      <w:sz w:val="22"/>
    </w:rPr>
  </w:style>
  <w:style w:type="paragraph" w:customStyle="1" w:styleId="FindingBullet">
    <w:name w:val="Finding Bullet"/>
    <w:basedOn w:val="Finding"/>
    <w:rsid w:val="00EE366A"/>
    <w:pPr>
      <w:numPr>
        <w:numId w:val="3"/>
      </w:numPr>
      <w:spacing w:before="80"/>
    </w:pPr>
  </w:style>
  <w:style w:type="paragraph" w:customStyle="1" w:styleId="FindingNoTitle">
    <w:name w:val="Finding NoTitle"/>
    <w:basedOn w:val="Finding"/>
    <w:rsid w:val="00EE366A"/>
    <w:pPr>
      <w:spacing w:before="240"/>
    </w:pPr>
  </w:style>
  <w:style w:type="paragraph" w:customStyle="1" w:styleId="RecTitle">
    <w:name w:val="Rec Title"/>
    <w:basedOn w:val="BodyText"/>
    <w:next w:val="Rec"/>
    <w:qFormat/>
    <w:rsid w:val="00EE366A"/>
    <w:pPr>
      <w:keepNext/>
      <w:keepLines/>
      <w:spacing w:line="280" w:lineRule="atLeast"/>
    </w:pPr>
    <w:rPr>
      <w:rFonts w:ascii="Arial" w:hAnsi="Arial"/>
      <w:caps/>
      <w:sz w:val="18"/>
    </w:rPr>
  </w:style>
  <w:style w:type="paragraph" w:customStyle="1" w:styleId="FindingTitle">
    <w:name w:val="Finding Title"/>
    <w:basedOn w:val="RecTitle"/>
    <w:next w:val="Finding"/>
    <w:rsid w:val="00EE366A"/>
  </w:style>
  <w:style w:type="character" w:styleId="FootnoteReference">
    <w:name w:val="footnote reference"/>
    <w:basedOn w:val="DefaultParagraphFont"/>
    <w:semiHidden/>
    <w:rsid w:val="00EE366A"/>
    <w:rPr>
      <w:rFonts w:ascii="Times New Roman" w:hAnsi="Times New Roman"/>
      <w:position w:val="6"/>
      <w:sz w:val="20"/>
      <w:vertAlign w:val="baseline"/>
    </w:rPr>
  </w:style>
  <w:style w:type="paragraph" w:styleId="FootnoteText">
    <w:name w:val="footnote text"/>
    <w:basedOn w:val="BodyText"/>
    <w:link w:val="FootnoteTextChar"/>
    <w:rsid w:val="00EE366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E366A"/>
    <w:rPr>
      <w:i/>
    </w:rPr>
  </w:style>
  <w:style w:type="paragraph" w:customStyle="1" w:styleId="Jurisdictioncommentsbodytext">
    <w:name w:val="Jurisdiction comments body text"/>
    <w:rsid w:val="00EE366A"/>
    <w:pPr>
      <w:spacing w:after="140"/>
      <w:jc w:val="both"/>
    </w:pPr>
    <w:rPr>
      <w:rFonts w:ascii="Arial" w:hAnsi="Arial"/>
      <w:sz w:val="24"/>
      <w:lang w:eastAsia="en-US"/>
    </w:rPr>
  </w:style>
  <w:style w:type="paragraph" w:customStyle="1" w:styleId="Jurisdictioncommentsheading">
    <w:name w:val="Jurisdiction comments heading"/>
    <w:rsid w:val="00EE366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E366A"/>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EE366A"/>
    <w:pPr>
      <w:numPr>
        <w:numId w:val="5"/>
      </w:numPr>
      <w:spacing w:before="120"/>
    </w:pPr>
  </w:style>
  <w:style w:type="paragraph" w:styleId="ListBullet2">
    <w:name w:val="List Bullet 2"/>
    <w:basedOn w:val="BodyText"/>
    <w:link w:val="ListBullet2Char"/>
    <w:rsid w:val="00EE366A"/>
    <w:pPr>
      <w:numPr>
        <w:numId w:val="6"/>
      </w:numPr>
      <w:spacing w:before="120"/>
    </w:pPr>
  </w:style>
  <w:style w:type="paragraph" w:styleId="ListBullet3">
    <w:name w:val="List Bullet 3"/>
    <w:basedOn w:val="BodyText"/>
    <w:rsid w:val="00EE366A"/>
    <w:pPr>
      <w:numPr>
        <w:numId w:val="7"/>
      </w:numPr>
      <w:spacing w:before="120"/>
      <w:ind w:left="1020" w:hanging="340"/>
    </w:pPr>
  </w:style>
  <w:style w:type="paragraph" w:styleId="ListNumber">
    <w:name w:val="List Number"/>
    <w:basedOn w:val="BodyText"/>
    <w:rsid w:val="00EE366A"/>
    <w:pPr>
      <w:numPr>
        <w:numId w:val="13"/>
      </w:numPr>
      <w:spacing w:before="120"/>
    </w:pPr>
  </w:style>
  <w:style w:type="paragraph" w:styleId="ListNumber2">
    <w:name w:val="List Number 2"/>
    <w:basedOn w:val="ListNumber"/>
    <w:rsid w:val="00EE366A"/>
    <w:pPr>
      <w:numPr>
        <w:ilvl w:val="1"/>
      </w:numPr>
    </w:pPr>
  </w:style>
  <w:style w:type="paragraph" w:styleId="ListNumber3">
    <w:name w:val="List Number 3"/>
    <w:basedOn w:val="ListNumber2"/>
    <w:rsid w:val="00EE366A"/>
    <w:pPr>
      <w:numPr>
        <w:ilvl w:val="2"/>
      </w:numPr>
    </w:pPr>
  </w:style>
  <w:style w:type="character" w:customStyle="1" w:styleId="NoteLabel">
    <w:name w:val="Note Label"/>
    <w:basedOn w:val="DefaultParagraphFont"/>
    <w:rsid w:val="00EE366A"/>
    <w:rPr>
      <w:rFonts w:ascii="Arial" w:hAnsi="Arial"/>
      <w:b/>
      <w:position w:val="6"/>
      <w:sz w:val="18"/>
    </w:rPr>
  </w:style>
  <w:style w:type="paragraph" w:customStyle="1" w:styleId="PartDivider">
    <w:name w:val="Part Divider"/>
    <w:basedOn w:val="BodyText"/>
    <w:next w:val="BodyText"/>
    <w:semiHidden/>
    <w:rsid w:val="00EE366A"/>
    <w:pPr>
      <w:spacing w:before="0" w:line="40" w:lineRule="exact"/>
      <w:jc w:val="right"/>
    </w:pPr>
    <w:rPr>
      <w:smallCaps/>
      <w:sz w:val="16"/>
    </w:rPr>
  </w:style>
  <w:style w:type="paragraph" w:customStyle="1" w:styleId="PartNumber">
    <w:name w:val="Part Number"/>
    <w:basedOn w:val="BodyText"/>
    <w:next w:val="BodyText"/>
    <w:semiHidden/>
    <w:rsid w:val="00EE366A"/>
    <w:pPr>
      <w:spacing w:before="4000" w:line="320" w:lineRule="exact"/>
      <w:ind w:left="6634"/>
      <w:jc w:val="right"/>
    </w:pPr>
    <w:rPr>
      <w:smallCaps/>
      <w:spacing w:val="60"/>
      <w:sz w:val="32"/>
    </w:rPr>
  </w:style>
  <w:style w:type="paragraph" w:customStyle="1" w:styleId="PartTitle">
    <w:name w:val="Part Title"/>
    <w:basedOn w:val="BodyText"/>
    <w:semiHidden/>
    <w:rsid w:val="00EE366A"/>
    <w:pPr>
      <w:spacing w:before="160" w:after="1360" w:line="520" w:lineRule="exact"/>
      <w:ind w:right="2381"/>
      <w:jc w:val="right"/>
    </w:pPr>
    <w:rPr>
      <w:smallCaps/>
      <w:sz w:val="52"/>
    </w:rPr>
  </w:style>
  <w:style w:type="paragraph" w:styleId="Quote">
    <w:name w:val="Quote"/>
    <w:basedOn w:val="BodyText"/>
    <w:next w:val="BodyText"/>
    <w:link w:val="QuoteChar"/>
    <w:qFormat/>
    <w:rsid w:val="00EE366A"/>
    <w:pPr>
      <w:spacing w:before="120" w:line="280" w:lineRule="exact"/>
      <w:ind w:left="340"/>
    </w:pPr>
    <w:rPr>
      <w:sz w:val="22"/>
    </w:rPr>
  </w:style>
  <w:style w:type="paragraph" w:customStyle="1" w:styleId="QuoteBullet">
    <w:name w:val="Quote Bullet"/>
    <w:basedOn w:val="Quote"/>
    <w:rsid w:val="00EE366A"/>
    <w:pPr>
      <w:numPr>
        <w:numId w:val="8"/>
      </w:numPr>
    </w:pPr>
  </w:style>
  <w:style w:type="paragraph" w:customStyle="1" w:styleId="Rec">
    <w:name w:val="Rec"/>
    <w:basedOn w:val="BodyText"/>
    <w:qFormat/>
    <w:rsid w:val="00EE366A"/>
    <w:pPr>
      <w:keepLines/>
      <w:spacing w:before="120" w:line="280" w:lineRule="atLeast"/>
    </w:pPr>
    <w:rPr>
      <w:rFonts w:ascii="Arial" w:hAnsi="Arial"/>
      <w:sz w:val="22"/>
    </w:rPr>
  </w:style>
  <w:style w:type="paragraph" w:customStyle="1" w:styleId="RecBullet">
    <w:name w:val="Rec Bullet"/>
    <w:basedOn w:val="Rec"/>
    <w:rsid w:val="00EE366A"/>
    <w:pPr>
      <w:numPr>
        <w:numId w:val="9"/>
      </w:numPr>
      <w:spacing w:before="80"/>
    </w:pPr>
  </w:style>
  <w:style w:type="paragraph" w:customStyle="1" w:styleId="RecB">
    <w:name w:val="RecB"/>
    <w:basedOn w:val="Normal"/>
    <w:rsid w:val="00EE366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E366A"/>
    <w:pPr>
      <w:numPr>
        <w:numId w:val="10"/>
      </w:numPr>
      <w:spacing w:before="80"/>
    </w:pPr>
  </w:style>
  <w:style w:type="paragraph" w:customStyle="1" w:styleId="RecBNoTitle">
    <w:name w:val="RecB NoTitle"/>
    <w:basedOn w:val="RecB"/>
    <w:rsid w:val="00EE366A"/>
    <w:pPr>
      <w:spacing w:before="240"/>
    </w:pPr>
  </w:style>
  <w:style w:type="paragraph" w:customStyle="1" w:styleId="Reference">
    <w:name w:val="Reference"/>
    <w:basedOn w:val="BodyText"/>
    <w:link w:val="ReferenceChar"/>
    <w:rsid w:val="00EE366A"/>
    <w:pPr>
      <w:spacing w:before="120"/>
      <w:ind w:left="340" w:hanging="340"/>
    </w:pPr>
  </w:style>
  <w:style w:type="paragraph" w:customStyle="1" w:styleId="SequenceInfo">
    <w:name w:val="Sequence Info"/>
    <w:basedOn w:val="BodyText"/>
    <w:semiHidden/>
    <w:rsid w:val="00EE366A"/>
    <w:rPr>
      <w:vanish/>
      <w:sz w:val="16"/>
    </w:rPr>
  </w:style>
  <w:style w:type="paragraph" w:customStyle="1" w:styleId="SideNote">
    <w:name w:val="Side Note"/>
    <w:basedOn w:val="BodyText"/>
    <w:next w:val="BodyText"/>
    <w:semiHidden/>
    <w:rsid w:val="00EE366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E366A"/>
    <w:pPr>
      <w:framePr w:wrap="around"/>
      <w:numPr>
        <w:numId w:val="11"/>
      </w:numPr>
      <w:tabs>
        <w:tab w:val="left" w:pos="227"/>
      </w:tabs>
    </w:pPr>
  </w:style>
  <w:style w:type="paragraph" w:customStyle="1" w:styleId="SideNoteGraphic">
    <w:name w:val="Side Note Graphic"/>
    <w:basedOn w:val="SideNote"/>
    <w:next w:val="BodyText"/>
    <w:semiHidden/>
    <w:rsid w:val="00EE366A"/>
    <w:pPr>
      <w:framePr w:wrap="around"/>
    </w:pPr>
  </w:style>
  <w:style w:type="paragraph" w:customStyle="1" w:styleId="TableBodyText">
    <w:name w:val="Table Body Text"/>
    <w:basedOn w:val="BodyText"/>
    <w:link w:val="TableBodyTextChar"/>
    <w:rsid w:val="00EE366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E366A"/>
    <w:pPr>
      <w:numPr>
        <w:numId w:val="12"/>
      </w:numPr>
      <w:jc w:val="left"/>
    </w:pPr>
  </w:style>
  <w:style w:type="paragraph" w:customStyle="1" w:styleId="TableColumnHeading">
    <w:name w:val="Table Column Heading"/>
    <w:basedOn w:val="TableBodyText"/>
    <w:rsid w:val="00EE366A"/>
    <w:pPr>
      <w:spacing w:before="80" w:after="80"/>
    </w:pPr>
    <w:rPr>
      <w:i/>
    </w:rPr>
  </w:style>
  <w:style w:type="paragraph" w:styleId="TOC2">
    <w:name w:val="toc 2"/>
    <w:basedOn w:val="TOC1"/>
    <w:rsid w:val="00EE366A"/>
    <w:pPr>
      <w:ind w:left="1134" w:hanging="624"/>
    </w:pPr>
    <w:rPr>
      <w:b w:val="0"/>
    </w:rPr>
  </w:style>
  <w:style w:type="paragraph" w:styleId="TOC3">
    <w:name w:val="toc 3"/>
    <w:basedOn w:val="TOC2"/>
    <w:rsid w:val="00EE366A"/>
    <w:pPr>
      <w:spacing w:before="60"/>
      <w:ind w:left="1190" w:hanging="680"/>
    </w:pPr>
  </w:style>
  <w:style w:type="paragraph" w:styleId="TableofFigures">
    <w:name w:val="table of figures"/>
    <w:basedOn w:val="TOC3"/>
    <w:next w:val="BodyText"/>
    <w:semiHidden/>
    <w:rsid w:val="00EE366A"/>
    <w:pPr>
      <w:ind w:left="737" w:hanging="737"/>
    </w:pPr>
  </w:style>
  <w:style w:type="paragraph" w:customStyle="1" w:styleId="TableTitle">
    <w:name w:val="Table Title"/>
    <w:basedOn w:val="Caption"/>
    <w:next w:val="Subtitle"/>
    <w:link w:val="TableTitleChar"/>
    <w:qFormat/>
    <w:rsid w:val="00EE366A"/>
    <w:pPr>
      <w:spacing w:before="120"/>
    </w:pPr>
  </w:style>
  <w:style w:type="paragraph" w:customStyle="1" w:styleId="TableUnitsRow">
    <w:name w:val="Table Units Row"/>
    <w:basedOn w:val="TableBodyText"/>
    <w:rsid w:val="00EE366A"/>
    <w:pPr>
      <w:spacing w:before="40"/>
    </w:pPr>
  </w:style>
  <w:style w:type="paragraph" w:styleId="TOC1">
    <w:name w:val="toc 1"/>
    <w:basedOn w:val="Normal"/>
    <w:next w:val="TOC2"/>
    <w:link w:val="TOC1Char"/>
    <w:rsid w:val="00EE366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E366A"/>
    <w:pPr>
      <w:ind w:left="1191" w:firstLine="0"/>
    </w:pPr>
  </w:style>
  <w:style w:type="paragraph" w:customStyle="1" w:styleId="RecBBullet2">
    <w:name w:val="RecB Bullet 2"/>
    <w:basedOn w:val="ListBullet2"/>
    <w:rsid w:val="00EE366A"/>
    <w:pPr>
      <w:pBdr>
        <w:left w:val="single" w:sz="24" w:space="29" w:color="C0C0C0"/>
      </w:pBdr>
    </w:pPr>
    <w:rPr>
      <w:b/>
      <w:i/>
    </w:rPr>
  </w:style>
  <w:style w:type="paragraph" w:styleId="BalloonText">
    <w:name w:val="Balloon Text"/>
    <w:basedOn w:val="Normal"/>
    <w:link w:val="BalloonTextChar"/>
    <w:rsid w:val="00EE366A"/>
    <w:rPr>
      <w:rFonts w:ascii="Tahoma" w:hAnsi="Tahoma" w:cs="Tahoma"/>
      <w:sz w:val="16"/>
      <w:szCs w:val="16"/>
    </w:rPr>
  </w:style>
  <w:style w:type="character" w:customStyle="1" w:styleId="BalloonTextChar">
    <w:name w:val="Balloon Text Char"/>
    <w:basedOn w:val="DefaultParagraphFont"/>
    <w:link w:val="BalloonText"/>
    <w:rsid w:val="00EE366A"/>
    <w:rPr>
      <w:rFonts w:ascii="Tahoma" w:hAnsi="Tahoma" w:cs="Tahoma"/>
      <w:sz w:val="16"/>
      <w:szCs w:val="16"/>
    </w:rPr>
  </w:style>
  <w:style w:type="character" w:customStyle="1" w:styleId="SubtitleChar">
    <w:name w:val="Subtitle Char"/>
    <w:basedOn w:val="DefaultParagraphFont"/>
    <w:link w:val="Subtitle"/>
    <w:rsid w:val="00EE366A"/>
    <w:rPr>
      <w:rFonts w:ascii="Arial" w:hAnsi="Arial"/>
      <w:szCs w:val="24"/>
    </w:rPr>
  </w:style>
  <w:style w:type="paragraph" w:customStyle="1" w:styleId="BoxListBullet3">
    <w:name w:val="Box List Bullet 3"/>
    <w:basedOn w:val="ListBullet3"/>
    <w:rsid w:val="00EE366A"/>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E366A"/>
    <w:rPr>
      <w:i/>
      <w:iCs/>
    </w:rPr>
  </w:style>
  <w:style w:type="paragraph" w:customStyle="1" w:styleId="BoxQuoteBullet">
    <w:name w:val="Box Quote Bullet"/>
    <w:basedOn w:val="BoxQuote"/>
    <w:next w:val="Box"/>
    <w:rsid w:val="00EE366A"/>
    <w:pPr>
      <w:numPr>
        <w:numId w:val="16"/>
      </w:numPr>
      <w:ind w:left="568" w:hanging="284"/>
    </w:pPr>
  </w:style>
  <w:style w:type="paragraph" w:customStyle="1" w:styleId="InformationRequestBullet">
    <w:name w:val="Information Request Bullet"/>
    <w:basedOn w:val="ListBullet"/>
    <w:next w:val="BodyText"/>
    <w:rsid w:val="00EE366A"/>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EE366A"/>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EE366A"/>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EE366A"/>
    <w:rPr>
      <w:sz w:val="24"/>
    </w:rPr>
  </w:style>
  <w:style w:type="character" w:customStyle="1" w:styleId="FooterChar">
    <w:name w:val="Footer Char"/>
    <w:basedOn w:val="BodyTextChar"/>
    <w:link w:val="Footer"/>
    <w:rsid w:val="00EE366A"/>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EE3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EE366A"/>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E366A"/>
    <w:pPr>
      <w:numPr>
        <w:numId w:val="21"/>
      </w:numPr>
      <w:ind w:left="568" w:hanging="284"/>
    </w:pPr>
  </w:style>
  <w:style w:type="paragraph" w:customStyle="1" w:styleId="InformationRequestTitle">
    <w:name w:val="Information Request Title"/>
    <w:basedOn w:val="FindingTitle"/>
    <w:next w:val="InformationRequest"/>
    <w:rsid w:val="00EE366A"/>
    <w:rPr>
      <w:i/>
    </w:rPr>
  </w:style>
  <w:style w:type="paragraph" w:customStyle="1" w:styleId="Space">
    <w:name w:val="Space"/>
    <w:basedOn w:val="Normal"/>
    <w:rsid w:val="00EE366A"/>
    <w:pPr>
      <w:keepNext/>
      <w:spacing w:line="120" w:lineRule="exact"/>
      <w:jc w:val="both"/>
    </w:pPr>
    <w:rPr>
      <w:rFonts w:ascii="Arial" w:hAnsi="Arial"/>
      <w:sz w:val="20"/>
      <w:szCs w:val="20"/>
    </w:rPr>
  </w:style>
  <w:style w:type="paragraph" w:customStyle="1" w:styleId="Heading1nochapterno">
    <w:name w:val="Heading 1 (no chapter no.)"/>
    <w:basedOn w:val="Heading1"/>
    <w:rsid w:val="00EE366A"/>
    <w:pPr>
      <w:spacing w:before="0"/>
      <w:ind w:left="0" w:firstLine="0"/>
    </w:pPr>
  </w:style>
  <w:style w:type="paragraph" w:customStyle="1" w:styleId="Heading2nosectionno">
    <w:name w:val="Heading 2 (no section no.)"/>
    <w:basedOn w:val="Heading2"/>
    <w:rsid w:val="00EE366A"/>
    <w:pPr>
      <w:ind w:left="0" w:firstLine="0"/>
    </w:pPr>
  </w:style>
  <w:style w:type="paragraph" w:customStyle="1" w:styleId="Figurespace">
    <w:name w:val="Figure space"/>
    <w:basedOn w:val="Box"/>
    <w:rsid w:val="00EE366A"/>
    <w:pPr>
      <w:spacing w:before="0" w:line="120" w:lineRule="exact"/>
    </w:pPr>
  </w:style>
  <w:style w:type="paragraph" w:customStyle="1" w:styleId="FooterDraftReport">
    <w:name w:val="FooterDraftReport"/>
    <w:basedOn w:val="Footer"/>
    <w:link w:val="FooterDraftReportChar"/>
    <w:rsid w:val="00EE366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EE366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E366A"/>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99"/>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StyleBulletedOutlinenumberedLatinCourierNewComp1">
    <w:name w:val="Style Style Bulleted + Outline numbered (Latin) Courier New (Comp...1"/>
    <w:basedOn w:val="NoList"/>
    <w:rsid w:val="00336D7E"/>
    <w:pPr>
      <w:numPr>
        <w:numId w:val="34"/>
      </w:numPr>
    </w:pPr>
  </w:style>
  <w:style w:type="paragraph" w:customStyle="1" w:styleId="BoxListBullet4">
    <w:name w:val="Box List Bullet 4"/>
    <w:basedOn w:val="BoxListBullet3"/>
    <w:rsid w:val="00336D7E"/>
    <w:pPr>
      <w:numPr>
        <w:numId w:val="35"/>
      </w:numPr>
      <w:ind w:left="1247"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44957">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Consulted other health professional</a:t>
            </a:r>
          </a:p>
        </c:rich>
      </c:tx>
      <c:layout>
        <c:manualLayout>
          <c:xMode val="edge"/>
          <c:yMode val="edge"/>
          <c:x val="0.34002703703703702"/>
          <c:y val="2.1166666666666667E-2"/>
        </c:manualLayout>
      </c:layout>
      <c:overlay val="0"/>
    </c:title>
    <c:autoTitleDeleted val="0"/>
    <c:plotArea>
      <c:layout>
        <c:manualLayout>
          <c:layoutTarget val="inner"/>
          <c:xMode val="edge"/>
          <c:yMode val="edge"/>
          <c:x val="0.12296851851851852"/>
          <c:y val="0.13746388888888889"/>
          <c:w val="0.85116111111111115"/>
          <c:h val="0.73051444444444447"/>
        </c:manualLayout>
      </c:layout>
      <c:barChart>
        <c:barDir val="col"/>
        <c:grouping val="clustered"/>
        <c:varyColors val="0"/>
        <c:ser>
          <c:idx val="0"/>
          <c:order val="0"/>
          <c:tx>
            <c:strRef>
              <c:f>AxsHlthServicesIndig!$A$27</c:f>
              <c:strCache>
                <c:ptCount val="1"/>
                <c:pt idx="0">
                  <c:v>Excellent/very good/good</c:v>
                </c:pt>
              </c:strCache>
            </c:strRef>
          </c:tx>
          <c:spPr>
            <a:solidFill>
              <a:srgbClr val="265A9A"/>
            </a:solidFill>
            <a:ln>
              <a:solidFill>
                <a:srgbClr val="265A9A"/>
              </a:solidFill>
            </a:ln>
          </c:spPr>
          <c:invertIfNegative val="0"/>
          <c:errBars>
            <c:errBarType val="both"/>
            <c:errValType val="cust"/>
            <c:noEndCap val="0"/>
            <c:plus>
              <c:numRef>
                <c:f>AxsHlthServicesIndig!$B$30:$J$30</c:f>
                <c:numCache>
                  <c:formatCode>General</c:formatCode>
                  <c:ptCount val="9"/>
                  <c:pt idx="0">
                    <c:v>4.0999999999999996</c:v>
                  </c:pt>
                  <c:pt idx="1">
                    <c:v>5.3</c:v>
                  </c:pt>
                  <c:pt idx="2">
                    <c:v>4.0999999999999996</c:v>
                  </c:pt>
                  <c:pt idx="3">
                    <c:v>4.9000000000000004</c:v>
                  </c:pt>
                  <c:pt idx="4">
                    <c:v>5.2</c:v>
                  </c:pt>
                  <c:pt idx="5">
                    <c:v>5</c:v>
                  </c:pt>
                  <c:pt idx="6">
                    <c:v>11.5</c:v>
                  </c:pt>
                  <c:pt idx="7">
                    <c:v>6.1</c:v>
                  </c:pt>
                  <c:pt idx="8">
                    <c:v>1.9</c:v>
                  </c:pt>
                </c:numCache>
              </c:numRef>
            </c:plus>
            <c:minus>
              <c:numRef>
                <c:f>AxsHlthServicesIndig!$B$30:$J$30</c:f>
                <c:numCache>
                  <c:formatCode>General</c:formatCode>
                  <c:ptCount val="9"/>
                  <c:pt idx="0">
                    <c:v>4.0999999999999996</c:v>
                  </c:pt>
                  <c:pt idx="1">
                    <c:v>5.3</c:v>
                  </c:pt>
                  <c:pt idx="2">
                    <c:v>4.0999999999999996</c:v>
                  </c:pt>
                  <c:pt idx="3">
                    <c:v>4.9000000000000004</c:v>
                  </c:pt>
                  <c:pt idx="4">
                    <c:v>5.2</c:v>
                  </c:pt>
                  <c:pt idx="5">
                    <c:v>5</c:v>
                  </c:pt>
                  <c:pt idx="6">
                    <c:v>11.5</c:v>
                  </c:pt>
                  <c:pt idx="7">
                    <c:v>6.1</c:v>
                  </c:pt>
                  <c:pt idx="8">
                    <c:v>1.9</c:v>
                  </c:pt>
                </c:numCache>
              </c:numRef>
            </c:minus>
            <c:spPr>
              <a:ln>
                <a:solidFill>
                  <a:srgbClr val="BFBFBF"/>
                </a:solidFill>
              </a:ln>
            </c:spPr>
          </c:errBars>
          <c:cat>
            <c:strRef>
              <c:f>AxsHlthServicesIndig!$B$2:$J$2</c:f>
              <c:strCache>
                <c:ptCount val="9"/>
                <c:pt idx="0">
                  <c:v>NSW</c:v>
                </c:pt>
                <c:pt idx="1">
                  <c:v>Vic</c:v>
                </c:pt>
                <c:pt idx="2">
                  <c:v>Qld</c:v>
                </c:pt>
                <c:pt idx="3">
                  <c:v>WA</c:v>
                </c:pt>
                <c:pt idx="4">
                  <c:v>SA</c:v>
                </c:pt>
                <c:pt idx="5">
                  <c:v>Tas</c:v>
                </c:pt>
                <c:pt idx="6">
                  <c:v>ACT</c:v>
                </c:pt>
                <c:pt idx="7">
                  <c:v>NT</c:v>
                </c:pt>
                <c:pt idx="8">
                  <c:v>Aust</c:v>
                </c:pt>
              </c:strCache>
            </c:strRef>
          </c:cat>
          <c:val>
            <c:numRef>
              <c:f>AxsHlthServicesIndig!$B$27:$J$27</c:f>
              <c:numCache>
                <c:formatCode>#,##0.0_ ;\-#,##0.0\ </c:formatCode>
                <c:ptCount val="9"/>
                <c:pt idx="0">
                  <c:v>16.899999999999999</c:v>
                </c:pt>
                <c:pt idx="1">
                  <c:v>23.4</c:v>
                </c:pt>
                <c:pt idx="2">
                  <c:v>18.5</c:v>
                </c:pt>
                <c:pt idx="3">
                  <c:v>22.2</c:v>
                </c:pt>
                <c:pt idx="4">
                  <c:v>23.2</c:v>
                </c:pt>
                <c:pt idx="5">
                  <c:v>20.6</c:v>
                </c:pt>
                <c:pt idx="6">
                  <c:v>32.200000000000003</c:v>
                </c:pt>
                <c:pt idx="7">
                  <c:v>26</c:v>
                </c:pt>
                <c:pt idx="8">
                  <c:v>20.100000000000001</c:v>
                </c:pt>
              </c:numCache>
            </c:numRef>
          </c:val>
        </c:ser>
        <c:ser>
          <c:idx val="1"/>
          <c:order val="1"/>
          <c:tx>
            <c:strRef>
              <c:f>AxsHlthServicesIndig!$A$28</c:f>
              <c:strCache>
                <c:ptCount val="1"/>
                <c:pt idx="0">
                  <c:v>Fair/poor</c:v>
                </c:pt>
              </c:strCache>
            </c:strRef>
          </c:tx>
          <c:spPr>
            <a:solidFill>
              <a:srgbClr val="78A22F"/>
            </a:solidFill>
            <a:ln>
              <a:solidFill>
                <a:srgbClr val="78A22F"/>
              </a:solidFill>
            </a:ln>
          </c:spPr>
          <c:invertIfNegative val="0"/>
          <c:errBars>
            <c:errBarType val="both"/>
            <c:errValType val="cust"/>
            <c:noEndCap val="0"/>
            <c:plus>
              <c:numRef>
                <c:f>AxsHlthServicesIndig!$B$31:$J$31</c:f>
                <c:numCache>
                  <c:formatCode>General</c:formatCode>
                  <c:ptCount val="9"/>
                  <c:pt idx="0">
                    <c:v>7.1</c:v>
                  </c:pt>
                  <c:pt idx="1">
                    <c:v>10</c:v>
                  </c:pt>
                  <c:pt idx="2">
                    <c:v>6.8</c:v>
                  </c:pt>
                  <c:pt idx="3">
                    <c:v>7.3</c:v>
                  </c:pt>
                  <c:pt idx="4">
                    <c:v>10.9</c:v>
                  </c:pt>
                  <c:pt idx="5">
                    <c:v>7.6</c:v>
                  </c:pt>
                  <c:pt idx="6">
                    <c:v>20.399999999999999</c:v>
                  </c:pt>
                  <c:pt idx="7">
                    <c:v>7.7</c:v>
                  </c:pt>
                  <c:pt idx="8">
                    <c:v>3.4</c:v>
                  </c:pt>
                </c:numCache>
              </c:numRef>
            </c:plus>
            <c:minus>
              <c:numRef>
                <c:f>AxsHlthServicesIndig!$B$31:$J$31</c:f>
                <c:numCache>
                  <c:formatCode>General</c:formatCode>
                  <c:ptCount val="9"/>
                  <c:pt idx="0">
                    <c:v>7.1</c:v>
                  </c:pt>
                  <c:pt idx="1">
                    <c:v>10</c:v>
                  </c:pt>
                  <c:pt idx="2">
                    <c:v>6.8</c:v>
                  </c:pt>
                  <c:pt idx="3">
                    <c:v>7.3</c:v>
                  </c:pt>
                  <c:pt idx="4">
                    <c:v>10.9</c:v>
                  </c:pt>
                  <c:pt idx="5">
                    <c:v>7.6</c:v>
                  </c:pt>
                  <c:pt idx="6">
                    <c:v>20.399999999999999</c:v>
                  </c:pt>
                  <c:pt idx="7">
                    <c:v>7.7</c:v>
                  </c:pt>
                  <c:pt idx="8">
                    <c:v>3.4</c:v>
                  </c:pt>
                </c:numCache>
              </c:numRef>
            </c:minus>
            <c:spPr>
              <a:ln>
                <a:solidFill>
                  <a:srgbClr val="BFBFBF"/>
                </a:solidFill>
              </a:ln>
            </c:spPr>
          </c:errBars>
          <c:cat>
            <c:strRef>
              <c:f>AxsHlthServicesIndig!$B$2:$J$2</c:f>
              <c:strCache>
                <c:ptCount val="9"/>
                <c:pt idx="0">
                  <c:v>NSW</c:v>
                </c:pt>
                <c:pt idx="1">
                  <c:v>Vic</c:v>
                </c:pt>
                <c:pt idx="2">
                  <c:v>Qld</c:v>
                </c:pt>
                <c:pt idx="3">
                  <c:v>WA</c:v>
                </c:pt>
                <c:pt idx="4">
                  <c:v>SA</c:v>
                </c:pt>
                <c:pt idx="5">
                  <c:v>Tas</c:v>
                </c:pt>
                <c:pt idx="6">
                  <c:v>ACT</c:v>
                </c:pt>
                <c:pt idx="7">
                  <c:v>NT</c:v>
                </c:pt>
                <c:pt idx="8">
                  <c:v>Aust</c:v>
                </c:pt>
              </c:strCache>
            </c:strRef>
          </c:cat>
          <c:val>
            <c:numRef>
              <c:f>AxsHlthServicesIndig!$B$28:$J$28</c:f>
              <c:numCache>
                <c:formatCode>#,##0.0_ ;\-#,##0.0\ </c:formatCode>
                <c:ptCount val="9"/>
                <c:pt idx="0">
                  <c:v>31.3</c:v>
                </c:pt>
                <c:pt idx="1">
                  <c:v>35.9</c:v>
                </c:pt>
                <c:pt idx="2">
                  <c:v>26.8</c:v>
                </c:pt>
                <c:pt idx="3">
                  <c:v>31.4</c:v>
                </c:pt>
                <c:pt idx="4">
                  <c:v>36.700000000000003</c:v>
                </c:pt>
                <c:pt idx="5">
                  <c:v>22.7</c:v>
                </c:pt>
                <c:pt idx="6">
                  <c:v>25.2</c:v>
                </c:pt>
                <c:pt idx="7">
                  <c:v>29.6</c:v>
                </c:pt>
                <c:pt idx="8">
                  <c:v>30.6</c:v>
                </c:pt>
              </c:numCache>
            </c:numRef>
          </c:val>
        </c:ser>
        <c:dLbls>
          <c:showLegendKey val="0"/>
          <c:showVal val="0"/>
          <c:showCatName val="0"/>
          <c:showSerName val="0"/>
          <c:showPercent val="0"/>
          <c:showBubbleSize val="0"/>
        </c:dLbls>
        <c:gapWidth val="150"/>
        <c:axId val="191789696"/>
        <c:axId val="191807872"/>
      </c:barChart>
      <c:catAx>
        <c:axId val="191789696"/>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91807872"/>
        <c:crosses val="autoZero"/>
        <c:auto val="1"/>
        <c:lblAlgn val="ctr"/>
        <c:lblOffset val="100"/>
        <c:noMultiLvlLbl val="0"/>
      </c:catAx>
      <c:valAx>
        <c:axId val="191807872"/>
        <c:scaling>
          <c:orientation val="minMax"/>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b="1" i="0" baseline="0">
                    <a:effectLst/>
                    <a:latin typeface="arial"/>
                    <a:ea typeface="arial"/>
                    <a:cs typeface="arial"/>
                  </a:defRPr>
                </a:pPr>
                <a:r>
                  <a:rPr lang="en-AU"/>
                  <a:t>Per cent</a:t>
                </a:r>
              </a:p>
            </c:rich>
          </c:tx>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91789696"/>
        <c:crosses val="autoZero"/>
        <c:crossBetween val="between"/>
        <c:majorUnit val="15"/>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68FE3-2B66-4A11-9F08-C6B2709F3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81</TotalTime>
  <Pages>31</Pages>
  <Words>8760</Words>
  <Characters>50193</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Sector overview E Health - Indigenous Compendium 2015</vt:lpstr>
    </vt:vector>
  </TitlesOfParts>
  <Company>Productivity Commission</Company>
  <LinksUpToDate>false</LinksUpToDate>
  <CharactersWithSpaces>58836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E Health - Indigenous Compendium 2015</dc:title>
  <dc:subject/>
  <dc:creator>Steering Committee for the Review of Government Service Provision</dc:creator>
  <dc:description>E.</dc:description>
  <cp:lastModifiedBy>Frech, Tanya</cp:lastModifiedBy>
  <cp:revision>14</cp:revision>
  <cp:lastPrinted>2014-09-30T06:40:00Z</cp:lastPrinted>
  <dcterms:created xsi:type="dcterms:W3CDTF">2015-03-30T23:19:00Z</dcterms:created>
  <dcterms:modified xsi:type="dcterms:W3CDTF">2015-04-07T01:48:00Z</dcterms:modified>
</cp:coreProperties>
</file>