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D93874" w:rsidRDefault="00870332" w:rsidP="00870332">
      <w:pPr>
        <w:pStyle w:val="Heading1"/>
      </w:pPr>
      <w:bookmarkStart w:id="0" w:name="ChapterNumber"/>
      <w:bookmarkStart w:id="1" w:name="_Toc411861009"/>
      <w:r w:rsidRPr="00D93874">
        <w:t>17</w:t>
      </w:r>
      <w:bookmarkEnd w:id="0"/>
      <w:r w:rsidRPr="00D93874">
        <w:tab/>
      </w:r>
      <w:bookmarkStart w:id="2" w:name="ChapterTitle"/>
      <w:r w:rsidRPr="00D93874">
        <w:t>Housing</w:t>
      </w:r>
      <w:bookmarkEnd w:id="2"/>
      <w:bookmarkEnd w:id="1"/>
    </w:p>
    <w:sdt>
      <w:sdtPr>
        <w:rPr>
          <w:rFonts w:ascii="Arial" w:eastAsia="Times New Roman" w:hAnsi="Arial" w:cs="Times New Roman"/>
          <w:b w:val="0"/>
          <w:bCs w:val="0"/>
          <w:color w:val="auto"/>
          <w:sz w:val="26"/>
          <w:szCs w:val="26"/>
          <w:lang w:val="en-AU" w:eastAsia="en-US"/>
        </w:rPr>
        <w:id w:val="1505013491"/>
        <w:docPartObj>
          <w:docPartGallery w:val="Table of Contents"/>
          <w:docPartUnique/>
        </w:docPartObj>
      </w:sdtPr>
      <w:sdtEndPr>
        <w:rPr>
          <w:noProof/>
        </w:rPr>
      </w:sdtEndPr>
      <w:sdtContent>
        <w:p w:rsidR="009F3EEE" w:rsidRPr="00D93874" w:rsidRDefault="009F3EEE" w:rsidP="009F3EEE">
          <w:pPr>
            <w:pStyle w:val="TOCHeading"/>
            <w:rPr>
              <w:rFonts w:ascii="Arial" w:eastAsia="Times New Roman" w:hAnsi="Arial" w:cs="Times New Roman"/>
              <w:bCs w:val="0"/>
              <w:noProof/>
              <w:color w:val="auto"/>
              <w:sz w:val="24"/>
              <w:szCs w:val="26"/>
              <w:lang w:val="en-AU" w:eastAsia="en-US"/>
            </w:rPr>
          </w:pPr>
          <w:r w:rsidRPr="00D93874">
            <w:rPr>
              <w:rFonts w:ascii="Arial" w:eastAsia="Times New Roman" w:hAnsi="Arial" w:cs="Times New Roman"/>
              <w:bCs w:val="0"/>
              <w:noProof/>
              <w:color w:val="auto"/>
              <w:sz w:val="24"/>
              <w:szCs w:val="26"/>
              <w:lang w:val="en-AU" w:eastAsia="en-US"/>
            </w:rPr>
            <w:t>CONTENTS</w:t>
          </w:r>
        </w:p>
        <w:p w:rsidR="009F3EEE" w:rsidRPr="00D93874" w:rsidRDefault="009F3EEE">
          <w:pPr>
            <w:pStyle w:val="TOC3"/>
            <w:rPr>
              <w:rStyle w:val="Hyperlink"/>
              <w:noProof/>
            </w:rPr>
          </w:pPr>
          <w:r w:rsidRPr="003B2F13">
            <w:rPr>
              <w:noProof/>
            </w:rPr>
            <w:t>Aboriginal and Torres Strait Islander data in the Housing chapter</w:t>
          </w:r>
          <w:r w:rsidRPr="003B2F13">
            <w:rPr>
              <w:noProof/>
              <w:webHidden/>
            </w:rPr>
            <w:tab/>
            <w:t>17.</w:t>
          </w:r>
          <w:r w:rsidR="00D93874" w:rsidRPr="003B2F13">
            <w:rPr>
              <w:noProof/>
              <w:webHidden/>
            </w:rPr>
            <w:t>3</w:t>
          </w:r>
        </w:p>
        <w:p w:rsidR="009F3EEE" w:rsidRPr="00D93874" w:rsidRDefault="009F3EEE">
          <w:pPr>
            <w:pStyle w:val="TOC3"/>
            <w:rPr>
              <w:rStyle w:val="Hyperlink"/>
              <w:noProof/>
            </w:rPr>
          </w:pPr>
          <w:r w:rsidRPr="003B2F13">
            <w:rPr>
              <w:noProof/>
            </w:rPr>
            <w:t>Profile of housing assistance</w:t>
          </w:r>
          <w:r w:rsidRPr="003B2F13">
            <w:rPr>
              <w:noProof/>
              <w:webHidden/>
            </w:rPr>
            <w:tab/>
            <w:t>17.</w:t>
          </w:r>
          <w:r w:rsidR="00D93874" w:rsidRPr="003B2F13">
            <w:rPr>
              <w:noProof/>
              <w:webHidden/>
            </w:rPr>
            <w:t>4</w:t>
          </w:r>
        </w:p>
        <w:p w:rsidR="009F3EEE" w:rsidRPr="00D93874" w:rsidRDefault="009F3EEE">
          <w:pPr>
            <w:pStyle w:val="TOC3"/>
            <w:rPr>
              <w:rStyle w:val="Hyperlink"/>
              <w:noProof/>
            </w:rPr>
          </w:pPr>
          <w:r w:rsidRPr="003B2F13">
            <w:rPr>
              <w:noProof/>
            </w:rPr>
            <w:t>Framework of performance indicators</w:t>
          </w:r>
          <w:r w:rsidRPr="003B2F13">
            <w:rPr>
              <w:noProof/>
              <w:webHidden/>
            </w:rPr>
            <w:tab/>
            <w:t>17.</w:t>
          </w:r>
          <w:r w:rsidR="00D93874" w:rsidRPr="003B2F13">
            <w:rPr>
              <w:noProof/>
              <w:webHidden/>
            </w:rPr>
            <w:t>10</w:t>
          </w:r>
        </w:p>
        <w:p w:rsidR="009F3EEE" w:rsidRPr="00D93874" w:rsidRDefault="009F3EEE">
          <w:pPr>
            <w:pStyle w:val="TOC3"/>
            <w:rPr>
              <w:rStyle w:val="Hyperlink"/>
              <w:noProof/>
            </w:rPr>
          </w:pPr>
          <w:r w:rsidRPr="003B2F13">
            <w:rPr>
              <w:noProof/>
            </w:rPr>
            <w:t>Key performance indicator results</w:t>
          </w:r>
          <w:r w:rsidRPr="003B2F13">
            <w:rPr>
              <w:noProof/>
              <w:webHidden/>
            </w:rPr>
            <w:tab/>
            <w:t>17.</w:t>
          </w:r>
          <w:r w:rsidR="00D93874" w:rsidRPr="003B2F13">
            <w:rPr>
              <w:noProof/>
              <w:webHidden/>
            </w:rPr>
            <w:t>12</w:t>
          </w:r>
        </w:p>
        <w:p w:rsidR="009F3EEE" w:rsidRPr="00D93874" w:rsidRDefault="009F3EEE">
          <w:pPr>
            <w:pStyle w:val="TOC3"/>
            <w:rPr>
              <w:rStyle w:val="Hyperlink"/>
              <w:noProof/>
            </w:rPr>
          </w:pPr>
          <w:r w:rsidRPr="003B2F13">
            <w:rPr>
              <w:noProof/>
            </w:rPr>
            <w:t>Future directions in performance reporting</w:t>
          </w:r>
          <w:r w:rsidRPr="003B2F13">
            <w:rPr>
              <w:noProof/>
              <w:webHidden/>
            </w:rPr>
            <w:tab/>
            <w:t>17.</w:t>
          </w:r>
          <w:r w:rsidR="00D93874" w:rsidRPr="003B2F13">
            <w:rPr>
              <w:noProof/>
              <w:webHidden/>
            </w:rPr>
            <w:t>39</w:t>
          </w:r>
        </w:p>
        <w:p w:rsidR="009F3EEE" w:rsidRPr="00D93874" w:rsidRDefault="009F3EEE">
          <w:pPr>
            <w:pStyle w:val="TOC3"/>
            <w:rPr>
              <w:rStyle w:val="Hyperlink"/>
              <w:noProof/>
            </w:rPr>
          </w:pPr>
          <w:r w:rsidRPr="003B2F13">
            <w:rPr>
              <w:noProof/>
            </w:rPr>
            <w:t>Definitions of key terms</w:t>
          </w:r>
          <w:r w:rsidRPr="003B2F13">
            <w:rPr>
              <w:noProof/>
              <w:webHidden/>
            </w:rPr>
            <w:tab/>
            <w:t>17.</w:t>
          </w:r>
          <w:r w:rsidR="00D93874" w:rsidRPr="003B2F13">
            <w:rPr>
              <w:noProof/>
              <w:webHidden/>
            </w:rPr>
            <w:t>40</w:t>
          </w:r>
        </w:p>
        <w:p w:rsidR="009F3EEE" w:rsidRPr="00D93874" w:rsidRDefault="009F3EEE">
          <w:pPr>
            <w:pStyle w:val="TOC3"/>
            <w:rPr>
              <w:rStyle w:val="Hyperlink"/>
              <w:noProof/>
            </w:rPr>
          </w:pPr>
          <w:r w:rsidRPr="003B2F13">
            <w:rPr>
              <w:noProof/>
            </w:rPr>
            <w:t>List of attachment tables</w:t>
          </w:r>
          <w:r w:rsidRPr="003B2F13">
            <w:rPr>
              <w:noProof/>
              <w:webHidden/>
            </w:rPr>
            <w:tab/>
            <w:t>17.</w:t>
          </w:r>
          <w:r w:rsidR="00D93874" w:rsidRPr="003B2F13">
            <w:rPr>
              <w:noProof/>
              <w:webHidden/>
            </w:rPr>
            <w:t>43</w:t>
          </w:r>
        </w:p>
        <w:p w:rsidR="009F3EEE" w:rsidRPr="00D93874" w:rsidRDefault="009F3EEE" w:rsidP="009F3EEE">
          <w:pPr>
            <w:pStyle w:val="TOC3"/>
            <w:rPr>
              <w:color w:val="0000FF"/>
              <w:u w:val="single"/>
            </w:rPr>
          </w:pPr>
          <w:r w:rsidRPr="003B2F13">
            <w:rPr>
              <w:noProof/>
            </w:rPr>
            <w:t>References</w:t>
          </w:r>
          <w:r w:rsidRPr="003B2F13">
            <w:rPr>
              <w:noProof/>
              <w:webHidden/>
            </w:rPr>
            <w:tab/>
            <w:t>17.</w:t>
          </w:r>
          <w:r w:rsidR="00D93874" w:rsidRPr="003B2F13">
            <w:rPr>
              <w:noProof/>
              <w:webHidden/>
            </w:rPr>
            <w:t>44</w:t>
          </w:r>
        </w:p>
      </w:sdtContent>
    </w:sdt>
    <w:p w:rsidR="001D0C58" w:rsidRPr="00D93874"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D93874" w:rsidTr="004A71CC">
        <w:tc>
          <w:tcPr>
            <w:tcW w:w="8771" w:type="dxa"/>
            <w:tcBorders>
              <w:top w:val="single" w:sz="6" w:space="0" w:color="78A22F"/>
              <w:left w:val="nil"/>
              <w:bottom w:val="nil"/>
              <w:right w:val="nil"/>
            </w:tcBorders>
            <w:shd w:val="clear" w:color="auto" w:fill="F2F2F2"/>
          </w:tcPr>
          <w:p w:rsidR="001D0C58" w:rsidRPr="00D93874" w:rsidRDefault="001D0C58" w:rsidP="004A71CC">
            <w:pPr>
              <w:pStyle w:val="BoxTitle"/>
            </w:pPr>
            <w:r w:rsidRPr="00D93874">
              <w:t>Attachment tables</w:t>
            </w:r>
          </w:p>
        </w:tc>
      </w:tr>
      <w:tr w:rsidR="001D0C58" w:rsidRPr="00D93874" w:rsidTr="004A71CC">
        <w:trPr>
          <w:cantSplit/>
        </w:trPr>
        <w:tc>
          <w:tcPr>
            <w:tcW w:w="8771" w:type="dxa"/>
            <w:tcBorders>
              <w:top w:val="nil"/>
              <w:left w:val="nil"/>
              <w:bottom w:val="nil"/>
              <w:right w:val="nil"/>
            </w:tcBorders>
            <w:shd w:val="clear" w:color="auto" w:fill="F2F2F2"/>
          </w:tcPr>
          <w:p w:rsidR="001D0C58" w:rsidRPr="00091343" w:rsidRDefault="001D0C58" w:rsidP="00E23CA3">
            <w:pPr>
              <w:pStyle w:val="Box"/>
            </w:pPr>
            <w:r w:rsidRPr="00091343">
              <w:t xml:space="preserve">Attachment tables are identified in references throughout this Indigenous Compendium by an ‘A’ prefix (for example, in this chapter, table </w:t>
            </w:r>
            <w:r w:rsidR="00520DA1" w:rsidRPr="00091343">
              <w:t>1</w:t>
            </w:r>
            <w:r w:rsidR="00946328" w:rsidRPr="00091343">
              <w:t>7</w:t>
            </w:r>
            <w:r w:rsidRPr="00091343">
              <w:t xml:space="preserve">A.1). As the data are directly sourced from the 2015 Report, the Compendium also notes where the original table, figure or text in the 2015 Report can be found. For example, where the Compendium refers to ‘2015 Report, p. </w:t>
            </w:r>
            <w:r w:rsidR="00520DA1" w:rsidRPr="00091343">
              <w:t>1</w:t>
            </w:r>
            <w:r w:rsidR="00946328" w:rsidRPr="00091343">
              <w:t>7</w:t>
            </w:r>
            <w:r w:rsidRPr="00091343">
              <w:t xml:space="preserve">.1’, this is page 1 of chapter </w:t>
            </w:r>
            <w:r w:rsidR="00520DA1" w:rsidRPr="00091343">
              <w:t>1</w:t>
            </w:r>
            <w:r w:rsidR="00946328" w:rsidRPr="00091343">
              <w:t xml:space="preserve">7 </w:t>
            </w:r>
            <w:r w:rsidRPr="00091343">
              <w:t xml:space="preserve">of the 2015 Report, and ‘2015 Report, table </w:t>
            </w:r>
            <w:r w:rsidR="00520DA1" w:rsidRPr="00091343">
              <w:t>1</w:t>
            </w:r>
            <w:r w:rsidR="00946328" w:rsidRPr="00091343">
              <w:t>7</w:t>
            </w:r>
            <w:r w:rsidRPr="00091343">
              <w:t xml:space="preserve">A.1’ is table 1 of attachment </w:t>
            </w:r>
            <w:r w:rsidR="00520DA1" w:rsidRPr="00091343">
              <w:t>1</w:t>
            </w:r>
            <w:r w:rsidR="00946328" w:rsidRPr="00091343">
              <w:t>7</w:t>
            </w:r>
            <w:r w:rsidRPr="00091343">
              <w:t xml:space="preserve">A of the 2015 Report. A list of attachment tables referred to in the Compendium is provided at the end of this chapter, and the full attachment tables are available from the Review website at </w:t>
            </w:r>
            <w:proofErr w:type="spellStart"/>
            <w:r w:rsidR="005E25E9" w:rsidRPr="00091343">
              <w:t>www.pc.gov.au</w:t>
            </w:r>
            <w:proofErr w:type="spellEnd"/>
            <w:r w:rsidR="005E25E9" w:rsidRPr="00091343">
              <w:t>/research/recurring/report-on-government-services</w:t>
            </w:r>
            <w:r w:rsidRPr="00091343">
              <w:t>.</w:t>
            </w:r>
          </w:p>
        </w:tc>
      </w:tr>
      <w:tr w:rsidR="001D0C58" w:rsidRPr="00D93874" w:rsidTr="004A71CC">
        <w:trPr>
          <w:cantSplit/>
        </w:trPr>
        <w:tc>
          <w:tcPr>
            <w:tcW w:w="8771" w:type="dxa"/>
            <w:tcBorders>
              <w:top w:val="nil"/>
              <w:left w:val="nil"/>
              <w:bottom w:val="nil"/>
              <w:right w:val="nil"/>
            </w:tcBorders>
            <w:shd w:val="clear" w:color="auto" w:fill="F2F2F2"/>
          </w:tcPr>
          <w:p w:rsidR="001D0C58" w:rsidRPr="00D93874" w:rsidRDefault="001D0C58" w:rsidP="004A71CC">
            <w:pPr>
              <w:pStyle w:val="Box"/>
              <w:spacing w:before="0" w:line="120" w:lineRule="exact"/>
            </w:pPr>
          </w:p>
        </w:tc>
      </w:tr>
      <w:tr w:rsidR="001D0C58" w:rsidRPr="00D93874" w:rsidTr="004A71CC">
        <w:tc>
          <w:tcPr>
            <w:tcW w:w="8771" w:type="dxa"/>
            <w:tcBorders>
              <w:top w:val="single" w:sz="6" w:space="0" w:color="78A22F"/>
              <w:left w:val="nil"/>
              <w:bottom w:val="nil"/>
              <w:right w:val="nil"/>
            </w:tcBorders>
          </w:tcPr>
          <w:p w:rsidR="001D0C58" w:rsidRPr="00D93874" w:rsidRDefault="001D0C58" w:rsidP="004A71CC">
            <w:pPr>
              <w:pStyle w:val="BoxSpaceBelow"/>
            </w:pPr>
          </w:p>
        </w:tc>
      </w:tr>
    </w:tbl>
    <w:p w:rsidR="00600B2E" w:rsidRPr="00D93874" w:rsidRDefault="00600B2E" w:rsidP="00600B2E">
      <w:pPr>
        <w:pStyle w:val="BodyText"/>
      </w:pPr>
      <w:r w:rsidRPr="00D93874">
        <w:t xml:space="preserve">The Housing chapter (chapter 17) in the </w:t>
      </w:r>
      <w:r w:rsidRPr="00D93874">
        <w:rPr>
          <w:i/>
        </w:rPr>
        <w:t>Report on Government Services 2015</w:t>
      </w:r>
      <w:r w:rsidRPr="00D93874">
        <w:t xml:space="preserve"> </w:t>
      </w:r>
      <w:r w:rsidRPr="00D93874">
        <w:br/>
        <w:t xml:space="preserve">(2015 Report) reports on the performance of social housing services in each </w:t>
      </w:r>
      <w:smartTag w:uri="urn:schemas-microsoft-com:office:smarttags" w:element="place">
        <w:smartTag w:uri="urn:schemas-microsoft-com:office:smarttags" w:element="PlaceName">
          <w:r w:rsidRPr="00D93874">
            <w:t>Australian</w:t>
          </w:r>
        </w:smartTag>
        <w:r w:rsidRPr="00D93874">
          <w:t xml:space="preserve"> </w:t>
        </w:r>
        <w:smartTag w:uri="urn:schemas-microsoft-com:office:smarttags" w:element="PlaceType">
          <w:r w:rsidRPr="00D93874">
            <w:t>State</w:t>
          </w:r>
        </w:smartTag>
      </w:smartTag>
      <w:r w:rsidRPr="00D93874">
        <w:t xml:space="preserve"> and Territory. </w:t>
      </w:r>
      <w:r w:rsidR="005B24AE" w:rsidRPr="00D93874">
        <w:t xml:space="preserve">Data are reported for </w:t>
      </w:r>
      <w:r w:rsidR="00010BF3" w:rsidRPr="00D93874">
        <w:t>Aboriginal and Torres Strait Islander</w:t>
      </w:r>
      <w:r w:rsidRPr="00D93874">
        <w:t xml:space="preserve"> Australians for a subset of the performance indicators reported in that chapter — those data are compiled and presented here.</w:t>
      </w:r>
    </w:p>
    <w:p w:rsidR="008C487D" w:rsidRPr="00D93874" w:rsidRDefault="008C487D" w:rsidP="008C487D">
      <w:pPr>
        <w:pStyle w:val="BodyText"/>
      </w:pPr>
      <w:bookmarkStart w:id="3" w:name="_Toc345416491"/>
      <w:bookmarkStart w:id="4" w:name="_Toc366137743"/>
      <w:bookmarkStart w:id="5" w:name="_Toc396309573"/>
      <w:r w:rsidRPr="00D93874">
        <w:t xml:space="preserve">Governments play a significant role in the Australian housing market, directly through housing assistance and indirectly through policies associated with land planning and taxation. Direct assistance includes social housing, home purchase assistance and rent assistance. Housing assistance is provided by governments because many Australian households face problems in acquiring or accessing suitable private accommodation — either through renting from a private landlord or through owner occupation — for reasons including cost, availability, location and/or adequacy. The Australian Government provides </w:t>
      </w:r>
      <w:r w:rsidRPr="00D93874">
        <w:lastRenderedPageBreak/>
        <w:t>funding to assist with the achievement of housing and homelessness related outcomes for which states and territories have primary responsibility.</w:t>
      </w:r>
    </w:p>
    <w:p w:rsidR="008C487D" w:rsidRPr="00D93874" w:rsidRDefault="008C487D" w:rsidP="00600B2E">
      <w:pPr>
        <w:pStyle w:val="BodyText"/>
      </w:pPr>
      <w:r w:rsidRPr="00D93874">
        <w:t xml:space="preserve">This chapter focuses on the performance of governments in providing social housing, which broadly encompasses public housing, State owned and managed Indigenous housing, community housing, and Indigenous community housing. These services are </w:t>
      </w:r>
      <w:r w:rsidR="00600B2E" w:rsidRPr="00D93874">
        <w:t xml:space="preserve">outlined in box </w:t>
      </w:r>
      <w:r w:rsidRPr="00D93874">
        <w:t>17.1.</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200150">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FF35FF">
            <w:pPr>
              <w:pStyle w:val="BoxTitle"/>
            </w:pPr>
            <w:r w:rsidRPr="00D93874">
              <w:rPr>
                <w:b w:val="0"/>
              </w:rPr>
              <w:t xml:space="preserve">Box </w:t>
            </w:r>
            <w:r w:rsidRPr="00D93874">
              <w:rPr>
                <w:b w:val="0"/>
                <w:noProof/>
              </w:rPr>
              <w:t>1</w:t>
            </w:r>
            <w:r w:rsidRPr="00D93874">
              <w:rPr>
                <w:b w:val="0"/>
              </w:rPr>
              <w:t>7.1</w:t>
            </w:r>
            <w:r w:rsidRPr="00D93874">
              <w:tab/>
              <w:t>Forms of social housing</w:t>
            </w:r>
          </w:p>
        </w:tc>
      </w:tr>
      <w:tr w:rsidR="008C487D" w:rsidRPr="00D93874" w:rsidTr="00200150">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Social housing is rental housing provided by not–for–profit, non–government or government organisations to assist people who are unable to access suitable accommodation in the private rental market. The forms of social housing included in this Report are:</w:t>
            </w:r>
          </w:p>
          <w:p w:rsidR="008C487D" w:rsidRPr="00D93874" w:rsidRDefault="008C487D" w:rsidP="00B3570B">
            <w:pPr>
              <w:pStyle w:val="BoxListBullet"/>
            </w:pPr>
            <w:r w:rsidRPr="00D93874">
              <w:rPr>
                <w:i/>
              </w:rPr>
              <w:t>Public housing</w:t>
            </w:r>
            <w:r w:rsidRPr="00D93874">
              <w:t>: dwellings owned (or leased) and managed by State and Territory housing authorities.</w:t>
            </w:r>
          </w:p>
          <w:p w:rsidR="008C487D" w:rsidRPr="00D93874" w:rsidRDefault="008C487D" w:rsidP="00B3570B">
            <w:pPr>
              <w:pStyle w:val="BoxListBullet"/>
            </w:pPr>
            <w:r w:rsidRPr="00D93874">
              <w:rPr>
                <w:i/>
              </w:rPr>
              <w:t>State owned and managed Indigenous housing (SOMIH)</w:t>
            </w:r>
            <w:r w:rsidRPr="00D93874">
              <w:t>: dwellings owned and managed by State housing authorities that are allocated only to Aboriginal and Torres Strait Islander households.</w:t>
            </w:r>
          </w:p>
          <w:p w:rsidR="008C487D" w:rsidRPr="00D93874" w:rsidRDefault="008C487D" w:rsidP="00B3570B">
            <w:pPr>
              <w:pStyle w:val="BoxListBullet"/>
            </w:pPr>
            <w:r w:rsidRPr="00D93874">
              <w:rPr>
                <w:i/>
              </w:rPr>
              <w:t>Community housing</w:t>
            </w:r>
            <w:r w:rsidRPr="00D93874">
              <w:t>: rental housing provided to low–to–moderate income and/or special needs households, managed by community-based organisations that lease properties from government or have received a capital or recurrent subsidy from government. Community housing models vary across jurisdictions. Community housing organisations typically receive some form of government assistance, such as direct funding or the provision of land and property, but a number of community housing organisations are entirely self-funded.</w:t>
            </w:r>
          </w:p>
          <w:p w:rsidR="008C487D" w:rsidRPr="00D93874" w:rsidRDefault="008C487D" w:rsidP="00B3570B">
            <w:pPr>
              <w:pStyle w:val="BoxListBullet"/>
            </w:pPr>
            <w:r w:rsidRPr="00D93874">
              <w:rPr>
                <w:i/>
              </w:rPr>
              <w:t xml:space="preserve">Indigenous community housing (ICH): </w:t>
            </w:r>
            <w:r w:rsidRPr="00D93874">
              <w:t>dwellings owned or leased and managed by ICH organisations and community councils in major cities, regional and remote areas. ICH models vary across jurisdictions and can also include dwellings funded or registered by government. ICH organisations include community organisations such as resource agencies and land councils.</w:t>
            </w:r>
          </w:p>
          <w:p w:rsidR="008C487D" w:rsidRPr="00D93874" w:rsidRDefault="008C487D" w:rsidP="00FF35FF">
            <w:pPr>
              <w:pStyle w:val="Box"/>
            </w:pPr>
            <w:r w:rsidRPr="00D93874">
              <w:rPr>
                <w:i/>
              </w:rPr>
              <w:t>Crisis and transitional housing</w:t>
            </w:r>
            <w:r w:rsidRPr="00D93874">
              <w:t xml:space="preserve"> is an additional form of social housing, but it is not separately identified in this Report. Crisis and transitional housing might be indirectly reported through the other forms of social housing described above.</w:t>
            </w:r>
          </w:p>
        </w:tc>
      </w:tr>
      <w:tr w:rsidR="008C487D" w:rsidRPr="00D93874" w:rsidTr="00200150">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200150">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t>Social housing is provided with funding through the National Affordable Housing Special Purpose Payment associated with the National Affordable Housing Agreement (NAHA). The NAHA is the overarching agreement between the Australian, State and Territory governments for providing assistance to improve housing outcomes for Australian</w:t>
      </w:r>
      <w:r w:rsidR="00132AEF" w:rsidRPr="00D93874">
        <w:t>s</w:t>
      </w:r>
      <w:r w:rsidRPr="00D93874">
        <w:t>. Prior to commen</w:t>
      </w:r>
      <w:r w:rsidR="00267172" w:rsidRPr="00D93874">
        <w:t xml:space="preserve">cement of the NAHA on 1 January </w:t>
      </w:r>
      <w:r w:rsidRPr="00D93874">
        <w:t>2009, funding for social housing was provided under the Commonwealth Stat</w:t>
      </w:r>
      <w:r w:rsidR="00AE4818" w:rsidRPr="00D93874">
        <w:t xml:space="preserve">e Housing Agreement (CSHA) (box </w:t>
      </w:r>
      <w:r w:rsidRPr="00D93874">
        <w:t>17.2).</w:t>
      </w:r>
    </w:p>
    <w:p w:rsidR="008C487D" w:rsidRPr="00D93874" w:rsidRDefault="008C487D" w:rsidP="008C487D">
      <w:pPr>
        <w:rPr>
          <w:szCs w:val="20"/>
        </w:rPr>
      </w:pPr>
      <w:r w:rsidRPr="00D93874">
        <w:br w:type="page"/>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200150">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FF35FF">
            <w:pPr>
              <w:pStyle w:val="BoxTitle"/>
            </w:pPr>
            <w:r w:rsidRPr="00D93874">
              <w:rPr>
                <w:b w:val="0"/>
              </w:rPr>
              <w:t>Box 17.2</w:t>
            </w:r>
            <w:r w:rsidRPr="00D93874">
              <w:tab/>
              <w:t xml:space="preserve">National Affordable Housing Agreement and Commonwealth State Housing Agreement </w:t>
            </w:r>
          </w:p>
        </w:tc>
      </w:tr>
      <w:tr w:rsidR="008C487D" w:rsidRPr="00D93874" w:rsidTr="00200150">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The NAHA commenced on 1 January 2009 as part of the Intergovernmental Agreement on Federal Financial Relations. It provides the framework for the Australian, State and Territory governments to work together to improve housing affordability and homelessness outcomes for Australians. The NAHA is associated with the National Affordable Housing Specific Purpose Payment (NAH SPP), which is an indexed ongoing payment by the Australian Government to the states and territories to be spent in the housing and homelessness sector (COAG 2009).</w:t>
            </w:r>
          </w:p>
          <w:p w:rsidR="008C487D" w:rsidRPr="00D93874" w:rsidRDefault="008C487D" w:rsidP="00FF35FF">
            <w:pPr>
              <w:pStyle w:val="Box"/>
            </w:pPr>
            <w:r w:rsidRPr="00D93874">
              <w:t>In relation to housing assistance, the parties to the NAHA agreed to the achievement of a range of outcomes including:</w:t>
            </w:r>
          </w:p>
          <w:p w:rsidR="008C487D" w:rsidRPr="00D93874" w:rsidRDefault="008C487D" w:rsidP="00FF35FF">
            <w:pPr>
              <w:pStyle w:val="Box"/>
              <w:numPr>
                <w:ilvl w:val="0"/>
                <w:numId w:val="1"/>
              </w:numPr>
            </w:pPr>
            <w:r w:rsidRPr="00D93874">
              <w:t>people who are homeless or at risk of homelessness achieve sustainable housing and social inclusion</w:t>
            </w:r>
          </w:p>
          <w:p w:rsidR="008C487D" w:rsidRPr="00D93874" w:rsidRDefault="008C487D" w:rsidP="00FF35FF">
            <w:pPr>
              <w:pStyle w:val="Box"/>
              <w:numPr>
                <w:ilvl w:val="0"/>
                <w:numId w:val="1"/>
              </w:numPr>
            </w:pPr>
            <w:r w:rsidRPr="00D93874">
              <w:t>people are able to rent housing that meets their needs</w:t>
            </w:r>
          </w:p>
          <w:p w:rsidR="008C487D" w:rsidRPr="00D93874" w:rsidRDefault="008C487D" w:rsidP="00FF35FF">
            <w:pPr>
              <w:pStyle w:val="Box"/>
              <w:numPr>
                <w:ilvl w:val="0"/>
                <w:numId w:val="1"/>
              </w:numPr>
            </w:pPr>
            <w:r w:rsidRPr="00D93874">
              <w:t>people can purchase affordable housing</w:t>
            </w:r>
          </w:p>
          <w:p w:rsidR="008C487D" w:rsidRPr="00D93874" w:rsidRDefault="008C487D" w:rsidP="00FF35FF">
            <w:pPr>
              <w:pStyle w:val="Box"/>
              <w:numPr>
                <w:ilvl w:val="0"/>
                <w:numId w:val="1"/>
              </w:numPr>
            </w:pPr>
            <w:r w:rsidRPr="00D93874">
              <w:t>people have access to housing through an efficient and responsive housing market</w:t>
            </w:r>
          </w:p>
          <w:p w:rsidR="008C487D" w:rsidRPr="00D93874" w:rsidRDefault="008C487D" w:rsidP="00FF35FF">
            <w:pPr>
              <w:pStyle w:val="Box"/>
              <w:numPr>
                <w:ilvl w:val="0"/>
                <w:numId w:val="1"/>
              </w:numPr>
            </w:pPr>
            <w:r w:rsidRPr="00D93874">
              <w:t xml:space="preserve">Aboriginal and Torres Strait Islander people have improved housing amenity and reduced overcrowding, particularly in remote areas and discrete communities </w:t>
            </w:r>
          </w:p>
          <w:p w:rsidR="008C487D" w:rsidRPr="00D93874" w:rsidRDefault="008C487D" w:rsidP="00FF35FF">
            <w:pPr>
              <w:pStyle w:val="Box"/>
            </w:pPr>
            <w:r w:rsidRPr="00D93874">
              <w:t>The NAHA and NAH SPP replaced the CSHA, which concluded on 31 December 2008.</w:t>
            </w:r>
          </w:p>
        </w:tc>
      </w:tr>
      <w:tr w:rsidR="008C487D" w:rsidRPr="00D93874" w:rsidTr="00200150">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9A1073">
            <w:pPr>
              <w:pStyle w:val="BoxSource"/>
            </w:pPr>
            <w:r w:rsidRPr="00D93874">
              <w:rPr>
                <w:i/>
              </w:rPr>
              <w:t>Source</w:t>
            </w:r>
            <w:r w:rsidRPr="00D93874">
              <w:t xml:space="preserve">: </w:t>
            </w:r>
            <w:r w:rsidR="00AE4818" w:rsidRPr="00D93874">
              <w:t xml:space="preserve">COAG </w:t>
            </w:r>
            <w:r w:rsidRPr="00D93874">
              <w:t>(2009).</w:t>
            </w:r>
          </w:p>
        </w:tc>
      </w:tr>
      <w:tr w:rsidR="008C487D" w:rsidRPr="00D93874" w:rsidTr="00200150">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200150">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AE4818" w:rsidRPr="00D93874" w:rsidRDefault="00AE4818" w:rsidP="00AE4818">
      <w:pPr>
        <w:pStyle w:val="Heading3"/>
      </w:pPr>
      <w:bookmarkStart w:id="6" w:name="_Toc316974022"/>
      <w:bookmarkStart w:id="7" w:name="_Toc318981210"/>
      <w:bookmarkStart w:id="8" w:name="_Toc319589142"/>
      <w:bookmarkStart w:id="9" w:name="_Toc320770598"/>
      <w:bookmarkStart w:id="10" w:name="_Toc347391002"/>
      <w:bookmarkStart w:id="11" w:name="_Toc379459331"/>
      <w:bookmarkStart w:id="12" w:name="_Toc379459442"/>
      <w:bookmarkStart w:id="13" w:name="_Toc382471400"/>
      <w:bookmarkStart w:id="14" w:name="_Toc383520561"/>
      <w:bookmarkStart w:id="15" w:name="_Toc410652426"/>
      <w:bookmarkStart w:id="16" w:name="_Toc319998359"/>
      <w:bookmarkStart w:id="17" w:name="_Toc321219869"/>
      <w:bookmarkStart w:id="18" w:name="_Toc321223454"/>
      <w:bookmarkStart w:id="19" w:name="_Toc349025839"/>
      <w:bookmarkStart w:id="20" w:name="_Toc349050038"/>
      <w:bookmarkStart w:id="21" w:name="_Toc381108784"/>
      <w:bookmarkStart w:id="22" w:name="_Toc411861010"/>
      <w:r w:rsidRPr="00D93874">
        <w:t xml:space="preserve">Aboriginal and Torres Strait Islander </w:t>
      </w:r>
      <w:bookmarkEnd w:id="6"/>
      <w:bookmarkEnd w:id="7"/>
      <w:bookmarkEnd w:id="8"/>
      <w:bookmarkEnd w:id="9"/>
      <w:bookmarkEnd w:id="10"/>
      <w:bookmarkEnd w:id="11"/>
      <w:bookmarkEnd w:id="12"/>
      <w:bookmarkEnd w:id="13"/>
      <w:bookmarkEnd w:id="14"/>
      <w:bookmarkEnd w:id="15"/>
      <w:r w:rsidRPr="00D93874">
        <w:t>data in the Housing chapter</w:t>
      </w:r>
      <w:bookmarkEnd w:id="16"/>
      <w:bookmarkEnd w:id="17"/>
      <w:bookmarkEnd w:id="18"/>
      <w:bookmarkEnd w:id="19"/>
      <w:bookmarkEnd w:id="20"/>
      <w:bookmarkEnd w:id="21"/>
      <w:bookmarkEnd w:id="22"/>
    </w:p>
    <w:p w:rsidR="00AE4818" w:rsidRPr="00D93874" w:rsidRDefault="00AE4818" w:rsidP="00AE4818">
      <w:pPr>
        <w:pStyle w:val="BodyText"/>
      </w:pPr>
      <w:r w:rsidRPr="00D93874">
        <w:t xml:space="preserve">The Housing chapter of the 2015 Report and its corresponding attachment tables contain the following data items on </w:t>
      </w:r>
      <w:r w:rsidR="00010BF3" w:rsidRPr="00D93874">
        <w:t>Aboriginal and Torres Strait Islander</w:t>
      </w:r>
      <w:r w:rsidRPr="00D93874">
        <w:t xml:space="preserve"> Australians:</w:t>
      </w:r>
    </w:p>
    <w:p w:rsidR="00AE4818" w:rsidRPr="00D93874" w:rsidRDefault="00AE4818" w:rsidP="00AE4818">
      <w:pPr>
        <w:pStyle w:val="BodyText"/>
      </w:pPr>
      <w:r w:rsidRPr="00D93874">
        <w:t>State owned and managed Indigenous housing:</w:t>
      </w:r>
    </w:p>
    <w:p w:rsidR="00AE4818" w:rsidRPr="00D93874" w:rsidRDefault="00AE4818" w:rsidP="00AE4818">
      <w:pPr>
        <w:pStyle w:val="ListBullet"/>
        <w:spacing w:line="320" w:lineRule="atLeast"/>
      </w:pPr>
      <w:r w:rsidRPr="00D93874">
        <w:t>State and Territory government nominal and real expenditu</w:t>
      </w:r>
      <w:r w:rsidR="00C96F56" w:rsidRPr="00D93874">
        <w:t>re on social housing</w:t>
      </w:r>
    </w:p>
    <w:p w:rsidR="00AE4818" w:rsidRPr="00D93874" w:rsidRDefault="00AE4818" w:rsidP="00AE4818">
      <w:pPr>
        <w:pStyle w:val="ListBullet"/>
        <w:spacing w:line="320" w:lineRule="atLeast"/>
      </w:pPr>
      <w:r w:rsidRPr="00D93874">
        <w:t>descriptive data</w:t>
      </w:r>
    </w:p>
    <w:p w:rsidR="00AE4818" w:rsidRPr="00D93874" w:rsidRDefault="00AE4818" w:rsidP="00AE4818">
      <w:pPr>
        <w:pStyle w:val="ListBullet"/>
        <w:spacing w:line="320" w:lineRule="atLeast"/>
      </w:pPr>
      <w:r w:rsidRPr="00D93874">
        <w:t>proportion of new tenancies allocated to households with special needs</w:t>
      </w:r>
    </w:p>
    <w:p w:rsidR="00AE4818" w:rsidRPr="00D93874" w:rsidRDefault="00AE4818" w:rsidP="00AE4818">
      <w:pPr>
        <w:pStyle w:val="ListBullet"/>
        <w:spacing w:line="320" w:lineRule="atLeast"/>
      </w:pPr>
      <w:r w:rsidRPr="00D93874">
        <w:t>greatest need allocations as a proportion of all new allocations</w:t>
      </w:r>
    </w:p>
    <w:p w:rsidR="00AE4818" w:rsidRPr="00D93874" w:rsidRDefault="00AE4818" w:rsidP="00AE4818">
      <w:pPr>
        <w:pStyle w:val="ListBullet"/>
        <w:spacing w:line="320" w:lineRule="atLeast"/>
      </w:pPr>
      <w:r w:rsidRPr="00D93874">
        <w:t>dwelling condition data</w:t>
      </w:r>
    </w:p>
    <w:p w:rsidR="00AE4818" w:rsidRPr="00D93874" w:rsidRDefault="00C96F56" w:rsidP="00AE4818">
      <w:pPr>
        <w:pStyle w:val="ListBullet"/>
        <w:spacing w:line="320" w:lineRule="atLeast"/>
      </w:pPr>
      <w:r w:rsidRPr="00D93874">
        <w:t>net recurrent cost per dwelling</w:t>
      </w:r>
    </w:p>
    <w:p w:rsidR="00AE4818" w:rsidRPr="00D93874" w:rsidRDefault="00AE4818" w:rsidP="00AE4818">
      <w:pPr>
        <w:pStyle w:val="ListBullet"/>
        <w:spacing w:line="320" w:lineRule="atLeast"/>
      </w:pPr>
      <w:r w:rsidRPr="00D93874">
        <w:t>occupancy rates as at 30 June</w:t>
      </w:r>
    </w:p>
    <w:p w:rsidR="00AE4818" w:rsidRPr="00D93874" w:rsidRDefault="00AE4818" w:rsidP="00AE4818">
      <w:pPr>
        <w:pStyle w:val="ListBullet"/>
        <w:spacing w:line="320" w:lineRule="atLeast"/>
      </w:pPr>
      <w:r w:rsidRPr="00D93874">
        <w:t>average turnaround times for vacant stock (days)</w:t>
      </w:r>
    </w:p>
    <w:p w:rsidR="00AE4818" w:rsidRPr="00D93874" w:rsidRDefault="00AE4818" w:rsidP="00AE4818">
      <w:pPr>
        <w:pStyle w:val="ListBullet"/>
        <w:spacing w:line="320" w:lineRule="atLeast"/>
      </w:pPr>
      <w:r w:rsidRPr="00D93874">
        <w:t>rent collection rate</w:t>
      </w:r>
    </w:p>
    <w:p w:rsidR="00AE4818" w:rsidRPr="00D93874" w:rsidRDefault="00AE4818" w:rsidP="00AE4818">
      <w:pPr>
        <w:pStyle w:val="ListBullet"/>
        <w:spacing w:line="320" w:lineRule="atLeast"/>
      </w:pPr>
      <w:r w:rsidRPr="00D93874">
        <w:t>amenity, location and customer satisfaction</w:t>
      </w:r>
    </w:p>
    <w:p w:rsidR="00AE4818" w:rsidRPr="00D93874" w:rsidRDefault="00AE4818" w:rsidP="00AE4818">
      <w:pPr>
        <w:pStyle w:val="ListBullet"/>
        <w:spacing w:line="320" w:lineRule="atLeast"/>
      </w:pPr>
      <w:r w:rsidRPr="00D93874">
        <w:lastRenderedPageBreak/>
        <w:t>average weekly subsidy per rebated household, at 30 June ($ per week)</w:t>
      </w:r>
    </w:p>
    <w:p w:rsidR="00AE4818" w:rsidRPr="00D93874" w:rsidRDefault="00AE4818" w:rsidP="00AE4818">
      <w:pPr>
        <w:pStyle w:val="ListBullet"/>
        <w:spacing w:line="320" w:lineRule="atLeast"/>
      </w:pPr>
      <w:r w:rsidRPr="00D93874">
        <w:t>low income households</w:t>
      </w:r>
    </w:p>
    <w:p w:rsidR="00AE4818" w:rsidRPr="00D93874" w:rsidRDefault="00AE4818" w:rsidP="00AE4818">
      <w:pPr>
        <w:pStyle w:val="ListBullet"/>
        <w:spacing w:line="320" w:lineRule="atLeast"/>
      </w:pPr>
      <w:r w:rsidRPr="00D93874">
        <w:t>proportion of low income households spending more than 30 per cent of their gross income on rent</w:t>
      </w:r>
    </w:p>
    <w:p w:rsidR="00AE4818" w:rsidRPr="00D93874" w:rsidRDefault="00AE4818" w:rsidP="00AE4818">
      <w:pPr>
        <w:pStyle w:val="ListBullet"/>
        <w:spacing w:line="320" w:lineRule="atLeast"/>
      </w:pPr>
      <w:r w:rsidRPr="00D93874">
        <w:t>proportion of household gross income spent on rent — low income households</w:t>
      </w:r>
    </w:p>
    <w:p w:rsidR="00AE4818" w:rsidRPr="00D93874" w:rsidRDefault="00AE4818" w:rsidP="00AE4818">
      <w:pPr>
        <w:pStyle w:val="ListBullet"/>
        <w:spacing w:line="320" w:lineRule="atLeast"/>
      </w:pPr>
      <w:r w:rsidRPr="00D93874">
        <w:t>proportion of overcrowded households at 30 June</w:t>
      </w:r>
    </w:p>
    <w:p w:rsidR="00AE4818" w:rsidRPr="00D93874" w:rsidRDefault="00AE4818" w:rsidP="00C96F56">
      <w:pPr>
        <w:pStyle w:val="ListBullet"/>
      </w:pPr>
      <w:r w:rsidRPr="00D93874">
        <w:t xml:space="preserve">proportion of </w:t>
      </w:r>
      <w:r w:rsidR="00C96F56" w:rsidRPr="00D93874">
        <w:t xml:space="preserve">Aboriginal and Torres Strait Islander </w:t>
      </w:r>
      <w:r w:rsidRPr="00D93874">
        <w:t>households living in overcrowded conditions, by remoteness</w:t>
      </w:r>
    </w:p>
    <w:p w:rsidR="00AE4818" w:rsidRPr="00D93874" w:rsidRDefault="00AE4818" w:rsidP="00AE4818">
      <w:pPr>
        <w:pStyle w:val="ListBullet"/>
        <w:spacing w:line="320" w:lineRule="atLeast"/>
      </w:pPr>
      <w:r w:rsidRPr="00D93874">
        <w:t>underutilisation</w:t>
      </w:r>
    </w:p>
    <w:p w:rsidR="00AE4818" w:rsidRPr="00D93874" w:rsidRDefault="00AE4818" w:rsidP="00AE4818">
      <w:pPr>
        <w:pStyle w:val="ListBullet"/>
        <w:spacing w:line="320" w:lineRule="atLeast"/>
      </w:pPr>
      <w:r w:rsidRPr="00D93874">
        <w:t>SOMIH policy context.</w:t>
      </w:r>
    </w:p>
    <w:p w:rsidR="00AE4818" w:rsidRPr="00D93874" w:rsidRDefault="00AE4818" w:rsidP="00AE4818">
      <w:pPr>
        <w:pStyle w:val="BodyText"/>
      </w:pPr>
      <w:r w:rsidRPr="00D93874">
        <w:t>Indigenous community housing:</w:t>
      </w:r>
    </w:p>
    <w:p w:rsidR="00AE4818" w:rsidRPr="00D93874" w:rsidRDefault="00AE4818" w:rsidP="00AE4818">
      <w:pPr>
        <w:pStyle w:val="ListBullet"/>
        <w:spacing w:line="320" w:lineRule="atLeast"/>
      </w:pPr>
      <w:r w:rsidRPr="00D93874">
        <w:t>State and Territory government nominal and real expenditure on social housing</w:t>
      </w:r>
      <w:r w:rsidR="00C96F56" w:rsidRPr="00D93874">
        <w:t xml:space="preserve"> </w:t>
      </w:r>
      <w:r w:rsidRPr="00D93874">
        <w:t>descriptive data</w:t>
      </w:r>
    </w:p>
    <w:p w:rsidR="00AE4818" w:rsidRPr="00D93874" w:rsidRDefault="00AE4818" w:rsidP="00AE4818">
      <w:pPr>
        <w:pStyle w:val="ListBullet"/>
        <w:spacing w:line="320" w:lineRule="atLeast"/>
      </w:pPr>
      <w:r w:rsidRPr="00D93874">
        <w:t>dwelling condition</w:t>
      </w:r>
    </w:p>
    <w:p w:rsidR="00AE4818" w:rsidRPr="00D93874" w:rsidRDefault="00AE4818" w:rsidP="00AE4818">
      <w:pPr>
        <w:pStyle w:val="ListBullet"/>
        <w:spacing w:line="320" w:lineRule="atLeast"/>
      </w:pPr>
      <w:r w:rsidRPr="00D93874">
        <w:t>net recurrent cost per dwelling</w:t>
      </w:r>
    </w:p>
    <w:p w:rsidR="00AE4818" w:rsidRPr="00D93874" w:rsidRDefault="00AE4818" w:rsidP="00AE4818">
      <w:pPr>
        <w:pStyle w:val="ListBullet"/>
        <w:spacing w:line="320" w:lineRule="atLeast"/>
      </w:pPr>
      <w:r w:rsidRPr="00D93874">
        <w:t>occupancy rates</w:t>
      </w:r>
    </w:p>
    <w:p w:rsidR="00AE4818" w:rsidRPr="00D93874" w:rsidRDefault="00AE4818" w:rsidP="00AE4818">
      <w:pPr>
        <w:pStyle w:val="ListBullet"/>
        <w:spacing w:line="320" w:lineRule="atLeast"/>
      </w:pPr>
      <w:r w:rsidRPr="00D93874">
        <w:t>rent collection rate</w:t>
      </w:r>
    </w:p>
    <w:p w:rsidR="00AE4818" w:rsidRPr="00D93874" w:rsidRDefault="00AE4818" w:rsidP="00AE4818">
      <w:pPr>
        <w:pStyle w:val="ListBullet"/>
        <w:spacing w:line="320" w:lineRule="atLeast"/>
      </w:pPr>
      <w:r w:rsidRPr="00D93874">
        <w:t>proportion of households with overcrowding.</w:t>
      </w:r>
    </w:p>
    <w:p w:rsidR="008C487D" w:rsidRPr="00D93874" w:rsidRDefault="008C487D" w:rsidP="008C487D">
      <w:pPr>
        <w:pStyle w:val="Heading4"/>
      </w:pPr>
      <w:r w:rsidRPr="00D93874">
        <w:t>Housing assistance not reported</w:t>
      </w:r>
    </w:p>
    <w:p w:rsidR="008C487D" w:rsidRPr="00D93874" w:rsidRDefault="008C487D" w:rsidP="00C96F56">
      <w:pPr>
        <w:pStyle w:val="BodyText"/>
      </w:pPr>
      <w:r w:rsidRPr="00D93874">
        <w:t>The focus of this chapter is social housing. A range of government housing assistance is not reported in this chapter, including</w:t>
      </w:r>
      <w:r w:rsidR="00C96F56" w:rsidRPr="00D93874">
        <w:t xml:space="preserve"> </w:t>
      </w:r>
      <w:r w:rsidRPr="00D93874">
        <w:t>some Aboriginal and Torres Strait Islander specific housing and infrastructure assistance (such as the Home Ownership Program funded and administered by Indigenous Business Australia (IBA) and the Home Ownership on Indigenous Land Program jointly funded by the Department of Prime Minister and Cabinet and IBA</w:t>
      </w:r>
      <w:r w:rsidR="00297C98" w:rsidRPr="00D93874">
        <w:t>.</w:t>
      </w:r>
    </w:p>
    <w:p w:rsidR="008C487D" w:rsidRPr="00D93874" w:rsidRDefault="008C487D" w:rsidP="00C96F56">
      <w:pPr>
        <w:pStyle w:val="Heading3"/>
      </w:pPr>
      <w:bookmarkStart w:id="23" w:name="_Toc314211347"/>
      <w:bookmarkStart w:id="24" w:name="_Toc396143030"/>
      <w:bookmarkStart w:id="25" w:name="_Toc411861011"/>
      <w:r w:rsidRPr="00D93874">
        <w:t>Profile of housing assistance</w:t>
      </w:r>
      <w:bookmarkEnd w:id="23"/>
      <w:bookmarkEnd w:id="24"/>
      <w:bookmarkEnd w:id="25"/>
    </w:p>
    <w:p w:rsidR="008C487D" w:rsidRPr="00D93874" w:rsidRDefault="008C487D" w:rsidP="00C96F56">
      <w:pPr>
        <w:pStyle w:val="Heading4"/>
      </w:pPr>
      <w:r w:rsidRPr="00D93874">
        <w:t>Service overview</w:t>
      </w:r>
    </w:p>
    <w:p w:rsidR="008C487D" w:rsidRPr="00D93874" w:rsidRDefault="008C487D" w:rsidP="008C487D">
      <w:pPr>
        <w:pStyle w:val="BodyText"/>
      </w:pPr>
      <w:r w:rsidRPr="00D93874">
        <w:t xml:space="preserve">The Australian Bureau of Statistics (ABS) Survey of Income and Housing 2011–12 identified 8.6 million households in Australia, where ‘household’ is classified as ‘a person living alone’ or as a group of people who usually live in the same private dwelling </w:t>
      </w:r>
      <w:r w:rsidR="00FF35FF" w:rsidRPr="00D93874">
        <w:br/>
      </w:r>
      <w:r w:rsidRPr="00D93874">
        <w:t>(ABS</w:t>
      </w:r>
      <w:r w:rsidR="00FF35FF" w:rsidRPr="00D93874">
        <w:t xml:space="preserve"> </w:t>
      </w:r>
      <w:r w:rsidRPr="00D93874">
        <w:t xml:space="preserve">2013). Of these households, 67.5 per cent owned or were purchasing their own </w:t>
      </w:r>
      <w:r w:rsidR="00267172" w:rsidRPr="00D93874">
        <w:lastRenderedPageBreak/>
        <w:t xml:space="preserve">home, 25.1 </w:t>
      </w:r>
      <w:r w:rsidRPr="00D93874">
        <w:t>per cent rented in the private sector, and 3.9 per cent rented through a state or territory housing authority (</w:t>
      </w:r>
      <w:r w:rsidR="00FF35FF" w:rsidRPr="00D93874">
        <w:t xml:space="preserve">2015 Report, table </w:t>
      </w:r>
      <w:r w:rsidRPr="00D93874">
        <w:t>17A.56).</w:t>
      </w:r>
    </w:p>
    <w:p w:rsidR="009C6EAA" w:rsidRPr="00D93874" w:rsidRDefault="008C487D" w:rsidP="008C487D">
      <w:pPr>
        <w:pStyle w:val="BodyText"/>
      </w:pPr>
      <w:r w:rsidRPr="00D93874">
        <w:t>The composition of Australian households is changing. There are an increasing number of smaller households, including a rising number of single person households. The average Australian household size fell from 3.3 people to 2.6 people between 1971 and 2011, while the proportion of single person households increased from 18.1 per cent to 24.3 per cent over this period (ABS</w:t>
      </w:r>
      <w:r w:rsidR="00FF35FF" w:rsidRPr="00D93874">
        <w:t xml:space="preserve"> </w:t>
      </w:r>
      <w:r w:rsidRPr="00D93874">
        <w:t>2012)</w:t>
      </w:r>
      <w:r w:rsidR="003C26BE" w:rsidRPr="00D93874">
        <w:t>.</w:t>
      </w:r>
    </w:p>
    <w:p w:rsidR="008C487D" w:rsidRPr="00D93874" w:rsidRDefault="008C487D" w:rsidP="008C487D">
      <w:pPr>
        <w:pStyle w:val="BodyText"/>
        <w:rPr>
          <w:color w:val="000000" w:themeColor="text1"/>
        </w:rPr>
      </w:pPr>
      <w:r w:rsidRPr="00D93874">
        <w:rPr>
          <w:color w:val="000000" w:themeColor="text1"/>
        </w:rPr>
        <w:t>The average Aboriginal and Torres Strait Islander household is larger than the average non–Indigenous household. In 2011, the average household with at least one Aboriginal and Torres Strait Islander Australian was 3.3 people, whereas the average non–Indigenous household was 2.6 people (ABS</w:t>
      </w:r>
      <w:r w:rsidR="00FF35FF" w:rsidRPr="00D93874">
        <w:rPr>
          <w:color w:val="000000" w:themeColor="text1"/>
        </w:rPr>
        <w:t xml:space="preserve"> </w:t>
      </w:r>
      <w:r w:rsidRPr="00D93874">
        <w:rPr>
          <w:color w:val="000000" w:themeColor="text1"/>
        </w:rPr>
        <w:t>2012)</w:t>
      </w:r>
      <w:r w:rsidR="003C26BE" w:rsidRPr="00D93874">
        <w:rPr>
          <w:color w:val="000000" w:themeColor="text1"/>
        </w:rPr>
        <w:t>.</w:t>
      </w:r>
    </w:p>
    <w:p w:rsidR="008C487D" w:rsidRPr="00D93874" w:rsidRDefault="008C487D" w:rsidP="00FF35FF">
      <w:pPr>
        <w:pStyle w:val="Heading4"/>
      </w:pPr>
      <w:r w:rsidRPr="00D93874">
        <w:t>Roles and responsibilities</w:t>
      </w:r>
    </w:p>
    <w:p w:rsidR="008C487D" w:rsidRPr="00D93874" w:rsidRDefault="008C487D" w:rsidP="008C487D">
      <w:pPr>
        <w:pStyle w:val="BodyText"/>
      </w:pPr>
      <w:r w:rsidRPr="00D93874">
        <w:t>The Australian Government provides funding to assist with the achievement of housing and homelessness related outcomes for which states and territories have primary responsibility. Each level of government has different roles and responsibilities:</w:t>
      </w:r>
    </w:p>
    <w:p w:rsidR="008C487D" w:rsidRPr="00D93874" w:rsidRDefault="008C487D" w:rsidP="008C487D">
      <w:pPr>
        <w:pStyle w:val="ListBullet"/>
        <w:rPr>
          <w:color w:val="000000"/>
        </w:rPr>
      </w:pPr>
      <w:r w:rsidRPr="00D93874">
        <w:rPr>
          <w:color w:val="000000"/>
        </w:rPr>
        <w:t>The Australian Government influences the housing market through direct and indirect means, including providing CRA, home purchase assistance, financial sector regulations and taxation. The Australian Government has also initiated a variety of other measures, including the National Rental Affordability Scheme, the Building Better Regional Cities program, the Housing Affordability Fund and the Social Housing Initiative. Further information on CRA can be found in the Housing and homelessness sector overview G and attachment GA</w:t>
      </w:r>
      <w:r w:rsidR="00FF35FF" w:rsidRPr="00D93874">
        <w:rPr>
          <w:color w:val="000000"/>
        </w:rPr>
        <w:t xml:space="preserve"> (2015 Report, tables </w:t>
      </w:r>
      <w:r w:rsidRPr="00D93874">
        <w:rPr>
          <w:color w:val="000000"/>
        </w:rPr>
        <w:t>GA.12–34)</w:t>
      </w:r>
    </w:p>
    <w:p w:rsidR="008C487D" w:rsidRPr="00D93874" w:rsidRDefault="008C487D" w:rsidP="008C487D">
      <w:pPr>
        <w:pStyle w:val="ListBullet"/>
      </w:pPr>
      <w:r w:rsidRPr="00D93874">
        <w:t>State and Territory governments administer and deliver housing services, such as public housing, community housing, SOMIH and other Indigenous housing. They also provide financial support to renters through private rental assistance and to buyers through home purchase assistance, and some jurisdictions provide home finance lending programs. State and Territory governments are also responsible for land use and supply policy, urban planning and development policy, housing–related taxes and charges (such as land taxes and stamp duties) and residential tenancy legislation and regulation</w:t>
      </w:r>
    </w:p>
    <w:p w:rsidR="008C487D" w:rsidRPr="00D93874" w:rsidRDefault="008C487D" w:rsidP="008C487D">
      <w:pPr>
        <w:pStyle w:val="ListBullet"/>
      </w:pPr>
      <w:r w:rsidRPr="00D93874">
        <w:t>Local governments are mostly responsible for building approval, urban planning and development processes and may be involved in providing community housing.</w:t>
      </w:r>
    </w:p>
    <w:p w:rsidR="008C487D" w:rsidRPr="00D93874" w:rsidRDefault="008C487D" w:rsidP="00FF35FF">
      <w:pPr>
        <w:pStyle w:val="Heading4"/>
      </w:pPr>
      <w:r w:rsidRPr="00D93874">
        <w:t>Government funding and expenditure</w:t>
      </w:r>
    </w:p>
    <w:p w:rsidR="008C487D" w:rsidRPr="00D93874" w:rsidRDefault="008C487D" w:rsidP="008C487D">
      <w:pPr>
        <w:pStyle w:val="BodyText"/>
        <w:rPr>
          <w:color w:val="000000" w:themeColor="text1"/>
        </w:rPr>
      </w:pPr>
      <w:r w:rsidRPr="00D93874">
        <w:rPr>
          <w:color w:val="000000" w:themeColor="text1"/>
        </w:rPr>
        <w:t xml:space="preserve">State and Territory government net recurrent expenditure on social housing was </w:t>
      </w:r>
      <w:r w:rsidR="00FF35FF" w:rsidRPr="00D93874">
        <w:rPr>
          <w:color w:val="000000" w:themeColor="text1"/>
        </w:rPr>
        <w:br/>
      </w:r>
      <w:r w:rsidRPr="00D93874">
        <w:rPr>
          <w:color w:val="000000" w:themeColor="text1"/>
        </w:rPr>
        <w:t>$4.2</w:t>
      </w:r>
      <w:r w:rsidR="00FF35FF" w:rsidRPr="00D93874">
        <w:rPr>
          <w:color w:val="000000" w:themeColor="text1"/>
        </w:rPr>
        <w:t xml:space="preserve"> </w:t>
      </w:r>
      <w:r w:rsidRPr="00D93874">
        <w:rPr>
          <w:color w:val="000000" w:themeColor="text1"/>
        </w:rPr>
        <w:t xml:space="preserve">billion in 2013–14, increasing from $3.7 billion in 2012–13 (2013–14 dollars) </w:t>
      </w:r>
      <w:r w:rsidR="00FF35FF" w:rsidRPr="00D93874">
        <w:rPr>
          <w:color w:val="000000" w:themeColor="text1"/>
        </w:rPr>
        <w:br/>
      </w:r>
      <w:r w:rsidRPr="00D93874">
        <w:rPr>
          <w:color w:val="000000" w:themeColor="text1"/>
        </w:rPr>
        <w:t>(table</w:t>
      </w:r>
      <w:r w:rsidR="00FF35FF" w:rsidRPr="00D93874">
        <w:rPr>
          <w:color w:val="000000" w:themeColor="text1"/>
        </w:rPr>
        <w:t xml:space="preserve"> </w:t>
      </w:r>
      <w:r w:rsidRPr="00D93874">
        <w:rPr>
          <w:color w:val="000000" w:themeColor="text1"/>
        </w:rPr>
        <w:t>17.1). In 2013–14, this expenditure included $2.6 billion for public housing and $101.0</w:t>
      </w:r>
      <w:r w:rsidR="00FF35FF" w:rsidRPr="00D93874">
        <w:rPr>
          <w:color w:val="000000" w:themeColor="text1"/>
        </w:rPr>
        <w:t xml:space="preserve"> </w:t>
      </w:r>
      <w:r w:rsidRPr="00D93874">
        <w:rPr>
          <w:color w:val="000000" w:themeColor="text1"/>
        </w:rPr>
        <w:t>million for SOMIH (table 17A.2).</w:t>
      </w:r>
    </w:p>
    <w:p w:rsidR="008C487D" w:rsidRPr="00D93874" w:rsidRDefault="008C487D" w:rsidP="008C487D">
      <w:pPr>
        <w:pStyle w:val="BodyText"/>
      </w:pPr>
      <w:r w:rsidRPr="00D93874">
        <w:lastRenderedPageBreak/>
        <w:t>The Australian Government provided $2.0 billion in 2013–14 to State and Territory governments for housing assistance through the NAH SPP and related National Partnership agreements (table GA.1). NAH SPP funding is outcome based and not tied to specific programs, and Australian Government funding is reflected in data for State and Territory government net recurrent expenditure.</w:t>
      </w:r>
    </w:p>
    <w:p w:rsidR="008C487D" w:rsidRPr="00D93874" w:rsidRDefault="008C487D" w:rsidP="008C487D">
      <w:pPr>
        <w:pStyle w:val="BodyText"/>
      </w:pPr>
      <w:r w:rsidRPr="00D93874">
        <w:t>State and Territory government capital expendit</w:t>
      </w:r>
      <w:r w:rsidR="00FF35FF" w:rsidRPr="00D93874">
        <w:t xml:space="preserve">ure for social housing was $1.2 </w:t>
      </w:r>
      <w:r w:rsidRPr="00D93874">
        <w:t>billion in 2013–14, which was partly funded by the Australian Govern</w:t>
      </w:r>
      <w:r w:rsidR="00FF35FF" w:rsidRPr="00D93874">
        <w:t xml:space="preserve">ment through the NAH SPP (table </w:t>
      </w:r>
      <w:r w:rsidRPr="00D93874">
        <w:t>17A.1).</w:t>
      </w:r>
    </w:p>
    <w:p w:rsidR="008C487D" w:rsidRPr="00D93874" w:rsidRDefault="008C487D" w:rsidP="00FF35FF">
      <w:pPr>
        <w:pStyle w:val="BodyText"/>
      </w:pPr>
      <w:r w:rsidRPr="00D93874">
        <w:t>The Australian Government also provided $3.9 billion for CRA (</w:t>
      </w:r>
      <w:r w:rsidR="00FF35FF" w:rsidRPr="00D93874">
        <w:t xml:space="preserve">2015 Report, </w:t>
      </w:r>
      <w:r w:rsidR="00FF35FF" w:rsidRPr="00D93874">
        <w:br/>
      </w:r>
      <w:r w:rsidRPr="00D93874">
        <w:t>table GA.12).</w:t>
      </w:r>
    </w:p>
    <w:p w:rsidR="008C487D" w:rsidRPr="00D93874" w:rsidRDefault="008C487D" w:rsidP="008C487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C487D" w:rsidRPr="00D93874" w:rsidTr="00FF35FF">
        <w:tc>
          <w:tcPr>
            <w:tcW w:w="8771" w:type="dxa"/>
            <w:tcBorders>
              <w:top w:val="single" w:sz="6" w:space="0" w:color="78A22F"/>
              <w:left w:val="nil"/>
              <w:bottom w:val="nil"/>
              <w:right w:val="nil"/>
            </w:tcBorders>
            <w:shd w:val="clear" w:color="auto" w:fill="auto"/>
          </w:tcPr>
          <w:p w:rsidR="008C487D" w:rsidRPr="00D93874" w:rsidRDefault="008C487D" w:rsidP="00FF35FF">
            <w:pPr>
              <w:pStyle w:val="TableTitle"/>
            </w:pPr>
            <w:r w:rsidRPr="00D93874">
              <w:rPr>
                <w:b w:val="0"/>
              </w:rPr>
              <w:t>Table 17.</w:t>
            </w:r>
            <w:r w:rsidRPr="00D93874">
              <w:rPr>
                <w:b w:val="0"/>
                <w:noProof/>
              </w:rPr>
              <w:t>1</w:t>
            </w:r>
            <w:r w:rsidRPr="00D93874">
              <w:tab/>
              <w:t>State and Territory government net recurrent expenditure on social housing ($million) (2013–14 dollars)</w:t>
            </w:r>
            <w:r w:rsidRPr="00D93874">
              <w:rPr>
                <w:rStyle w:val="NoteLabel"/>
                <w:b/>
              </w:rPr>
              <w:t>a, b, c</w:t>
            </w:r>
          </w:p>
        </w:tc>
      </w:tr>
      <w:tr w:rsidR="008C487D" w:rsidRPr="00D93874" w:rsidTr="00FF35F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850"/>
              <w:gridCol w:w="850"/>
              <w:gridCol w:w="850"/>
              <w:gridCol w:w="849"/>
              <w:gridCol w:w="849"/>
              <w:gridCol w:w="849"/>
              <w:gridCol w:w="849"/>
              <w:gridCol w:w="849"/>
              <w:gridCol w:w="842"/>
            </w:tblGrid>
            <w:tr w:rsidR="008C487D" w:rsidRPr="00D93874" w:rsidTr="00FF35FF">
              <w:tc>
                <w:tcPr>
                  <w:tcW w:w="501" w:type="pct"/>
                  <w:tcBorders>
                    <w:top w:val="single" w:sz="6" w:space="0" w:color="BFBFBF"/>
                    <w:bottom w:val="single" w:sz="6" w:space="0" w:color="BFBFBF"/>
                  </w:tcBorders>
                  <w:shd w:val="clear" w:color="auto" w:fill="auto"/>
                  <w:tcMar>
                    <w:top w:w="28" w:type="dxa"/>
                  </w:tcMar>
                </w:tcPr>
                <w:p w:rsidR="008C487D" w:rsidRPr="00D93874" w:rsidRDefault="008C487D" w:rsidP="00FF35FF">
                  <w:pPr>
                    <w:pStyle w:val="TableColumnHeading"/>
                    <w:pBdr>
                      <w:left w:val="single" w:sz="4" w:space="1" w:color="auto"/>
                    </w:pBdr>
                    <w:jc w:val="left"/>
                  </w:pPr>
                </w:p>
              </w:tc>
              <w:tc>
                <w:tcPr>
                  <w:tcW w:w="501"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rPr>
                      <w:rStyle w:val="NoteLabel"/>
                    </w:rPr>
                  </w:pPr>
                  <w:r w:rsidRPr="00D93874">
                    <w:t>NSW</w:t>
                  </w:r>
                  <w:r w:rsidRPr="00D93874">
                    <w:rPr>
                      <w:rStyle w:val="NoteLabel"/>
                      <w:i w:val="0"/>
                    </w:rPr>
                    <w:t>d</w:t>
                  </w:r>
                </w:p>
              </w:tc>
              <w:tc>
                <w:tcPr>
                  <w:tcW w:w="501"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rPr>
                      <w:rStyle w:val="NoteLabel"/>
                      <w:i w:val="0"/>
                    </w:rPr>
                  </w:pPr>
                  <w:r w:rsidRPr="00D93874">
                    <w:t>Vic</w:t>
                  </w:r>
                </w:p>
              </w:tc>
              <w:tc>
                <w:tcPr>
                  <w:tcW w:w="501"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pPr>
                  <w:r w:rsidRPr="00D93874">
                    <w:t>Qld</w:t>
                  </w:r>
                </w:p>
              </w:tc>
              <w:tc>
                <w:tcPr>
                  <w:tcW w:w="500"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pPr>
                  <w:r w:rsidRPr="00D93874">
                    <w:t>WA</w:t>
                  </w:r>
                </w:p>
              </w:tc>
              <w:tc>
                <w:tcPr>
                  <w:tcW w:w="500"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pPr>
                  <w:r w:rsidRPr="00D93874">
                    <w:t>SA</w:t>
                  </w:r>
                </w:p>
              </w:tc>
              <w:tc>
                <w:tcPr>
                  <w:tcW w:w="500"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pPr>
                  <w:r w:rsidRPr="00D93874">
                    <w:t>Tas</w:t>
                  </w:r>
                </w:p>
              </w:tc>
              <w:tc>
                <w:tcPr>
                  <w:tcW w:w="500" w:type="pct"/>
                  <w:tcBorders>
                    <w:top w:val="single" w:sz="6" w:space="0" w:color="BFBFBF"/>
                    <w:bottom w:val="single" w:sz="6" w:space="0" w:color="BFBFBF"/>
                  </w:tcBorders>
                </w:tcPr>
                <w:p w:rsidR="008C487D" w:rsidRPr="00D93874" w:rsidRDefault="008C487D" w:rsidP="00FF35FF">
                  <w:pPr>
                    <w:pStyle w:val="TableColumnHeading"/>
                    <w:pBdr>
                      <w:left w:val="single" w:sz="4" w:space="1" w:color="auto"/>
                    </w:pBdr>
                  </w:pPr>
                  <w:r w:rsidRPr="00D93874">
                    <w:t>ACT</w:t>
                  </w:r>
                </w:p>
              </w:tc>
              <w:tc>
                <w:tcPr>
                  <w:tcW w:w="500" w:type="pct"/>
                  <w:tcBorders>
                    <w:top w:val="single" w:sz="6" w:space="0" w:color="BFBFBF"/>
                    <w:bottom w:val="single" w:sz="6" w:space="0" w:color="BFBFBF"/>
                  </w:tcBorders>
                  <w:shd w:val="clear" w:color="auto" w:fill="auto"/>
                  <w:tcMar>
                    <w:top w:w="28" w:type="dxa"/>
                  </w:tcMar>
                </w:tcPr>
                <w:p w:rsidR="008C487D" w:rsidRPr="00D93874" w:rsidRDefault="008C487D" w:rsidP="00FF35FF">
                  <w:pPr>
                    <w:pStyle w:val="TableColumnHeading"/>
                    <w:pBdr>
                      <w:left w:val="single" w:sz="4" w:space="1" w:color="auto"/>
                    </w:pBdr>
                  </w:pPr>
                  <w:r w:rsidRPr="00D93874">
                    <w:t>NT</w:t>
                  </w:r>
                </w:p>
              </w:tc>
              <w:tc>
                <w:tcPr>
                  <w:tcW w:w="496" w:type="pct"/>
                  <w:tcBorders>
                    <w:top w:val="single" w:sz="6" w:space="0" w:color="BFBFBF"/>
                    <w:bottom w:val="single" w:sz="6" w:space="0" w:color="BFBFBF"/>
                  </w:tcBorders>
                  <w:shd w:val="clear" w:color="auto" w:fill="auto"/>
                  <w:tcMar>
                    <w:top w:w="28" w:type="dxa"/>
                  </w:tcMar>
                </w:tcPr>
                <w:p w:rsidR="008C487D" w:rsidRPr="00D93874" w:rsidRDefault="008C487D" w:rsidP="00FF35FF">
                  <w:pPr>
                    <w:pStyle w:val="TableColumnHeading"/>
                    <w:pBdr>
                      <w:left w:val="single" w:sz="4" w:space="1" w:color="auto"/>
                    </w:pBdr>
                    <w:ind w:right="28"/>
                  </w:pPr>
                  <w:r w:rsidRPr="00D93874">
                    <w:t>Aust</w:t>
                  </w:r>
                </w:p>
              </w:tc>
            </w:tr>
            <w:tr w:rsidR="008C487D" w:rsidRPr="00D93874" w:rsidTr="00FF35FF">
              <w:tc>
                <w:tcPr>
                  <w:tcW w:w="501" w:type="pct"/>
                  <w:tcBorders>
                    <w:top w:val="single" w:sz="6" w:space="0" w:color="BFBFBF"/>
                  </w:tcBorders>
                  <w:vAlign w:val="bottom"/>
                </w:tcPr>
                <w:p w:rsidR="008C487D" w:rsidRPr="00D93874" w:rsidRDefault="008C487D" w:rsidP="00FF35FF">
                  <w:pPr>
                    <w:pStyle w:val="TableBodyText"/>
                    <w:pBdr>
                      <w:left w:val="single" w:sz="4" w:space="1" w:color="auto"/>
                    </w:pBdr>
                    <w:spacing w:before="20" w:after="20"/>
                    <w:jc w:val="center"/>
                    <w:rPr>
                      <w:color w:val="000000" w:themeColor="text1"/>
                      <w:szCs w:val="18"/>
                    </w:rPr>
                  </w:pPr>
                  <w:r w:rsidRPr="00D93874">
                    <w:rPr>
                      <w:color w:val="000000" w:themeColor="text1"/>
                      <w:szCs w:val="18"/>
                    </w:rPr>
                    <w:t>2009–10</w:t>
                  </w:r>
                </w:p>
              </w:tc>
              <w:tc>
                <w:tcPr>
                  <w:tcW w:w="501" w:type="pct"/>
                  <w:tcBorders>
                    <w:top w:val="single" w:sz="6" w:space="0" w:color="BFBFBF"/>
                  </w:tcBorders>
                  <w:vAlign w:val="bottom"/>
                </w:tcPr>
                <w:p w:rsidR="008C487D" w:rsidRPr="00D93874" w:rsidRDefault="008C487D" w:rsidP="00B3570B">
                  <w:pPr>
                    <w:pStyle w:val="TableBodyText"/>
                  </w:pPr>
                  <w:r w:rsidRPr="00D93874">
                    <w:t>1 364.7</w:t>
                  </w:r>
                </w:p>
              </w:tc>
              <w:tc>
                <w:tcPr>
                  <w:tcW w:w="501" w:type="pct"/>
                  <w:tcBorders>
                    <w:top w:val="single" w:sz="6" w:space="0" w:color="BFBFBF"/>
                  </w:tcBorders>
                  <w:vAlign w:val="bottom"/>
                </w:tcPr>
                <w:p w:rsidR="008C487D" w:rsidRPr="00D93874" w:rsidRDefault="008C487D" w:rsidP="00B3570B">
                  <w:pPr>
                    <w:pStyle w:val="TableBodyText"/>
                  </w:pPr>
                  <w:r w:rsidRPr="00D93874">
                    <w:t>1 028.0</w:t>
                  </w:r>
                </w:p>
              </w:tc>
              <w:tc>
                <w:tcPr>
                  <w:tcW w:w="501" w:type="pct"/>
                  <w:tcBorders>
                    <w:top w:val="single" w:sz="6" w:space="0" w:color="BFBFBF"/>
                  </w:tcBorders>
                  <w:vAlign w:val="bottom"/>
                </w:tcPr>
                <w:p w:rsidR="008C487D" w:rsidRPr="00D93874" w:rsidRDefault="008C487D" w:rsidP="00B3570B">
                  <w:pPr>
                    <w:pStyle w:val="TableBodyText"/>
                  </w:pPr>
                  <w:r w:rsidRPr="00D93874">
                    <w:t>464.2</w:t>
                  </w:r>
                </w:p>
              </w:tc>
              <w:tc>
                <w:tcPr>
                  <w:tcW w:w="500" w:type="pct"/>
                  <w:tcBorders>
                    <w:top w:val="single" w:sz="6" w:space="0" w:color="BFBFBF"/>
                  </w:tcBorders>
                  <w:vAlign w:val="bottom"/>
                </w:tcPr>
                <w:p w:rsidR="008C487D" w:rsidRPr="00D93874" w:rsidRDefault="008C487D" w:rsidP="00B3570B">
                  <w:pPr>
                    <w:pStyle w:val="TableBodyText"/>
                  </w:pPr>
                  <w:r w:rsidRPr="00D93874">
                    <w:t>611.9</w:t>
                  </w:r>
                </w:p>
              </w:tc>
              <w:tc>
                <w:tcPr>
                  <w:tcW w:w="500" w:type="pct"/>
                  <w:tcBorders>
                    <w:top w:val="single" w:sz="6" w:space="0" w:color="BFBFBF"/>
                  </w:tcBorders>
                  <w:vAlign w:val="bottom"/>
                </w:tcPr>
                <w:p w:rsidR="008C487D" w:rsidRPr="00D93874" w:rsidRDefault="008C487D" w:rsidP="00B3570B">
                  <w:pPr>
                    <w:pStyle w:val="TableBodyText"/>
                  </w:pPr>
                  <w:r w:rsidRPr="00D93874">
                    <w:t>357.5</w:t>
                  </w:r>
                </w:p>
              </w:tc>
              <w:tc>
                <w:tcPr>
                  <w:tcW w:w="500" w:type="pct"/>
                  <w:tcBorders>
                    <w:top w:val="single" w:sz="6" w:space="0" w:color="BFBFBF"/>
                  </w:tcBorders>
                  <w:vAlign w:val="bottom"/>
                </w:tcPr>
                <w:p w:rsidR="008C487D" w:rsidRPr="00D93874" w:rsidRDefault="008C487D" w:rsidP="00B3570B">
                  <w:pPr>
                    <w:pStyle w:val="TableBodyText"/>
                  </w:pPr>
                  <w:r w:rsidRPr="00D93874">
                    <w:t>114.5</w:t>
                  </w:r>
                </w:p>
              </w:tc>
              <w:tc>
                <w:tcPr>
                  <w:tcW w:w="500" w:type="pct"/>
                  <w:tcBorders>
                    <w:top w:val="single" w:sz="6" w:space="0" w:color="BFBFBF"/>
                  </w:tcBorders>
                  <w:vAlign w:val="bottom"/>
                </w:tcPr>
                <w:p w:rsidR="008C487D" w:rsidRPr="00D93874" w:rsidRDefault="008C487D" w:rsidP="00B3570B">
                  <w:pPr>
                    <w:pStyle w:val="TableBodyText"/>
                  </w:pPr>
                  <w:r w:rsidRPr="00D93874">
                    <w:t>103.0</w:t>
                  </w:r>
                </w:p>
              </w:tc>
              <w:tc>
                <w:tcPr>
                  <w:tcW w:w="500" w:type="pct"/>
                  <w:tcBorders>
                    <w:top w:val="single" w:sz="6" w:space="0" w:color="BFBFBF"/>
                  </w:tcBorders>
                  <w:vAlign w:val="bottom"/>
                </w:tcPr>
                <w:p w:rsidR="008C487D" w:rsidRPr="00D93874" w:rsidRDefault="008C487D" w:rsidP="00B3570B">
                  <w:pPr>
                    <w:pStyle w:val="TableBodyText"/>
                  </w:pPr>
                  <w:r w:rsidRPr="00D93874">
                    <w:t>329.9</w:t>
                  </w:r>
                </w:p>
              </w:tc>
              <w:tc>
                <w:tcPr>
                  <w:tcW w:w="496" w:type="pct"/>
                  <w:tcBorders>
                    <w:top w:val="single" w:sz="6" w:space="0" w:color="BFBFBF"/>
                  </w:tcBorders>
                  <w:vAlign w:val="bottom"/>
                </w:tcPr>
                <w:p w:rsidR="008C487D" w:rsidRPr="00D93874" w:rsidRDefault="008C487D" w:rsidP="00B3570B">
                  <w:pPr>
                    <w:pStyle w:val="TableBodyText"/>
                  </w:pPr>
                  <w:r w:rsidRPr="00D93874">
                    <w:t>4 373.7</w:t>
                  </w:r>
                </w:p>
              </w:tc>
            </w:tr>
            <w:tr w:rsidR="008C487D" w:rsidRPr="00D93874" w:rsidTr="00FF35FF">
              <w:tc>
                <w:tcPr>
                  <w:tcW w:w="501" w:type="pct"/>
                  <w:vAlign w:val="bottom"/>
                </w:tcPr>
                <w:p w:rsidR="008C487D" w:rsidRPr="00D93874" w:rsidRDefault="008C487D" w:rsidP="00FF35FF">
                  <w:pPr>
                    <w:pStyle w:val="TableBodyText"/>
                    <w:pBdr>
                      <w:left w:val="single" w:sz="4" w:space="1" w:color="auto"/>
                    </w:pBdr>
                    <w:spacing w:before="20" w:after="20"/>
                    <w:jc w:val="center"/>
                    <w:rPr>
                      <w:color w:val="000000" w:themeColor="text1"/>
                      <w:szCs w:val="18"/>
                    </w:rPr>
                  </w:pPr>
                  <w:r w:rsidRPr="00D93874">
                    <w:rPr>
                      <w:color w:val="000000" w:themeColor="text1"/>
                      <w:szCs w:val="18"/>
                    </w:rPr>
                    <w:t>2010–11</w:t>
                  </w:r>
                </w:p>
              </w:tc>
              <w:tc>
                <w:tcPr>
                  <w:tcW w:w="501" w:type="pct"/>
                  <w:vAlign w:val="bottom"/>
                </w:tcPr>
                <w:p w:rsidR="008C487D" w:rsidRPr="00D93874" w:rsidRDefault="008C487D" w:rsidP="00B3570B">
                  <w:pPr>
                    <w:pStyle w:val="TableBodyText"/>
                  </w:pPr>
                  <w:r w:rsidRPr="00D93874">
                    <w:t>2 150.8</w:t>
                  </w:r>
                </w:p>
              </w:tc>
              <w:tc>
                <w:tcPr>
                  <w:tcW w:w="501" w:type="pct"/>
                  <w:vAlign w:val="bottom"/>
                </w:tcPr>
                <w:p w:rsidR="008C487D" w:rsidRPr="00D93874" w:rsidRDefault="008C487D" w:rsidP="00B3570B">
                  <w:pPr>
                    <w:pStyle w:val="TableBodyText"/>
                  </w:pPr>
                  <w:r w:rsidRPr="00D93874">
                    <w:t>939.7</w:t>
                  </w:r>
                </w:p>
              </w:tc>
              <w:tc>
                <w:tcPr>
                  <w:tcW w:w="501" w:type="pct"/>
                  <w:vAlign w:val="bottom"/>
                </w:tcPr>
                <w:p w:rsidR="008C487D" w:rsidRPr="00D93874" w:rsidRDefault="008C487D" w:rsidP="00B3570B">
                  <w:pPr>
                    <w:pStyle w:val="TableBodyText"/>
                  </w:pPr>
                  <w:r w:rsidRPr="00D93874">
                    <w:t>551.9</w:t>
                  </w:r>
                </w:p>
              </w:tc>
              <w:tc>
                <w:tcPr>
                  <w:tcW w:w="500" w:type="pct"/>
                  <w:vAlign w:val="bottom"/>
                </w:tcPr>
                <w:p w:rsidR="008C487D" w:rsidRPr="00D93874" w:rsidRDefault="008C487D" w:rsidP="00B3570B">
                  <w:pPr>
                    <w:pStyle w:val="TableBodyText"/>
                  </w:pPr>
                  <w:r w:rsidRPr="00D93874">
                    <w:t>590.8</w:t>
                  </w:r>
                </w:p>
              </w:tc>
              <w:tc>
                <w:tcPr>
                  <w:tcW w:w="500" w:type="pct"/>
                  <w:vAlign w:val="bottom"/>
                </w:tcPr>
                <w:p w:rsidR="008C487D" w:rsidRPr="00D93874" w:rsidRDefault="008C487D" w:rsidP="00B3570B">
                  <w:pPr>
                    <w:pStyle w:val="TableBodyText"/>
                  </w:pPr>
                  <w:r w:rsidRPr="00D93874">
                    <w:t>347.8</w:t>
                  </w:r>
                </w:p>
              </w:tc>
              <w:tc>
                <w:tcPr>
                  <w:tcW w:w="500" w:type="pct"/>
                  <w:vAlign w:val="bottom"/>
                </w:tcPr>
                <w:p w:rsidR="008C487D" w:rsidRPr="00D93874" w:rsidRDefault="008C487D" w:rsidP="00B3570B">
                  <w:pPr>
                    <w:pStyle w:val="TableBodyText"/>
                  </w:pPr>
                  <w:r w:rsidRPr="00D93874">
                    <w:t>117.2</w:t>
                  </w:r>
                </w:p>
              </w:tc>
              <w:tc>
                <w:tcPr>
                  <w:tcW w:w="500" w:type="pct"/>
                  <w:vAlign w:val="bottom"/>
                </w:tcPr>
                <w:p w:rsidR="008C487D" w:rsidRPr="00D93874" w:rsidRDefault="008C487D" w:rsidP="00B3570B">
                  <w:pPr>
                    <w:pStyle w:val="TableBodyText"/>
                  </w:pPr>
                  <w:r w:rsidRPr="00D93874">
                    <w:t>99.0</w:t>
                  </w:r>
                </w:p>
              </w:tc>
              <w:tc>
                <w:tcPr>
                  <w:tcW w:w="500" w:type="pct"/>
                  <w:vAlign w:val="bottom"/>
                </w:tcPr>
                <w:p w:rsidR="008C487D" w:rsidRPr="00D93874" w:rsidRDefault="008C487D" w:rsidP="00B3570B">
                  <w:pPr>
                    <w:pStyle w:val="TableBodyText"/>
                  </w:pPr>
                  <w:r w:rsidRPr="00D93874">
                    <w:t>302.6</w:t>
                  </w:r>
                </w:p>
              </w:tc>
              <w:tc>
                <w:tcPr>
                  <w:tcW w:w="496" w:type="pct"/>
                  <w:vAlign w:val="bottom"/>
                </w:tcPr>
                <w:p w:rsidR="008C487D" w:rsidRPr="00D93874" w:rsidRDefault="008C487D" w:rsidP="00B3570B">
                  <w:pPr>
                    <w:pStyle w:val="TableBodyText"/>
                  </w:pPr>
                  <w:r w:rsidRPr="00D93874">
                    <w:t>5 099.7</w:t>
                  </w:r>
                </w:p>
              </w:tc>
            </w:tr>
            <w:tr w:rsidR="008C487D" w:rsidRPr="00D93874" w:rsidTr="00FF35FF">
              <w:tc>
                <w:tcPr>
                  <w:tcW w:w="501" w:type="pct"/>
                  <w:shd w:val="clear" w:color="auto" w:fill="auto"/>
                  <w:vAlign w:val="bottom"/>
                </w:tcPr>
                <w:p w:rsidR="008C487D" w:rsidRPr="00D93874" w:rsidRDefault="008C487D" w:rsidP="00FF35FF">
                  <w:pPr>
                    <w:pStyle w:val="TableBodyText"/>
                    <w:pBdr>
                      <w:left w:val="single" w:sz="4" w:space="1" w:color="auto"/>
                    </w:pBdr>
                    <w:tabs>
                      <w:tab w:val="left" w:pos="195"/>
                    </w:tabs>
                    <w:spacing w:before="20" w:after="20"/>
                    <w:jc w:val="center"/>
                    <w:rPr>
                      <w:szCs w:val="18"/>
                    </w:rPr>
                  </w:pPr>
                  <w:r w:rsidRPr="00D93874">
                    <w:rPr>
                      <w:szCs w:val="18"/>
                    </w:rPr>
                    <w:t>2011–12</w:t>
                  </w:r>
                </w:p>
              </w:tc>
              <w:tc>
                <w:tcPr>
                  <w:tcW w:w="501" w:type="pct"/>
                  <w:vAlign w:val="bottom"/>
                </w:tcPr>
                <w:p w:rsidR="008C487D" w:rsidRPr="00D93874" w:rsidRDefault="008C487D" w:rsidP="00B3570B">
                  <w:pPr>
                    <w:pStyle w:val="TableBodyText"/>
                  </w:pPr>
                  <w:r w:rsidRPr="00D93874">
                    <w:t>1 213.4</w:t>
                  </w:r>
                </w:p>
              </w:tc>
              <w:tc>
                <w:tcPr>
                  <w:tcW w:w="501" w:type="pct"/>
                  <w:vAlign w:val="bottom"/>
                </w:tcPr>
                <w:p w:rsidR="008C487D" w:rsidRPr="00D93874" w:rsidRDefault="008C487D" w:rsidP="00B3570B">
                  <w:pPr>
                    <w:pStyle w:val="TableBodyText"/>
                  </w:pPr>
                  <w:r w:rsidRPr="00D93874">
                    <w:t>418.1</w:t>
                  </w:r>
                </w:p>
              </w:tc>
              <w:tc>
                <w:tcPr>
                  <w:tcW w:w="501" w:type="pct"/>
                  <w:vAlign w:val="bottom"/>
                </w:tcPr>
                <w:p w:rsidR="008C487D" w:rsidRPr="00D93874" w:rsidRDefault="008C487D" w:rsidP="00B3570B">
                  <w:pPr>
                    <w:pStyle w:val="TableBodyText"/>
                  </w:pPr>
                  <w:r w:rsidRPr="00D93874">
                    <w:t>549.5</w:t>
                  </w:r>
                </w:p>
              </w:tc>
              <w:tc>
                <w:tcPr>
                  <w:tcW w:w="500" w:type="pct"/>
                  <w:vAlign w:val="bottom"/>
                </w:tcPr>
                <w:p w:rsidR="008C487D" w:rsidRPr="00D93874" w:rsidRDefault="008C487D" w:rsidP="00B3570B">
                  <w:pPr>
                    <w:pStyle w:val="TableBodyText"/>
                  </w:pPr>
                  <w:r w:rsidRPr="00D93874">
                    <w:t>727.7</w:t>
                  </w:r>
                </w:p>
              </w:tc>
              <w:tc>
                <w:tcPr>
                  <w:tcW w:w="500" w:type="pct"/>
                  <w:vAlign w:val="bottom"/>
                </w:tcPr>
                <w:p w:rsidR="008C487D" w:rsidRPr="00D93874" w:rsidRDefault="008C487D" w:rsidP="00B3570B">
                  <w:pPr>
                    <w:pStyle w:val="TableBodyText"/>
                  </w:pPr>
                  <w:r w:rsidRPr="00D93874">
                    <w:t>372.4</w:t>
                  </w:r>
                </w:p>
              </w:tc>
              <w:tc>
                <w:tcPr>
                  <w:tcW w:w="500" w:type="pct"/>
                  <w:vAlign w:val="bottom"/>
                </w:tcPr>
                <w:p w:rsidR="008C487D" w:rsidRPr="00D93874" w:rsidRDefault="008C487D" w:rsidP="00B3570B">
                  <w:pPr>
                    <w:pStyle w:val="TableBodyText"/>
                  </w:pPr>
                  <w:r w:rsidRPr="00D93874">
                    <w:t>109.4</w:t>
                  </w:r>
                </w:p>
              </w:tc>
              <w:tc>
                <w:tcPr>
                  <w:tcW w:w="500" w:type="pct"/>
                  <w:vAlign w:val="bottom"/>
                </w:tcPr>
                <w:p w:rsidR="008C487D" w:rsidRPr="00D93874" w:rsidRDefault="008C487D" w:rsidP="00B3570B">
                  <w:pPr>
                    <w:pStyle w:val="TableBodyText"/>
                  </w:pPr>
                  <w:r w:rsidRPr="00D93874">
                    <w:t>106.1</w:t>
                  </w:r>
                </w:p>
              </w:tc>
              <w:tc>
                <w:tcPr>
                  <w:tcW w:w="500" w:type="pct"/>
                  <w:shd w:val="clear" w:color="auto" w:fill="auto"/>
                  <w:vAlign w:val="bottom"/>
                </w:tcPr>
                <w:p w:rsidR="008C487D" w:rsidRPr="00D93874" w:rsidRDefault="008C487D" w:rsidP="00B3570B">
                  <w:pPr>
                    <w:pStyle w:val="TableBodyText"/>
                  </w:pPr>
                  <w:r w:rsidRPr="00D93874">
                    <w:t>166.6</w:t>
                  </w:r>
                </w:p>
              </w:tc>
              <w:tc>
                <w:tcPr>
                  <w:tcW w:w="496" w:type="pct"/>
                  <w:shd w:val="clear" w:color="auto" w:fill="auto"/>
                  <w:vAlign w:val="bottom"/>
                </w:tcPr>
                <w:p w:rsidR="008C487D" w:rsidRPr="00D93874" w:rsidRDefault="008C487D" w:rsidP="00B3570B">
                  <w:pPr>
                    <w:pStyle w:val="TableBodyText"/>
                  </w:pPr>
                  <w:r w:rsidRPr="00D93874">
                    <w:t>3 663.4</w:t>
                  </w:r>
                </w:p>
              </w:tc>
            </w:tr>
            <w:tr w:rsidR="008C487D" w:rsidRPr="00D93874" w:rsidTr="00FF35FF">
              <w:tc>
                <w:tcPr>
                  <w:tcW w:w="501" w:type="pct"/>
                  <w:shd w:val="clear" w:color="auto" w:fill="auto"/>
                  <w:vAlign w:val="bottom"/>
                </w:tcPr>
                <w:p w:rsidR="008C487D" w:rsidRPr="00D93874" w:rsidRDefault="008C487D" w:rsidP="00FF35FF">
                  <w:pPr>
                    <w:pStyle w:val="TableBodyText"/>
                    <w:pBdr>
                      <w:left w:val="single" w:sz="4" w:space="1" w:color="auto"/>
                    </w:pBdr>
                    <w:spacing w:before="20" w:after="20"/>
                    <w:jc w:val="center"/>
                    <w:rPr>
                      <w:color w:val="000000" w:themeColor="text1"/>
                      <w:szCs w:val="18"/>
                    </w:rPr>
                  </w:pPr>
                  <w:r w:rsidRPr="00D93874">
                    <w:rPr>
                      <w:color w:val="000000" w:themeColor="text1"/>
                      <w:szCs w:val="18"/>
                    </w:rPr>
                    <w:t>2012–13</w:t>
                  </w:r>
                </w:p>
              </w:tc>
              <w:tc>
                <w:tcPr>
                  <w:tcW w:w="501" w:type="pct"/>
                  <w:vAlign w:val="bottom"/>
                </w:tcPr>
                <w:p w:rsidR="008C487D" w:rsidRPr="00D93874" w:rsidRDefault="008C487D" w:rsidP="00B3570B">
                  <w:pPr>
                    <w:pStyle w:val="TableBodyText"/>
                  </w:pPr>
                  <w:r w:rsidRPr="00D93874">
                    <w:t>1 211.3</w:t>
                  </w:r>
                </w:p>
              </w:tc>
              <w:tc>
                <w:tcPr>
                  <w:tcW w:w="501" w:type="pct"/>
                  <w:vAlign w:val="bottom"/>
                </w:tcPr>
                <w:p w:rsidR="008C487D" w:rsidRPr="00D93874" w:rsidRDefault="008C487D" w:rsidP="00B3570B">
                  <w:pPr>
                    <w:pStyle w:val="TableBodyText"/>
                  </w:pPr>
                  <w:r w:rsidRPr="00D93874">
                    <w:t>419.6</w:t>
                  </w:r>
                </w:p>
              </w:tc>
              <w:tc>
                <w:tcPr>
                  <w:tcW w:w="501" w:type="pct"/>
                  <w:shd w:val="clear" w:color="auto" w:fill="auto"/>
                  <w:vAlign w:val="bottom"/>
                </w:tcPr>
                <w:p w:rsidR="008C487D" w:rsidRPr="00D93874" w:rsidRDefault="008C487D" w:rsidP="00B3570B">
                  <w:pPr>
                    <w:pStyle w:val="TableBodyText"/>
                  </w:pPr>
                  <w:r w:rsidRPr="00D93874">
                    <w:t>538.9</w:t>
                  </w:r>
                </w:p>
              </w:tc>
              <w:tc>
                <w:tcPr>
                  <w:tcW w:w="500" w:type="pct"/>
                  <w:vAlign w:val="bottom"/>
                </w:tcPr>
                <w:p w:rsidR="008C487D" w:rsidRPr="00D93874" w:rsidRDefault="008C487D" w:rsidP="00B3570B">
                  <w:pPr>
                    <w:pStyle w:val="TableBodyText"/>
                  </w:pPr>
                  <w:r w:rsidRPr="00D93874">
                    <w:t>763.3</w:t>
                  </w:r>
                </w:p>
              </w:tc>
              <w:tc>
                <w:tcPr>
                  <w:tcW w:w="500" w:type="pct"/>
                  <w:vAlign w:val="bottom"/>
                </w:tcPr>
                <w:p w:rsidR="008C487D" w:rsidRPr="00D93874" w:rsidRDefault="008C487D" w:rsidP="00B3570B">
                  <w:pPr>
                    <w:pStyle w:val="TableBodyText"/>
                  </w:pPr>
                  <w:r w:rsidRPr="00D93874">
                    <w:t>441.4</w:t>
                  </w:r>
                </w:p>
              </w:tc>
              <w:tc>
                <w:tcPr>
                  <w:tcW w:w="500" w:type="pct"/>
                  <w:vAlign w:val="bottom"/>
                </w:tcPr>
                <w:p w:rsidR="008C487D" w:rsidRPr="00D93874" w:rsidRDefault="008C487D" w:rsidP="00B3570B">
                  <w:pPr>
                    <w:pStyle w:val="TableBodyText"/>
                  </w:pPr>
                  <w:r w:rsidRPr="00D93874">
                    <w:t>107.3</w:t>
                  </w:r>
                </w:p>
              </w:tc>
              <w:tc>
                <w:tcPr>
                  <w:tcW w:w="500" w:type="pct"/>
                  <w:vAlign w:val="bottom"/>
                </w:tcPr>
                <w:p w:rsidR="008C487D" w:rsidRPr="00D93874" w:rsidRDefault="008C487D" w:rsidP="00B3570B">
                  <w:pPr>
                    <w:pStyle w:val="TableBodyText"/>
                  </w:pPr>
                  <w:r w:rsidRPr="00D93874">
                    <w:t>110.7</w:t>
                  </w:r>
                </w:p>
              </w:tc>
              <w:tc>
                <w:tcPr>
                  <w:tcW w:w="500" w:type="pct"/>
                  <w:shd w:val="clear" w:color="auto" w:fill="auto"/>
                  <w:vAlign w:val="bottom"/>
                </w:tcPr>
                <w:p w:rsidR="008C487D" w:rsidRPr="00D93874" w:rsidRDefault="008C487D" w:rsidP="00B3570B">
                  <w:pPr>
                    <w:pStyle w:val="TableBodyText"/>
                  </w:pPr>
                  <w:r w:rsidRPr="00D93874">
                    <w:t>76.8</w:t>
                  </w:r>
                </w:p>
              </w:tc>
              <w:tc>
                <w:tcPr>
                  <w:tcW w:w="496" w:type="pct"/>
                  <w:shd w:val="clear" w:color="auto" w:fill="auto"/>
                  <w:vAlign w:val="bottom"/>
                </w:tcPr>
                <w:p w:rsidR="008C487D" w:rsidRPr="00D93874" w:rsidRDefault="008C487D" w:rsidP="00B3570B">
                  <w:pPr>
                    <w:pStyle w:val="TableBodyText"/>
                  </w:pPr>
                  <w:r w:rsidRPr="00D93874">
                    <w:t>3 669.2</w:t>
                  </w:r>
                </w:p>
              </w:tc>
            </w:tr>
            <w:tr w:rsidR="008C487D" w:rsidRPr="00D93874" w:rsidTr="00FF35FF">
              <w:tc>
                <w:tcPr>
                  <w:tcW w:w="501" w:type="pct"/>
                  <w:tcBorders>
                    <w:bottom w:val="single" w:sz="6" w:space="0" w:color="BFBFBF"/>
                  </w:tcBorders>
                  <w:shd w:val="clear" w:color="auto" w:fill="auto"/>
                  <w:vAlign w:val="bottom"/>
                </w:tcPr>
                <w:p w:rsidR="008C487D" w:rsidRPr="00D93874" w:rsidRDefault="008C487D" w:rsidP="00FF35FF">
                  <w:pPr>
                    <w:pStyle w:val="TableBodyText"/>
                    <w:pBdr>
                      <w:left w:val="single" w:sz="4" w:space="1" w:color="auto"/>
                    </w:pBdr>
                    <w:spacing w:before="20" w:after="20"/>
                    <w:jc w:val="center"/>
                    <w:rPr>
                      <w:szCs w:val="18"/>
                    </w:rPr>
                  </w:pPr>
                  <w:r w:rsidRPr="00D93874">
                    <w:rPr>
                      <w:szCs w:val="18"/>
                    </w:rPr>
                    <w:t>2013–14</w:t>
                  </w:r>
                </w:p>
              </w:tc>
              <w:tc>
                <w:tcPr>
                  <w:tcW w:w="501" w:type="pct"/>
                  <w:tcBorders>
                    <w:bottom w:val="single" w:sz="6" w:space="0" w:color="BFBFBF"/>
                  </w:tcBorders>
                  <w:vAlign w:val="bottom"/>
                </w:tcPr>
                <w:p w:rsidR="008C487D" w:rsidRPr="00D93874" w:rsidRDefault="008C487D" w:rsidP="00B3570B">
                  <w:pPr>
                    <w:pStyle w:val="TableBodyText"/>
                  </w:pPr>
                  <w:r w:rsidRPr="00D93874">
                    <w:t>1 903.8</w:t>
                  </w:r>
                </w:p>
              </w:tc>
              <w:tc>
                <w:tcPr>
                  <w:tcW w:w="501" w:type="pct"/>
                  <w:tcBorders>
                    <w:bottom w:val="single" w:sz="6" w:space="0" w:color="BFBFBF"/>
                  </w:tcBorders>
                  <w:vAlign w:val="bottom"/>
                </w:tcPr>
                <w:p w:rsidR="008C487D" w:rsidRPr="00D93874" w:rsidRDefault="008C487D" w:rsidP="00B3570B">
                  <w:pPr>
                    <w:pStyle w:val="TableBodyText"/>
                  </w:pPr>
                  <w:r w:rsidRPr="00D93874">
                    <w:t>431.4</w:t>
                  </w:r>
                </w:p>
              </w:tc>
              <w:tc>
                <w:tcPr>
                  <w:tcW w:w="501" w:type="pct"/>
                  <w:tcBorders>
                    <w:bottom w:val="single" w:sz="6" w:space="0" w:color="BFBFBF"/>
                  </w:tcBorders>
                  <w:shd w:val="clear" w:color="auto" w:fill="auto"/>
                  <w:vAlign w:val="bottom"/>
                </w:tcPr>
                <w:p w:rsidR="008C487D" w:rsidRPr="00D93874" w:rsidRDefault="008C487D" w:rsidP="00B3570B">
                  <w:pPr>
                    <w:pStyle w:val="TableBodyText"/>
                  </w:pPr>
                  <w:r w:rsidRPr="00D93874">
                    <w:t>488.3</w:t>
                  </w:r>
                </w:p>
              </w:tc>
              <w:tc>
                <w:tcPr>
                  <w:tcW w:w="500" w:type="pct"/>
                  <w:tcBorders>
                    <w:bottom w:val="single" w:sz="6" w:space="0" w:color="BFBFBF"/>
                  </w:tcBorders>
                  <w:vAlign w:val="bottom"/>
                </w:tcPr>
                <w:p w:rsidR="008C487D" w:rsidRPr="00D93874" w:rsidRDefault="008C487D" w:rsidP="00B3570B">
                  <w:pPr>
                    <w:pStyle w:val="TableBodyText"/>
                  </w:pPr>
                  <w:r w:rsidRPr="00D93874">
                    <w:t>714.1</w:t>
                  </w:r>
                </w:p>
              </w:tc>
              <w:tc>
                <w:tcPr>
                  <w:tcW w:w="500" w:type="pct"/>
                  <w:tcBorders>
                    <w:bottom w:val="single" w:sz="6" w:space="0" w:color="BFBFBF"/>
                  </w:tcBorders>
                  <w:vAlign w:val="bottom"/>
                </w:tcPr>
                <w:p w:rsidR="008C487D" w:rsidRPr="00D93874" w:rsidRDefault="008C487D" w:rsidP="00B3570B">
                  <w:pPr>
                    <w:pStyle w:val="TableBodyText"/>
                  </w:pPr>
                  <w:r w:rsidRPr="00D93874">
                    <w:t>401.4</w:t>
                  </w:r>
                </w:p>
              </w:tc>
              <w:tc>
                <w:tcPr>
                  <w:tcW w:w="500" w:type="pct"/>
                  <w:tcBorders>
                    <w:bottom w:val="single" w:sz="6" w:space="0" w:color="BFBFBF"/>
                  </w:tcBorders>
                  <w:vAlign w:val="bottom"/>
                </w:tcPr>
                <w:p w:rsidR="008C487D" w:rsidRPr="00D93874" w:rsidRDefault="008C487D" w:rsidP="00B3570B">
                  <w:pPr>
                    <w:pStyle w:val="TableBodyText"/>
                  </w:pPr>
                  <w:r w:rsidRPr="00D93874">
                    <w:t>113.7</w:t>
                  </w:r>
                </w:p>
              </w:tc>
              <w:tc>
                <w:tcPr>
                  <w:tcW w:w="500" w:type="pct"/>
                  <w:tcBorders>
                    <w:bottom w:val="single" w:sz="6" w:space="0" w:color="BFBFBF"/>
                  </w:tcBorders>
                  <w:vAlign w:val="bottom"/>
                </w:tcPr>
                <w:p w:rsidR="008C487D" w:rsidRPr="00D93874" w:rsidRDefault="008C487D" w:rsidP="00B3570B">
                  <w:pPr>
                    <w:pStyle w:val="TableBodyText"/>
                  </w:pPr>
                  <w:r w:rsidRPr="00D93874">
                    <w:t>109.6</w:t>
                  </w:r>
                </w:p>
              </w:tc>
              <w:tc>
                <w:tcPr>
                  <w:tcW w:w="500" w:type="pct"/>
                  <w:tcBorders>
                    <w:bottom w:val="single" w:sz="6" w:space="0" w:color="BFBFBF"/>
                  </w:tcBorders>
                  <w:shd w:val="clear" w:color="auto" w:fill="auto"/>
                  <w:vAlign w:val="bottom"/>
                </w:tcPr>
                <w:p w:rsidR="008C487D" w:rsidRPr="00D93874" w:rsidRDefault="008C487D" w:rsidP="00B3570B">
                  <w:pPr>
                    <w:pStyle w:val="TableBodyText"/>
                  </w:pPr>
                  <w:r w:rsidRPr="00D93874">
                    <w:t>80.4</w:t>
                  </w:r>
                </w:p>
              </w:tc>
              <w:tc>
                <w:tcPr>
                  <w:tcW w:w="496" w:type="pct"/>
                  <w:tcBorders>
                    <w:bottom w:val="single" w:sz="6" w:space="0" w:color="BFBFBF"/>
                  </w:tcBorders>
                  <w:shd w:val="clear" w:color="auto" w:fill="auto"/>
                  <w:vAlign w:val="bottom"/>
                </w:tcPr>
                <w:p w:rsidR="008C487D" w:rsidRPr="00D93874" w:rsidRDefault="008C487D" w:rsidP="00B3570B">
                  <w:pPr>
                    <w:pStyle w:val="TableBodyText"/>
                  </w:pPr>
                  <w:r w:rsidRPr="00D93874">
                    <w:t>4 242.6</w:t>
                  </w:r>
                </w:p>
              </w:tc>
            </w:tr>
          </w:tbl>
          <w:p w:rsidR="008C487D" w:rsidRPr="00D93874" w:rsidRDefault="008C487D" w:rsidP="00FF35FF">
            <w:pPr>
              <w:pStyle w:val="Box"/>
            </w:pPr>
          </w:p>
        </w:tc>
      </w:tr>
      <w:tr w:rsidR="008C487D" w:rsidRPr="00D93874" w:rsidTr="00FF35FF">
        <w:trPr>
          <w:cantSplit/>
        </w:trPr>
        <w:tc>
          <w:tcPr>
            <w:tcW w:w="8771" w:type="dxa"/>
            <w:tcBorders>
              <w:top w:val="nil"/>
              <w:left w:val="nil"/>
              <w:bottom w:val="nil"/>
              <w:right w:val="nil"/>
            </w:tcBorders>
            <w:shd w:val="clear" w:color="auto" w:fill="auto"/>
          </w:tcPr>
          <w:p w:rsidR="008C487D" w:rsidRPr="00D93874" w:rsidRDefault="008C487D" w:rsidP="00FF35FF">
            <w:pPr>
              <w:pStyle w:val="Note"/>
              <w:rPr>
                <w:i/>
              </w:rPr>
            </w:pPr>
            <w:r w:rsidRPr="00D93874">
              <w:rPr>
                <w:rStyle w:val="NoteLabel"/>
              </w:rPr>
              <w:t>a </w:t>
            </w:r>
            <w:r w:rsidRPr="00D93874">
              <w:t xml:space="preserve">The Australian Government provides funding to State and Territory governments for social housing assistance which is included in State and Territory government expenditure data. </w:t>
            </w:r>
            <w:r w:rsidRPr="00D93874">
              <w:rPr>
                <w:rStyle w:val="NoteLabel"/>
              </w:rPr>
              <w:t>b </w:t>
            </w:r>
            <w:r w:rsidRPr="00D93874">
              <w:t xml:space="preserve">Additional funds provided by the Australian Government for the social housing elements of the Nation Building Economic Stimulus Package peaked in 2010–11. The end of this additional funding </w:t>
            </w:r>
            <w:r w:rsidR="00FF35FF" w:rsidRPr="00D93874">
              <w:t xml:space="preserve">is reflected in the contraction of </w:t>
            </w:r>
            <w:r w:rsidRPr="00D93874">
              <w:t xml:space="preserve">expenditure between 2010–11 and 2011–12. </w:t>
            </w:r>
            <w:r w:rsidRPr="00D93874">
              <w:rPr>
                <w:rStyle w:val="NoteLabel"/>
              </w:rPr>
              <w:t>c </w:t>
            </w:r>
            <w:r w:rsidRPr="00D93874">
              <w:t xml:space="preserve">Time series financial data are adjusted to 2013–14 dollars using the General Government Final Consumption Expenditure (GGFCE) chain price deflator </w:t>
            </w:r>
            <w:r w:rsidR="00FF35FF" w:rsidRPr="00D93874">
              <w:t>(2013</w:t>
            </w:r>
            <w:r w:rsidR="00FF35FF" w:rsidRPr="00D93874">
              <w:noBreakHyphen/>
              <w:t xml:space="preserve">14=100) (table </w:t>
            </w:r>
            <w:r w:rsidRPr="00D93874">
              <w:t xml:space="preserve">2A.51) </w:t>
            </w:r>
            <w:r w:rsidR="00FF35FF" w:rsidRPr="00D93874">
              <w:t xml:space="preserve">See </w:t>
            </w:r>
            <w:r w:rsidR="002005EF" w:rsidRPr="00D93874">
              <w:t xml:space="preserve">2015 Report, </w:t>
            </w:r>
            <w:r w:rsidR="00FF35FF" w:rsidRPr="00D93874">
              <w:t xml:space="preserve">Chapter 2 (sections </w:t>
            </w:r>
            <w:r w:rsidRPr="00D93874">
              <w:t xml:space="preserve">2.5–6) for details. </w:t>
            </w:r>
            <w:r w:rsidRPr="00D93874">
              <w:rPr>
                <w:rStyle w:val="NoteLabel"/>
              </w:rPr>
              <w:t>d</w:t>
            </w:r>
            <w:r w:rsidRPr="00D93874">
              <w:t> The increase in NSW’s expenditure from 2012–13 to 2013–14  mainly relates to the vesting of Nation Building properties ($461m) to Community Housing Providers, which in accounting terms is treated as a grant.</w:t>
            </w:r>
          </w:p>
        </w:tc>
      </w:tr>
      <w:tr w:rsidR="008C487D" w:rsidRPr="00D93874" w:rsidTr="00FF35FF">
        <w:trPr>
          <w:cantSplit/>
        </w:trPr>
        <w:tc>
          <w:tcPr>
            <w:tcW w:w="8771" w:type="dxa"/>
            <w:tcBorders>
              <w:top w:val="nil"/>
              <w:left w:val="nil"/>
              <w:bottom w:val="nil"/>
              <w:right w:val="nil"/>
            </w:tcBorders>
            <w:shd w:val="clear" w:color="auto" w:fill="auto"/>
          </w:tcPr>
          <w:p w:rsidR="008C487D" w:rsidRPr="00D93874" w:rsidRDefault="008C487D" w:rsidP="00FF35FF">
            <w:pPr>
              <w:pStyle w:val="Source"/>
              <w:rPr>
                <w:color w:val="000000" w:themeColor="text1"/>
              </w:rPr>
            </w:pPr>
            <w:r w:rsidRPr="00D93874">
              <w:rPr>
                <w:i/>
              </w:rPr>
              <w:t xml:space="preserve">Sources: </w:t>
            </w:r>
            <w:r w:rsidRPr="00D93874">
              <w:t>State and Territory governments (unpublished); table 17A.2 and 2A.51</w:t>
            </w:r>
            <w:r w:rsidR="00FF35FF" w:rsidRPr="00D93874">
              <w:t xml:space="preserve">; 2015 Report, table 17.1, </w:t>
            </w:r>
            <w:r w:rsidR="00FF35FF" w:rsidRPr="00D93874">
              <w:br/>
              <w:t>p. 17.7.</w:t>
            </w:r>
          </w:p>
        </w:tc>
      </w:tr>
      <w:tr w:rsidR="008C487D" w:rsidRPr="00D93874" w:rsidTr="00FF35FF">
        <w:tc>
          <w:tcPr>
            <w:tcW w:w="8771" w:type="dxa"/>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FF35FF">
      <w:pPr>
        <w:pStyle w:val="Heading4"/>
      </w:pPr>
      <w:r w:rsidRPr="00D93874">
        <w:t>Size and scope</w:t>
      </w:r>
    </w:p>
    <w:p w:rsidR="008C487D" w:rsidRPr="00D93874" w:rsidRDefault="008C487D" w:rsidP="00FF35FF">
      <w:pPr>
        <w:pStyle w:val="Heading5"/>
      </w:pPr>
      <w:r w:rsidRPr="00D93874">
        <w:t>State owned and managed Indigenous housing</w:t>
      </w:r>
    </w:p>
    <w:p w:rsidR="008C487D" w:rsidRPr="00D93874" w:rsidRDefault="008C487D" w:rsidP="008C487D">
      <w:pPr>
        <w:pStyle w:val="BodyText"/>
        <w:rPr>
          <w:color w:val="000000" w:themeColor="text1"/>
        </w:rPr>
      </w:pPr>
      <w:r w:rsidRPr="00D93874">
        <w:t xml:space="preserve">State owned and managed Indigenous housing (SOMIH) dwellings are defined as those rental housing dwellings owned and managed by government and allocated only to Aboriginal and Torres Strait Islander Australians (AIHW 2006). They include dwellings managed by government </w:t>
      </w:r>
      <w:r w:rsidRPr="00D93874">
        <w:rPr>
          <w:color w:val="000000" w:themeColor="text1"/>
        </w:rPr>
        <w:t xml:space="preserve">Indigenous housing agencies for allocation to Aboriginal and Torres Strait Islander tenants. Nationally at </w:t>
      </w:r>
      <w:r w:rsidR="00FF35FF" w:rsidRPr="00D93874">
        <w:rPr>
          <w:color w:val="000000" w:themeColor="text1"/>
        </w:rPr>
        <w:t xml:space="preserve">30 </w:t>
      </w:r>
      <w:r w:rsidRPr="00D93874">
        <w:rPr>
          <w:color w:val="000000" w:themeColor="text1"/>
        </w:rPr>
        <w:t xml:space="preserve">June 2014, there were 9790 households and </w:t>
      </w:r>
      <w:r w:rsidR="00FF35FF" w:rsidRPr="00D93874">
        <w:rPr>
          <w:color w:val="000000" w:themeColor="text1"/>
        </w:rPr>
        <w:t xml:space="preserve">10 </w:t>
      </w:r>
      <w:r w:rsidRPr="00D93874">
        <w:rPr>
          <w:color w:val="000000" w:themeColor="text1"/>
        </w:rPr>
        <w:t>113 SOMIH dwellings (tables 17A.3</w:t>
      </w:r>
      <w:r w:rsidR="00FF35FF" w:rsidRPr="00D93874">
        <w:rPr>
          <w:color w:val="000000" w:themeColor="text1"/>
        </w:rPr>
        <w:t>–</w:t>
      </w:r>
      <w:r w:rsidRPr="00D93874">
        <w:rPr>
          <w:color w:val="000000" w:themeColor="text1"/>
        </w:rPr>
        <w:t>4).</w:t>
      </w:r>
    </w:p>
    <w:p w:rsidR="008C487D" w:rsidRPr="00D93874" w:rsidRDefault="008C487D" w:rsidP="008C487D">
      <w:pPr>
        <w:pStyle w:val="BodyText"/>
      </w:pPr>
      <w:r w:rsidRPr="00D93874">
        <w:lastRenderedPageBreak/>
        <w:t xml:space="preserve">The SOMIH program is partly funded under the NAHA, but because NAHA funding is not tied to specific programs, the amount attributed to SOMIH cannot be separately identified. In 2013–14, State government net </w:t>
      </w:r>
      <w:r w:rsidRPr="00D93874">
        <w:rPr>
          <w:color w:val="000000" w:themeColor="text1"/>
        </w:rPr>
        <w:t>recurrent expenditure on SOMIH was $114.6</w:t>
      </w:r>
      <w:r w:rsidR="00FF35FF" w:rsidRPr="00D93874">
        <w:rPr>
          <w:color w:val="000000" w:themeColor="text1"/>
        </w:rPr>
        <w:t xml:space="preserve"> </w:t>
      </w:r>
      <w:r w:rsidRPr="00D93874">
        <w:rPr>
          <w:color w:val="000000" w:themeColor="text1"/>
        </w:rPr>
        <w:t xml:space="preserve">million </w:t>
      </w:r>
      <w:r w:rsidRPr="00D93874">
        <w:t xml:space="preserve">nationally </w:t>
      </w:r>
      <w:r w:rsidR="00FF35FF" w:rsidRPr="00D93874">
        <w:t xml:space="preserve">(table </w:t>
      </w:r>
      <w:r w:rsidRPr="00D93874">
        <w:t>17A.1).</w:t>
      </w:r>
    </w:p>
    <w:p w:rsidR="008C487D" w:rsidRPr="00D93874" w:rsidRDefault="008C487D" w:rsidP="008C487D">
      <w:pPr>
        <w:pStyle w:val="BodyText"/>
      </w:pPr>
      <w:r w:rsidRPr="00D93874">
        <w:t>The SOMIH program does not operate in all jurisdictions. In 2013–14, SOMIH operated in NSW, Queensland, SA and Tasmania.</w:t>
      </w:r>
    </w:p>
    <w:p w:rsidR="008C487D" w:rsidRPr="00D93874" w:rsidRDefault="008C487D" w:rsidP="008C487D">
      <w:pPr>
        <w:pStyle w:val="ListBullet"/>
      </w:pPr>
      <w:r w:rsidRPr="00D93874">
        <w:t>In Victoria, the SOMIH program ended on 30 September 2010, when management of tenancies in SOMIH properties was transferred to Aboriginal Housing Victoria. These dwellings are now classified as Indigenous community housing. A small number of SOMIH tenants and properties transferred to public housing. No SOMIH dwellings are reported for Victoria for 2009–10 onwards</w:t>
      </w:r>
    </w:p>
    <w:p w:rsidR="008C487D" w:rsidRPr="00D93874" w:rsidRDefault="008C487D" w:rsidP="008C487D">
      <w:pPr>
        <w:pStyle w:val="ListBullet"/>
      </w:pPr>
      <w:r w:rsidRPr="00D93874">
        <w:t>In WA, from 2010–11 SOMIH dwellings ceased to be funded separately and were combined with public housing. From 2010–11, SOMIH dwellings in WA are reported as public housing</w:t>
      </w:r>
    </w:p>
    <w:p w:rsidR="008C487D" w:rsidRPr="00D93874" w:rsidRDefault="008C487D" w:rsidP="008C487D">
      <w:pPr>
        <w:pStyle w:val="ListBullet"/>
      </w:pPr>
      <w:r w:rsidRPr="00D93874">
        <w:t>The ACT does not have a separately identified or funded Indigenous housing program. Social housing assistance for Aboriginal and Torres Strait Islander people is provided through public housing and Indigenous community housing</w:t>
      </w:r>
    </w:p>
    <w:p w:rsidR="008C487D" w:rsidRPr="00D93874" w:rsidRDefault="008C487D" w:rsidP="008C487D">
      <w:pPr>
        <w:pStyle w:val="ListBullet"/>
      </w:pPr>
      <w:r w:rsidRPr="00D93874">
        <w:t xml:space="preserve">In the NT, Indigenous housing was provided through community housing (prior to 2010–11) or public housing (2010–11 onwards). During 2008–09, approximately </w:t>
      </w:r>
      <w:r w:rsidR="00FF35FF" w:rsidRPr="00D93874">
        <w:br/>
      </w:r>
      <w:r w:rsidRPr="00D93874">
        <w:t>4000</w:t>
      </w:r>
      <w:r w:rsidR="00FF35FF" w:rsidRPr="00D93874">
        <w:t xml:space="preserve"> </w:t>
      </w:r>
      <w:r w:rsidRPr="00D93874">
        <w:t>dwellings were transferred from Indigenous housing to remote public housing. These dwellings are not included in either the community housing data collection or the public housing data collection.</w:t>
      </w:r>
    </w:p>
    <w:p w:rsidR="008C487D" w:rsidRPr="00D93874" w:rsidRDefault="008C487D" w:rsidP="008C487D">
      <w:pPr>
        <w:pStyle w:val="BodyText"/>
      </w:pPr>
      <w:r w:rsidRPr="00D93874">
        <w:t>In NSW, a separate statutory organisation — the Aboriginal Housing Office (AHO) — is responsible for planning, administering and expanding policies, programs and the asset base for Aboriginal and Torres Strait Islander housing.</w:t>
      </w:r>
    </w:p>
    <w:p w:rsidR="008C487D" w:rsidRPr="00D93874" w:rsidRDefault="008C487D" w:rsidP="008C487D">
      <w:pPr>
        <w:pStyle w:val="Heading4"/>
        <w:spacing w:before="360"/>
      </w:pPr>
      <w:r w:rsidRPr="00D93874">
        <w:t>Indigenous community housing</w:t>
      </w:r>
    </w:p>
    <w:p w:rsidR="008C487D" w:rsidRPr="00D93874" w:rsidRDefault="008C487D" w:rsidP="008C487D">
      <w:pPr>
        <w:pStyle w:val="BodyText"/>
      </w:pPr>
      <w:r w:rsidRPr="00D93874">
        <w:t>Indigenous community housing (ICH) is housing funded by Australian, State and Territory governments that is generally managed and delivered by ICH organisations (although some ICH dwellings are managed by State and Territory housing authorities). The commencement of the NAHA on 1 January 2009 resulted in changes to the funding and administrative arrangements for ICH.</w:t>
      </w:r>
    </w:p>
    <w:p w:rsidR="008C487D" w:rsidRPr="00D93874" w:rsidRDefault="008C487D" w:rsidP="008C487D">
      <w:pPr>
        <w:pStyle w:val="BodyText"/>
        <w:rPr>
          <w:color w:val="000000"/>
        </w:rPr>
      </w:pPr>
      <w:r w:rsidRPr="00D93874">
        <w:t xml:space="preserve">From 1 January 2009, ICH was funded through the NAH SPP and the associated National Partnership Agreement on Remote Indigenous Housing (NPA RIH), and delivered by State and Territory governments. State and Territory governments assumed responsibility for administering ICH in urban and regional areas, and arrangements varied across jurisdictions. Some ICH dwellings were transferred to other social housing </w:t>
      </w:r>
      <w:r w:rsidRPr="00D93874">
        <w:rPr>
          <w:color w:val="000000"/>
        </w:rPr>
        <w:t>programs.</w:t>
      </w:r>
    </w:p>
    <w:p w:rsidR="008C487D" w:rsidRPr="00D93874" w:rsidRDefault="008C487D" w:rsidP="008C487D">
      <w:pPr>
        <w:pStyle w:val="BodyText"/>
      </w:pPr>
      <w:r w:rsidRPr="00D93874">
        <w:t>Descriptive information on ICH is contained in table 17A.8.</w:t>
      </w:r>
    </w:p>
    <w:p w:rsidR="008C487D" w:rsidRPr="00D93874" w:rsidRDefault="008C487D" w:rsidP="00FF35FF">
      <w:pPr>
        <w:pStyle w:val="Heading4"/>
      </w:pPr>
      <w:r w:rsidRPr="00D93874">
        <w:lastRenderedPageBreak/>
        <w:t>Diversity of State and Territory government social housing</w:t>
      </w:r>
    </w:p>
    <w:p w:rsidR="008C487D" w:rsidRPr="00D93874" w:rsidRDefault="008C487D" w:rsidP="008C487D">
      <w:pPr>
        <w:pStyle w:val="BodyText"/>
      </w:pPr>
      <w:r w:rsidRPr="00D93874">
        <w:t>State and Territory governments have similar broad objectives for providing social housing. Individual jurisdictions, however, emphasise different objectives depending on their historical precedents and ways of interacting with community sector providers. Jurisdictions also have different private housing markets. These differences lead to a variety of policy responses and associated forms of assistance. It is important to consider the various levels and types of assistance provided in each State and Territory, the differences in urban, regional and remote area concentration, and the various eligibility criteria for the different assistance types when analysing performance information.</w:t>
      </w:r>
    </w:p>
    <w:p w:rsidR="008C487D" w:rsidRPr="00D93874" w:rsidRDefault="008C487D" w:rsidP="008C487D">
      <w:pPr>
        <w:pStyle w:val="BodyText"/>
      </w:pPr>
      <w:r w:rsidRPr="00D93874">
        <w:t>Some information on the context for public housing, SOMIH and community housing are included at</w:t>
      </w:r>
      <w:r w:rsidR="00FF35FF" w:rsidRPr="00D93874">
        <w:t xml:space="preserve"> 2015 Report,</w:t>
      </w:r>
      <w:r w:rsidRPr="00D93874">
        <w:t xml:space="preserve"> tables 17A.59–62.</w:t>
      </w:r>
    </w:p>
    <w:p w:rsidR="008C487D" w:rsidRPr="00D93874" w:rsidRDefault="008C487D" w:rsidP="00FF35FF">
      <w:pPr>
        <w:pStyle w:val="Heading5"/>
      </w:pPr>
      <w:r w:rsidRPr="00D93874">
        <w:t>Urban, regional and remote concentrations</w:t>
      </w:r>
    </w:p>
    <w:p w:rsidR="008C487D" w:rsidRPr="00D93874" w:rsidRDefault="008C487D" w:rsidP="008C487D">
      <w:pPr>
        <w:pStyle w:val="BodyText"/>
        <w:spacing w:after="480"/>
      </w:pPr>
      <w:r w:rsidRPr="00D93874">
        <w:t xml:space="preserve">The proportion of social housing dwellings located in urban, regional and remote areas, for public housing, SOMIH and community housing, using the Australian Statistical Geography Standard </w:t>
      </w:r>
      <w:r w:rsidR="003E2B02" w:rsidRPr="00D93874">
        <w:t xml:space="preserve">remoteness area structure (ASGS </w:t>
      </w:r>
      <w:r w:rsidRPr="00D93874">
        <w:t xml:space="preserve">remoteness areas) is shown in </w:t>
      </w:r>
      <w:r w:rsidR="00FF35FF" w:rsidRPr="00D93874">
        <w:br/>
      </w:r>
      <w:r w:rsidRPr="00D93874">
        <w:t>table</w:t>
      </w:r>
      <w:r w:rsidR="00FF35FF" w:rsidRPr="00D93874">
        <w:t xml:space="preserve"> </w:t>
      </w:r>
      <w:r w:rsidRPr="00D93874">
        <w:t>17.2. Data for Indigenous community housing may be included in future reports.</w:t>
      </w:r>
    </w:p>
    <w:p w:rsidR="008C487D" w:rsidRPr="00D93874" w:rsidRDefault="008C487D" w:rsidP="008C487D">
      <w:pPr>
        <w:pStyle w:val="BoxSpaceAbove"/>
      </w:pPr>
    </w:p>
    <w:tbl>
      <w:tblPr>
        <w:tblW w:w="4922" w:type="pct"/>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931"/>
      </w:tblGrid>
      <w:tr w:rsidR="008C487D" w:rsidRPr="00D93874" w:rsidTr="00984111">
        <w:tc>
          <w:tcPr>
            <w:tcW w:w="5000" w:type="pct"/>
            <w:tcBorders>
              <w:top w:val="single" w:sz="6" w:space="0" w:color="78A22F" w:themeColor="accent1"/>
              <w:left w:val="nil"/>
              <w:bottom w:val="nil"/>
              <w:right w:val="nil"/>
            </w:tcBorders>
            <w:shd w:val="clear" w:color="auto" w:fill="auto"/>
          </w:tcPr>
          <w:p w:rsidR="008C487D" w:rsidRPr="00D93874" w:rsidRDefault="008C487D" w:rsidP="00FF35FF">
            <w:pPr>
              <w:pStyle w:val="TableTitle"/>
              <w:tabs>
                <w:tab w:val="left" w:pos="8775"/>
              </w:tabs>
            </w:pPr>
            <w:r w:rsidRPr="00D93874">
              <w:rPr>
                <w:b w:val="0"/>
              </w:rPr>
              <w:t>Table 17.2</w:t>
            </w:r>
            <w:r w:rsidRPr="00D93874">
              <w:tab/>
              <w:t>Regional and remote area concentr</w:t>
            </w:r>
            <w:r w:rsidR="00AF6717" w:rsidRPr="00D93874">
              <w:t xml:space="preserve">ations of social housing, at 30 June </w:t>
            </w:r>
            <w:r w:rsidR="00737D86" w:rsidRPr="00D93874">
              <w:t xml:space="preserve">2014 (per </w:t>
            </w:r>
            <w:r w:rsidRPr="00D93874">
              <w:t>cent)</w:t>
            </w:r>
            <w:r w:rsidRPr="00D93874">
              <w:rPr>
                <w:rStyle w:val="NoteLabel"/>
                <w:b/>
              </w:rPr>
              <w:t>a</w:t>
            </w:r>
          </w:p>
        </w:tc>
      </w:tr>
      <w:tr w:rsidR="008C487D" w:rsidRPr="00D93874" w:rsidTr="00984111">
        <w:trPr>
          <w:cantSplit/>
        </w:trPr>
        <w:tc>
          <w:tcPr>
            <w:tcW w:w="5000" w:type="pct"/>
            <w:tcBorders>
              <w:top w:val="nil"/>
              <w:left w:val="nil"/>
              <w:bottom w:val="nil"/>
              <w:right w:val="nil"/>
            </w:tcBorders>
            <w:shd w:val="clear" w:color="auto" w:fill="auto"/>
          </w:tcPr>
          <w:tbl>
            <w:tblPr>
              <w:tblW w:w="8827" w:type="dxa"/>
              <w:tblBorders>
                <w:top w:val="single" w:sz="4" w:space="0" w:color="auto"/>
              </w:tblBorders>
              <w:tblLayout w:type="fixed"/>
              <w:tblCellMar>
                <w:top w:w="28" w:type="dxa"/>
                <w:left w:w="0" w:type="dxa"/>
                <w:right w:w="0" w:type="dxa"/>
              </w:tblCellMar>
              <w:tblLook w:val="0000" w:firstRow="0" w:lastRow="0" w:firstColumn="0" w:lastColumn="0" w:noHBand="0" w:noVBand="0"/>
            </w:tblPr>
            <w:tblGrid>
              <w:gridCol w:w="1560"/>
              <w:gridCol w:w="704"/>
              <w:gridCol w:w="710"/>
              <w:gridCol w:w="710"/>
              <w:gridCol w:w="851"/>
              <w:gridCol w:w="851"/>
              <w:gridCol w:w="849"/>
              <w:gridCol w:w="710"/>
              <w:gridCol w:w="851"/>
              <w:gridCol w:w="992"/>
              <w:gridCol w:w="39"/>
            </w:tblGrid>
            <w:tr w:rsidR="009837D7" w:rsidRPr="00D93874" w:rsidTr="00374E76">
              <w:tc>
                <w:tcPr>
                  <w:tcW w:w="884"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tabs>
                      <w:tab w:val="left" w:pos="8775"/>
                    </w:tabs>
                    <w:jc w:val="left"/>
                    <w:rPr>
                      <w:rFonts w:cs="Arial"/>
                      <w:sz w:val="20"/>
                    </w:rPr>
                  </w:pPr>
                </w:p>
              </w:tc>
              <w:tc>
                <w:tcPr>
                  <w:tcW w:w="399" w:type="pct"/>
                  <w:tcBorders>
                    <w:top w:val="single" w:sz="4" w:space="0" w:color="BFBFBF" w:themeColor="background2"/>
                    <w:bottom w:val="single" w:sz="4" w:space="0" w:color="BFBFBF" w:themeColor="background2"/>
                  </w:tcBorders>
                  <w:shd w:val="clear" w:color="auto" w:fill="auto"/>
                  <w:tcMar>
                    <w:top w:w="28" w:type="dxa"/>
                  </w:tcMar>
                  <w:vAlign w:val="bottom"/>
                </w:tcPr>
                <w:p w:rsidR="008C487D" w:rsidRPr="00D93874" w:rsidRDefault="008C487D" w:rsidP="00FF35FF">
                  <w:pPr>
                    <w:pStyle w:val="TableColumnHeading"/>
                    <w:tabs>
                      <w:tab w:val="left" w:pos="8775"/>
                    </w:tabs>
                    <w:rPr>
                      <w:rFonts w:cs="Arial"/>
                      <w:sz w:val="20"/>
                    </w:rPr>
                  </w:pPr>
                  <w:r w:rsidRPr="00D93874">
                    <w:rPr>
                      <w:rFonts w:cs="Arial"/>
                      <w:sz w:val="20"/>
                    </w:rPr>
                    <w:t>NSW</w:t>
                  </w:r>
                </w:p>
              </w:tc>
              <w:tc>
                <w:tcPr>
                  <w:tcW w:w="402"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Vic</w:t>
                  </w:r>
                </w:p>
              </w:tc>
              <w:tc>
                <w:tcPr>
                  <w:tcW w:w="402"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Qld</w:t>
                  </w:r>
                </w:p>
              </w:tc>
              <w:tc>
                <w:tcPr>
                  <w:tcW w:w="482"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WA</w:t>
                  </w:r>
                </w:p>
              </w:tc>
              <w:tc>
                <w:tcPr>
                  <w:tcW w:w="482"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SA</w:t>
                  </w:r>
                </w:p>
              </w:tc>
              <w:tc>
                <w:tcPr>
                  <w:tcW w:w="481"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Tas</w:t>
                  </w:r>
                </w:p>
              </w:tc>
              <w:tc>
                <w:tcPr>
                  <w:tcW w:w="402"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ACT</w:t>
                  </w:r>
                </w:p>
              </w:tc>
              <w:tc>
                <w:tcPr>
                  <w:tcW w:w="482" w:type="pct"/>
                  <w:tcBorders>
                    <w:top w:val="single" w:sz="4" w:space="0" w:color="BFBFBF" w:themeColor="background2"/>
                    <w:bottom w:val="single" w:sz="4" w:space="0" w:color="BFBFBF" w:themeColor="background2"/>
                  </w:tcBorders>
                  <w:vAlign w:val="bottom"/>
                </w:tcPr>
                <w:p w:rsidR="008C487D" w:rsidRPr="00D93874" w:rsidRDefault="008C487D" w:rsidP="00FF35FF">
                  <w:pPr>
                    <w:pStyle w:val="TableColumnHeading"/>
                    <w:tabs>
                      <w:tab w:val="left" w:pos="8775"/>
                    </w:tabs>
                    <w:rPr>
                      <w:rFonts w:cs="Arial"/>
                      <w:sz w:val="20"/>
                    </w:rPr>
                  </w:pPr>
                  <w:r w:rsidRPr="00D93874">
                    <w:rPr>
                      <w:rFonts w:cs="Arial"/>
                      <w:sz w:val="20"/>
                    </w:rPr>
                    <w:t>NT</w:t>
                  </w:r>
                </w:p>
              </w:tc>
              <w:tc>
                <w:tcPr>
                  <w:tcW w:w="584" w:type="pct"/>
                  <w:gridSpan w:val="2"/>
                  <w:tcBorders>
                    <w:top w:val="single" w:sz="4" w:space="0" w:color="BFBFBF" w:themeColor="background2"/>
                    <w:bottom w:val="single" w:sz="4" w:space="0" w:color="BFBFBF" w:themeColor="background2"/>
                  </w:tcBorders>
                  <w:shd w:val="clear" w:color="auto" w:fill="auto"/>
                  <w:tcMar>
                    <w:top w:w="28" w:type="dxa"/>
                  </w:tcMar>
                  <w:vAlign w:val="bottom"/>
                </w:tcPr>
                <w:p w:rsidR="008C487D" w:rsidRPr="00D93874" w:rsidRDefault="008C487D" w:rsidP="00FF35FF">
                  <w:pPr>
                    <w:pStyle w:val="TableColumnHeading"/>
                    <w:tabs>
                      <w:tab w:val="left" w:pos="8775"/>
                    </w:tabs>
                    <w:rPr>
                      <w:rFonts w:cs="Arial"/>
                      <w:sz w:val="20"/>
                    </w:rPr>
                  </w:pPr>
                  <w:r w:rsidRPr="00D93874">
                    <w:rPr>
                      <w:rFonts w:cs="Arial"/>
                      <w:sz w:val="20"/>
                    </w:rPr>
                    <w:t>Aust</w:t>
                  </w:r>
                </w:p>
              </w:tc>
            </w:tr>
            <w:tr w:rsidR="00984111" w:rsidRPr="00D93874" w:rsidTr="00374E76">
              <w:trPr>
                <w:gridAfter w:val="2"/>
                <w:wAfter w:w="584" w:type="pct"/>
              </w:trPr>
              <w:tc>
                <w:tcPr>
                  <w:tcW w:w="4416" w:type="pct"/>
                  <w:gridSpan w:val="9"/>
                  <w:tcBorders>
                    <w:top w:val="nil"/>
                  </w:tcBorders>
                </w:tcPr>
                <w:p w:rsidR="00984111" w:rsidRPr="00D93874" w:rsidRDefault="00984111" w:rsidP="00FF35FF">
                  <w:pPr>
                    <w:pStyle w:val="TableColumnHeading"/>
                    <w:tabs>
                      <w:tab w:val="left" w:pos="8775"/>
                    </w:tabs>
                    <w:jc w:val="left"/>
                    <w:rPr>
                      <w:rFonts w:cs="Arial"/>
                      <w:sz w:val="20"/>
                    </w:rPr>
                  </w:pPr>
                  <w:r w:rsidRPr="00D93874">
                    <w:rPr>
                      <w:rFonts w:cs="Arial"/>
                      <w:sz w:val="20"/>
                    </w:rPr>
                    <w:t>Public housing</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ind w:right="284"/>
                    <w:jc w:val="left"/>
                    <w:rPr>
                      <w:rFonts w:cs="Arial"/>
                      <w:sz w:val="20"/>
                    </w:rPr>
                  </w:pPr>
                  <w:r w:rsidRPr="00D93874">
                    <w:rPr>
                      <w:rFonts w:cs="Arial"/>
                      <w:sz w:val="20"/>
                    </w:rPr>
                    <w:t>Major cities</w:t>
                  </w:r>
                </w:p>
              </w:tc>
              <w:tc>
                <w:tcPr>
                  <w:tcW w:w="399" w:type="pct"/>
                  <w:vAlign w:val="center"/>
                </w:tcPr>
                <w:p w:rsidR="008C487D" w:rsidRPr="00D93874" w:rsidRDefault="008C487D" w:rsidP="009837D7">
                  <w:pPr>
                    <w:pStyle w:val="TableBodyText"/>
                  </w:pPr>
                  <w:r w:rsidRPr="00D93874">
                    <w:t>83.4</w:t>
                  </w:r>
                </w:p>
              </w:tc>
              <w:tc>
                <w:tcPr>
                  <w:tcW w:w="402" w:type="pct"/>
                  <w:vAlign w:val="center"/>
                </w:tcPr>
                <w:p w:rsidR="008C487D" w:rsidRPr="00D93874" w:rsidRDefault="008C487D" w:rsidP="009837D7">
                  <w:pPr>
                    <w:pStyle w:val="TableBodyText"/>
                  </w:pPr>
                  <w:r w:rsidRPr="00D93874">
                    <w:t>72.8</w:t>
                  </w:r>
                </w:p>
              </w:tc>
              <w:tc>
                <w:tcPr>
                  <w:tcW w:w="402" w:type="pct"/>
                  <w:vAlign w:val="center"/>
                </w:tcPr>
                <w:p w:rsidR="008C487D" w:rsidRPr="00D93874" w:rsidRDefault="008C487D" w:rsidP="009837D7">
                  <w:pPr>
                    <w:pStyle w:val="TableBodyText"/>
                  </w:pPr>
                  <w:r w:rsidRPr="00D93874">
                    <w:t>67.8</w:t>
                  </w:r>
                </w:p>
              </w:tc>
              <w:tc>
                <w:tcPr>
                  <w:tcW w:w="482" w:type="pct"/>
                  <w:vAlign w:val="center"/>
                </w:tcPr>
                <w:p w:rsidR="008C487D" w:rsidRPr="00D93874" w:rsidRDefault="008C487D" w:rsidP="009837D7">
                  <w:pPr>
                    <w:pStyle w:val="TableBodyText"/>
                  </w:pPr>
                  <w:r w:rsidRPr="00D93874">
                    <w:t>68.7</w:t>
                  </w:r>
                </w:p>
              </w:tc>
              <w:tc>
                <w:tcPr>
                  <w:tcW w:w="482" w:type="pct"/>
                  <w:vAlign w:val="center"/>
                </w:tcPr>
                <w:p w:rsidR="008C487D" w:rsidRPr="00D93874" w:rsidRDefault="008C487D" w:rsidP="009837D7">
                  <w:pPr>
                    <w:pStyle w:val="TableBodyText"/>
                  </w:pPr>
                  <w:r w:rsidRPr="00D93874">
                    <w:t>77.6</w:t>
                  </w:r>
                </w:p>
              </w:tc>
              <w:tc>
                <w:tcPr>
                  <w:tcW w:w="481"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99.9</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73.7</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jc w:val="left"/>
                    <w:rPr>
                      <w:rFonts w:cs="Arial"/>
                      <w:sz w:val="20"/>
                    </w:rPr>
                  </w:pPr>
                  <w:r w:rsidRPr="00D93874">
                    <w:rPr>
                      <w:rFonts w:cs="Arial"/>
                      <w:sz w:val="20"/>
                    </w:rPr>
                    <w:t>Inner regional</w:t>
                  </w:r>
                </w:p>
              </w:tc>
              <w:tc>
                <w:tcPr>
                  <w:tcW w:w="399" w:type="pct"/>
                  <w:vAlign w:val="center"/>
                </w:tcPr>
                <w:p w:rsidR="008C487D" w:rsidRPr="00D93874" w:rsidRDefault="008C487D" w:rsidP="009837D7">
                  <w:pPr>
                    <w:pStyle w:val="TableBodyText"/>
                  </w:pPr>
                  <w:r w:rsidRPr="00D93874">
                    <w:t>13.0</w:t>
                  </w:r>
                </w:p>
              </w:tc>
              <w:tc>
                <w:tcPr>
                  <w:tcW w:w="402" w:type="pct"/>
                  <w:vAlign w:val="center"/>
                </w:tcPr>
                <w:p w:rsidR="008C487D" w:rsidRPr="00D93874" w:rsidRDefault="008C487D" w:rsidP="009837D7">
                  <w:pPr>
                    <w:pStyle w:val="TableBodyText"/>
                  </w:pPr>
                  <w:r w:rsidRPr="00D93874">
                    <w:t>22.2</w:t>
                  </w:r>
                </w:p>
              </w:tc>
              <w:tc>
                <w:tcPr>
                  <w:tcW w:w="402" w:type="pct"/>
                  <w:vAlign w:val="center"/>
                </w:tcPr>
                <w:p w:rsidR="008C487D" w:rsidRPr="00D93874" w:rsidRDefault="008C487D" w:rsidP="009837D7">
                  <w:pPr>
                    <w:pStyle w:val="TableBodyText"/>
                  </w:pPr>
                  <w:r w:rsidRPr="00D93874">
                    <w:t>16.0</w:t>
                  </w:r>
                </w:p>
              </w:tc>
              <w:tc>
                <w:tcPr>
                  <w:tcW w:w="482" w:type="pct"/>
                  <w:vAlign w:val="center"/>
                </w:tcPr>
                <w:p w:rsidR="008C487D" w:rsidRPr="00D93874" w:rsidRDefault="008C487D" w:rsidP="009837D7">
                  <w:pPr>
                    <w:pStyle w:val="TableBodyText"/>
                  </w:pPr>
                  <w:r w:rsidRPr="00D93874">
                    <w:t>8.2</w:t>
                  </w:r>
                </w:p>
              </w:tc>
              <w:tc>
                <w:tcPr>
                  <w:tcW w:w="482" w:type="pct"/>
                  <w:vAlign w:val="center"/>
                </w:tcPr>
                <w:p w:rsidR="008C487D" w:rsidRPr="00D93874" w:rsidRDefault="008C487D" w:rsidP="009837D7">
                  <w:pPr>
                    <w:pStyle w:val="TableBodyText"/>
                  </w:pPr>
                  <w:r w:rsidRPr="00D93874">
                    <w:t>3.9</w:t>
                  </w:r>
                </w:p>
              </w:tc>
              <w:tc>
                <w:tcPr>
                  <w:tcW w:w="481" w:type="pct"/>
                  <w:vAlign w:val="center"/>
                </w:tcPr>
                <w:p w:rsidR="008C487D" w:rsidRPr="00D93874" w:rsidRDefault="008C487D" w:rsidP="009837D7">
                  <w:pPr>
                    <w:pStyle w:val="TableBodyText"/>
                  </w:pPr>
                  <w:r w:rsidRPr="00D93874">
                    <w:t>78.0</w:t>
                  </w:r>
                </w:p>
              </w:tc>
              <w:tc>
                <w:tcPr>
                  <w:tcW w:w="402" w:type="pct"/>
                  <w:vAlign w:val="center"/>
                </w:tcPr>
                <w:p w:rsidR="008C487D" w:rsidRPr="00D93874" w:rsidRDefault="008C487D" w:rsidP="009837D7">
                  <w:pPr>
                    <w:pStyle w:val="TableBodyText"/>
                  </w:pPr>
                  <w:r w:rsidRPr="00D93874">
                    <w:t>0.1</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14.7</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jc w:val="left"/>
                    <w:rPr>
                      <w:rFonts w:cs="Arial"/>
                      <w:sz w:val="20"/>
                    </w:rPr>
                  </w:pPr>
                  <w:r w:rsidRPr="00D93874">
                    <w:rPr>
                      <w:rFonts w:cs="Arial"/>
                      <w:sz w:val="20"/>
                    </w:rPr>
                    <w:t>Outer regional</w:t>
                  </w:r>
                </w:p>
              </w:tc>
              <w:tc>
                <w:tcPr>
                  <w:tcW w:w="399" w:type="pct"/>
                  <w:vAlign w:val="center"/>
                </w:tcPr>
                <w:p w:rsidR="008C487D" w:rsidRPr="00D93874" w:rsidRDefault="008C487D" w:rsidP="009837D7">
                  <w:pPr>
                    <w:pStyle w:val="TableBodyText"/>
                  </w:pPr>
                  <w:r w:rsidRPr="00D93874">
                    <w:t>3.0</w:t>
                  </w:r>
                </w:p>
              </w:tc>
              <w:tc>
                <w:tcPr>
                  <w:tcW w:w="402" w:type="pct"/>
                  <w:vAlign w:val="center"/>
                </w:tcPr>
                <w:p w:rsidR="008C487D" w:rsidRPr="00D93874" w:rsidRDefault="008C487D" w:rsidP="009837D7">
                  <w:pPr>
                    <w:pStyle w:val="TableBodyText"/>
                  </w:pPr>
                  <w:r w:rsidRPr="00D93874">
                    <w:t>5.0</w:t>
                  </w:r>
                </w:p>
              </w:tc>
              <w:tc>
                <w:tcPr>
                  <w:tcW w:w="402" w:type="pct"/>
                  <w:vAlign w:val="center"/>
                </w:tcPr>
                <w:p w:rsidR="008C487D" w:rsidRPr="00D93874" w:rsidRDefault="008C487D" w:rsidP="009837D7">
                  <w:pPr>
                    <w:pStyle w:val="TableBodyText"/>
                  </w:pPr>
                  <w:r w:rsidRPr="00D93874">
                    <w:t>14.1</w:t>
                  </w:r>
                </w:p>
              </w:tc>
              <w:tc>
                <w:tcPr>
                  <w:tcW w:w="482" w:type="pct"/>
                  <w:vAlign w:val="center"/>
                </w:tcPr>
                <w:p w:rsidR="008C487D" w:rsidRPr="00D93874" w:rsidRDefault="008C487D" w:rsidP="009837D7">
                  <w:pPr>
                    <w:pStyle w:val="TableBodyText"/>
                  </w:pPr>
                  <w:r w:rsidRPr="00D93874">
                    <w:t>10.3</w:t>
                  </w:r>
                </w:p>
              </w:tc>
              <w:tc>
                <w:tcPr>
                  <w:tcW w:w="482" w:type="pct"/>
                  <w:vAlign w:val="center"/>
                </w:tcPr>
                <w:p w:rsidR="008C487D" w:rsidRPr="00D93874" w:rsidRDefault="008C487D" w:rsidP="009837D7">
                  <w:pPr>
                    <w:pStyle w:val="TableBodyText"/>
                  </w:pPr>
                  <w:r w:rsidRPr="00D93874">
                    <w:t>16.4</w:t>
                  </w:r>
                </w:p>
              </w:tc>
              <w:tc>
                <w:tcPr>
                  <w:tcW w:w="481" w:type="pct"/>
                  <w:vAlign w:val="center"/>
                </w:tcPr>
                <w:p w:rsidR="008C487D" w:rsidRPr="00D93874" w:rsidRDefault="008C487D" w:rsidP="009837D7">
                  <w:pPr>
                    <w:pStyle w:val="TableBodyText"/>
                  </w:pPr>
                  <w:r w:rsidRPr="00D93874">
                    <w:t>21.2</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69.6</w:t>
                  </w:r>
                </w:p>
              </w:tc>
              <w:tc>
                <w:tcPr>
                  <w:tcW w:w="562" w:type="pct"/>
                  <w:vAlign w:val="center"/>
                </w:tcPr>
                <w:p w:rsidR="008C487D" w:rsidRPr="00D93874" w:rsidRDefault="008C487D" w:rsidP="009837D7">
                  <w:pPr>
                    <w:pStyle w:val="TableBodyText"/>
                  </w:pPr>
                  <w:r w:rsidRPr="00D93874">
                    <w:t>9.0</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jc w:val="left"/>
                    <w:rPr>
                      <w:rFonts w:cs="Arial"/>
                      <w:sz w:val="20"/>
                    </w:rPr>
                  </w:pPr>
                  <w:r w:rsidRPr="00D93874">
                    <w:rPr>
                      <w:rFonts w:cs="Arial"/>
                      <w:sz w:val="20"/>
                    </w:rPr>
                    <w:t>Remote</w:t>
                  </w:r>
                </w:p>
              </w:tc>
              <w:tc>
                <w:tcPr>
                  <w:tcW w:w="399" w:type="pct"/>
                  <w:vAlign w:val="center"/>
                </w:tcPr>
                <w:p w:rsidR="008C487D" w:rsidRPr="00D93874" w:rsidRDefault="008C487D" w:rsidP="009837D7">
                  <w:pPr>
                    <w:pStyle w:val="TableBodyText"/>
                  </w:pPr>
                  <w:r w:rsidRPr="00D93874">
                    <w:t>0.2</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1.4</w:t>
                  </w:r>
                </w:p>
              </w:tc>
              <w:tc>
                <w:tcPr>
                  <w:tcW w:w="482" w:type="pct"/>
                  <w:vAlign w:val="center"/>
                </w:tcPr>
                <w:p w:rsidR="008C487D" w:rsidRPr="00D93874" w:rsidRDefault="008C487D" w:rsidP="009837D7">
                  <w:pPr>
                    <w:pStyle w:val="TableBodyText"/>
                  </w:pPr>
                  <w:r w:rsidRPr="00D93874">
                    <w:t>8.4</w:t>
                  </w:r>
                </w:p>
              </w:tc>
              <w:tc>
                <w:tcPr>
                  <w:tcW w:w="482" w:type="pct"/>
                  <w:vAlign w:val="center"/>
                </w:tcPr>
                <w:p w:rsidR="008C487D" w:rsidRPr="00D93874" w:rsidRDefault="008C487D" w:rsidP="009837D7">
                  <w:pPr>
                    <w:pStyle w:val="TableBodyText"/>
                  </w:pPr>
                  <w:r w:rsidRPr="00D93874">
                    <w:t>1.8</w:t>
                  </w:r>
                </w:p>
              </w:tc>
              <w:tc>
                <w:tcPr>
                  <w:tcW w:w="481" w:type="pct"/>
                  <w:vAlign w:val="center"/>
                </w:tcPr>
                <w:p w:rsidR="008C487D" w:rsidRPr="00D93874" w:rsidRDefault="008C487D" w:rsidP="009837D7">
                  <w:pPr>
                    <w:pStyle w:val="TableBodyText"/>
                  </w:pPr>
                  <w:r w:rsidRPr="00D93874">
                    <w:t>0.6</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26.9</w:t>
                  </w:r>
                </w:p>
              </w:tc>
              <w:tc>
                <w:tcPr>
                  <w:tcW w:w="562" w:type="pct"/>
                  <w:vAlign w:val="center"/>
                </w:tcPr>
                <w:p w:rsidR="008C487D" w:rsidRPr="00D93874" w:rsidRDefault="008C487D" w:rsidP="009837D7">
                  <w:pPr>
                    <w:pStyle w:val="TableBodyText"/>
                  </w:pPr>
                  <w:r w:rsidRPr="00D93874">
                    <w:t>1.8</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jc w:val="left"/>
                    <w:rPr>
                      <w:rFonts w:cs="Arial"/>
                      <w:sz w:val="20"/>
                    </w:rPr>
                  </w:pPr>
                  <w:r w:rsidRPr="00D93874">
                    <w:rPr>
                      <w:rFonts w:cs="Arial"/>
                      <w:sz w:val="20"/>
                    </w:rPr>
                    <w:t>Very remote</w:t>
                  </w:r>
                </w:p>
              </w:tc>
              <w:tc>
                <w:tcPr>
                  <w:tcW w:w="399" w:type="pct"/>
                  <w:vAlign w:val="center"/>
                </w:tcPr>
                <w:p w:rsidR="008C487D" w:rsidRPr="00D93874" w:rsidRDefault="008C487D" w:rsidP="009837D7">
                  <w:pPr>
                    <w:pStyle w:val="TableBodyText"/>
                  </w:pPr>
                  <w:r w:rsidRPr="00D93874">
                    <w:t>0.1</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0.6</w:t>
                  </w:r>
                </w:p>
              </w:tc>
              <w:tc>
                <w:tcPr>
                  <w:tcW w:w="482" w:type="pct"/>
                  <w:vAlign w:val="center"/>
                </w:tcPr>
                <w:p w:rsidR="008C487D" w:rsidRPr="00D93874" w:rsidRDefault="008C487D" w:rsidP="009837D7">
                  <w:pPr>
                    <w:pStyle w:val="TableBodyText"/>
                  </w:pPr>
                  <w:r w:rsidRPr="00D93874">
                    <w:t>4.4</w:t>
                  </w:r>
                </w:p>
              </w:tc>
              <w:tc>
                <w:tcPr>
                  <w:tcW w:w="482" w:type="pct"/>
                  <w:vAlign w:val="center"/>
                </w:tcPr>
                <w:p w:rsidR="008C487D" w:rsidRPr="00D93874" w:rsidRDefault="008C487D" w:rsidP="009837D7">
                  <w:pPr>
                    <w:pStyle w:val="TableBodyText"/>
                  </w:pPr>
                  <w:r w:rsidRPr="00D93874">
                    <w:t>0.2</w:t>
                  </w:r>
                </w:p>
              </w:tc>
              <w:tc>
                <w:tcPr>
                  <w:tcW w:w="481" w:type="pct"/>
                  <w:vAlign w:val="center"/>
                </w:tcPr>
                <w:p w:rsidR="008C487D" w:rsidRPr="00D93874" w:rsidRDefault="008C487D" w:rsidP="009837D7">
                  <w:pPr>
                    <w:pStyle w:val="TableBodyText"/>
                  </w:pPr>
                  <w:r w:rsidRPr="00D93874">
                    <w:t>0.1</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3.5</w:t>
                  </w:r>
                </w:p>
              </w:tc>
              <w:tc>
                <w:tcPr>
                  <w:tcW w:w="562" w:type="pct"/>
                  <w:vAlign w:val="center"/>
                </w:tcPr>
                <w:p w:rsidR="008C487D" w:rsidRPr="00D93874" w:rsidRDefault="008C487D" w:rsidP="009837D7">
                  <w:pPr>
                    <w:pStyle w:val="TableBodyText"/>
                  </w:pPr>
                  <w:r w:rsidRPr="00D93874">
                    <w:t>0.7</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jc w:val="left"/>
                    <w:rPr>
                      <w:rFonts w:cs="Arial"/>
                      <w:b/>
                      <w:sz w:val="20"/>
                    </w:rPr>
                  </w:pPr>
                  <w:r w:rsidRPr="00D93874">
                    <w:rPr>
                      <w:rFonts w:cs="Arial"/>
                      <w:b/>
                      <w:sz w:val="20"/>
                    </w:rPr>
                    <w:t>Total</w:t>
                  </w:r>
                </w:p>
              </w:tc>
              <w:tc>
                <w:tcPr>
                  <w:tcW w:w="399" w:type="pct"/>
                  <w:vAlign w:val="bottom"/>
                </w:tcPr>
                <w:p w:rsidR="008C487D" w:rsidRPr="00D93874" w:rsidRDefault="008C487D" w:rsidP="009837D7">
                  <w:pPr>
                    <w:pStyle w:val="TableBodyText"/>
                    <w:rPr>
                      <w:b/>
                      <w:color w:val="000000"/>
                    </w:rPr>
                  </w:pPr>
                  <w:r w:rsidRPr="00D93874">
                    <w:rPr>
                      <w:b/>
                      <w:color w:val="000000"/>
                    </w:rPr>
                    <w:t>100.0</w:t>
                  </w:r>
                </w:p>
              </w:tc>
              <w:tc>
                <w:tcPr>
                  <w:tcW w:w="402" w:type="pct"/>
                  <w:vAlign w:val="bottom"/>
                </w:tcPr>
                <w:p w:rsidR="008C487D" w:rsidRPr="00D93874" w:rsidRDefault="008C487D" w:rsidP="009837D7">
                  <w:pPr>
                    <w:pStyle w:val="TableBodyText"/>
                    <w:rPr>
                      <w:b/>
                      <w:color w:val="000000"/>
                    </w:rPr>
                  </w:pPr>
                  <w:r w:rsidRPr="00D93874">
                    <w:rPr>
                      <w:b/>
                      <w:color w:val="000000"/>
                    </w:rPr>
                    <w:t>100.0</w:t>
                  </w:r>
                </w:p>
              </w:tc>
              <w:tc>
                <w:tcPr>
                  <w:tcW w:w="402" w:type="pct"/>
                  <w:vAlign w:val="bottom"/>
                </w:tcPr>
                <w:p w:rsidR="008C487D" w:rsidRPr="00D93874" w:rsidRDefault="008C487D" w:rsidP="009837D7">
                  <w:pPr>
                    <w:pStyle w:val="TableBodyText"/>
                    <w:rPr>
                      <w:b/>
                      <w:color w:val="000000"/>
                    </w:rPr>
                  </w:pPr>
                  <w:r w:rsidRPr="00D93874">
                    <w:rPr>
                      <w:b/>
                      <w:color w:val="000000"/>
                    </w:rPr>
                    <w:t>100.0</w:t>
                  </w:r>
                </w:p>
              </w:tc>
              <w:tc>
                <w:tcPr>
                  <w:tcW w:w="482" w:type="pct"/>
                  <w:vAlign w:val="bottom"/>
                </w:tcPr>
                <w:p w:rsidR="008C487D" w:rsidRPr="00D93874" w:rsidRDefault="008C487D" w:rsidP="009837D7">
                  <w:pPr>
                    <w:pStyle w:val="TableBodyText"/>
                    <w:rPr>
                      <w:b/>
                      <w:color w:val="000000"/>
                    </w:rPr>
                  </w:pPr>
                  <w:r w:rsidRPr="00D93874">
                    <w:rPr>
                      <w:b/>
                      <w:color w:val="000000"/>
                    </w:rPr>
                    <w:t>100.0</w:t>
                  </w:r>
                </w:p>
              </w:tc>
              <w:tc>
                <w:tcPr>
                  <w:tcW w:w="482" w:type="pct"/>
                  <w:vAlign w:val="bottom"/>
                </w:tcPr>
                <w:p w:rsidR="008C487D" w:rsidRPr="00D93874" w:rsidRDefault="008C487D" w:rsidP="009837D7">
                  <w:pPr>
                    <w:pStyle w:val="TableBodyText"/>
                    <w:rPr>
                      <w:b/>
                    </w:rPr>
                  </w:pPr>
                  <w:r w:rsidRPr="00D93874">
                    <w:rPr>
                      <w:b/>
                    </w:rPr>
                    <w:t>100.0</w:t>
                  </w:r>
                </w:p>
              </w:tc>
              <w:tc>
                <w:tcPr>
                  <w:tcW w:w="481" w:type="pct"/>
                  <w:vAlign w:val="bottom"/>
                </w:tcPr>
                <w:p w:rsidR="008C487D" w:rsidRPr="00D93874" w:rsidRDefault="008C487D" w:rsidP="009837D7">
                  <w:pPr>
                    <w:pStyle w:val="TableBodyText"/>
                    <w:rPr>
                      <w:b/>
                    </w:rPr>
                  </w:pPr>
                  <w:r w:rsidRPr="00D93874">
                    <w:rPr>
                      <w:b/>
                    </w:rPr>
                    <w:t>100.0</w:t>
                  </w:r>
                </w:p>
              </w:tc>
              <w:tc>
                <w:tcPr>
                  <w:tcW w:w="402" w:type="pct"/>
                  <w:vAlign w:val="bottom"/>
                </w:tcPr>
                <w:p w:rsidR="008C487D" w:rsidRPr="00D93874" w:rsidRDefault="008C487D" w:rsidP="009837D7">
                  <w:pPr>
                    <w:pStyle w:val="TableBodyText"/>
                    <w:rPr>
                      <w:b/>
                      <w:color w:val="000000"/>
                    </w:rPr>
                  </w:pPr>
                  <w:r w:rsidRPr="00D93874">
                    <w:rPr>
                      <w:b/>
                      <w:color w:val="000000"/>
                    </w:rPr>
                    <w:t>100.0</w:t>
                  </w:r>
                </w:p>
              </w:tc>
              <w:tc>
                <w:tcPr>
                  <w:tcW w:w="482" w:type="pct"/>
                  <w:vAlign w:val="bottom"/>
                </w:tcPr>
                <w:p w:rsidR="008C487D" w:rsidRPr="00D93874" w:rsidRDefault="008C487D" w:rsidP="009837D7">
                  <w:pPr>
                    <w:pStyle w:val="TableBodyText"/>
                    <w:rPr>
                      <w:b/>
                    </w:rPr>
                  </w:pPr>
                  <w:r w:rsidRPr="00D93874">
                    <w:rPr>
                      <w:b/>
                    </w:rPr>
                    <w:t>100.0</w:t>
                  </w:r>
                </w:p>
              </w:tc>
              <w:tc>
                <w:tcPr>
                  <w:tcW w:w="562" w:type="pct"/>
                  <w:vAlign w:val="bottom"/>
                </w:tcPr>
                <w:p w:rsidR="008C487D" w:rsidRPr="00D93874" w:rsidRDefault="008C487D" w:rsidP="009837D7">
                  <w:pPr>
                    <w:pStyle w:val="TableBodyText"/>
                    <w:rPr>
                      <w:b/>
                    </w:rPr>
                  </w:pPr>
                  <w:r w:rsidRPr="00D93874">
                    <w:rPr>
                      <w:b/>
                    </w:rPr>
                    <w:t>100.0</w:t>
                  </w:r>
                </w:p>
              </w:tc>
            </w:tr>
            <w:tr w:rsidR="008C487D" w:rsidRPr="00D93874" w:rsidTr="009837D7">
              <w:trPr>
                <w:gridAfter w:val="2"/>
                <w:wAfter w:w="584" w:type="pct"/>
              </w:trPr>
              <w:tc>
                <w:tcPr>
                  <w:tcW w:w="4416" w:type="pct"/>
                  <w:gridSpan w:val="9"/>
                </w:tcPr>
                <w:p w:rsidR="008C487D" w:rsidRPr="00D93874" w:rsidRDefault="008C487D" w:rsidP="00FF35FF">
                  <w:pPr>
                    <w:pStyle w:val="TableColumnHeading"/>
                    <w:tabs>
                      <w:tab w:val="left" w:pos="8775"/>
                    </w:tabs>
                    <w:jc w:val="left"/>
                    <w:rPr>
                      <w:rFonts w:cs="Arial"/>
                      <w:sz w:val="20"/>
                    </w:rPr>
                  </w:pPr>
                  <w:r w:rsidRPr="00D93874">
                    <w:rPr>
                      <w:rFonts w:cs="Arial"/>
                      <w:sz w:val="20"/>
                    </w:rPr>
                    <w:t>SOMIH</w:t>
                  </w:r>
                </w:p>
              </w:tc>
            </w:tr>
            <w:tr w:rsidR="009837D7" w:rsidRPr="00D93874" w:rsidTr="00984111">
              <w:trPr>
                <w:gridAfter w:val="1"/>
                <w:wAfter w:w="22" w:type="pct"/>
              </w:trPr>
              <w:tc>
                <w:tcPr>
                  <w:tcW w:w="884" w:type="pct"/>
                  <w:vAlign w:val="bottom"/>
                </w:tcPr>
                <w:p w:rsidR="008C487D" w:rsidRPr="00D93874" w:rsidRDefault="008C487D" w:rsidP="00FF35FF">
                  <w:pPr>
                    <w:pStyle w:val="TableBodyText"/>
                    <w:tabs>
                      <w:tab w:val="left" w:pos="8775"/>
                    </w:tabs>
                    <w:jc w:val="left"/>
                    <w:rPr>
                      <w:rFonts w:cs="Arial"/>
                      <w:color w:val="000000" w:themeColor="text1"/>
                      <w:sz w:val="20"/>
                    </w:rPr>
                  </w:pPr>
                  <w:r w:rsidRPr="00D93874">
                    <w:rPr>
                      <w:rFonts w:cs="Arial"/>
                      <w:color w:val="000000" w:themeColor="text1"/>
                      <w:sz w:val="20"/>
                    </w:rPr>
                    <w:t>Major cities</w:t>
                  </w:r>
                </w:p>
              </w:tc>
              <w:tc>
                <w:tcPr>
                  <w:tcW w:w="399" w:type="pct"/>
                  <w:vAlign w:val="center"/>
                </w:tcPr>
                <w:p w:rsidR="008C487D" w:rsidRPr="00D93874" w:rsidRDefault="008C487D" w:rsidP="009837D7">
                  <w:pPr>
                    <w:pStyle w:val="TableBodyText"/>
                  </w:pPr>
                  <w:r w:rsidRPr="00D93874">
                    <w:t>44.7</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13.4</w:t>
                  </w:r>
                </w:p>
              </w:tc>
              <w:tc>
                <w:tcPr>
                  <w:tcW w:w="48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61.4</w:t>
                  </w:r>
                </w:p>
              </w:tc>
              <w:tc>
                <w:tcPr>
                  <w:tcW w:w="481"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36.0</w:t>
                  </w:r>
                  <w:r w:rsidR="009837D7" w:rsidRPr="00D93874">
                    <w:t xml:space="preserve"> </w:t>
                  </w:r>
                </w:p>
              </w:tc>
            </w:tr>
            <w:tr w:rsidR="009837D7" w:rsidRPr="00D93874" w:rsidTr="00984111">
              <w:trPr>
                <w:gridAfter w:val="1"/>
                <w:wAfter w:w="22" w:type="pct"/>
              </w:trPr>
              <w:tc>
                <w:tcPr>
                  <w:tcW w:w="884" w:type="pct"/>
                  <w:vAlign w:val="bottom"/>
                </w:tcPr>
                <w:p w:rsidR="008C487D" w:rsidRPr="00D93874" w:rsidRDefault="008C487D" w:rsidP="00FF35FF">
                  <w:pPr>
                    <w:pStyle w:val="TableBodyText"/>
                    <w:tabs>
                      <w:tab w:val="left" w:pos="8775"/>
                    </w:tabs>
                    <w:jc w:val="left"/>
                    <w:rPr>
                      <w:rFonts w:cs="Arial"/>
                      <w:color w:val="000000" w:themeColor="text1"/>
                      <w:sz w:val="20"/>
                    </w:rPr>
                  </w:pPr>
                  <w:r w:rsidRPr="00D93874">
                    <w:rPr>
                      <w:rFonts w:cs="Arial"/>
                      <w:color w:val="000000" w:themeColor="text1"/>
                      <w:sz w:val="20"/>
                    </w:rPr>
                    <w:t>Inner regional</w:t>
                  </w:r>
                </w:p>
              </w:tc>
              <w:tc>
                <w:tcPr>
                  <w:tcW w:w="399" w:type="pct"/>
                  <w:vAlign w:val="center"/>
                </w:tcPr>
                <w:p w:rsidR="008C487D" w:rsidRPr="00D93874" w:rsidRDefault="008C487D" w:rsidP="009837D7">
                  <w:pPr>
                    <w:pStyle w:val="TableBodyText"/>
                  </w:pPr>
                  <w:r w:rsidRPr="00D93874">
                    <w:t>31.6</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18.4</w:t>
                  </w:r>
                </w:p>
              </w:tc>
              <w:tc>
                <w:tcPr>
                  <w:tcW w:w="48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6.8</w:t>
                  </w:r>
                </w:p>
              </w:tc>
              <w:tc>
                <w:tcPr>
                  <w:tcW w:w="481" w:type="pct"/>
                  <w:vAlign w:val="center"/>
                </w:tcPr>
                <w:p w:rsidR="008C487D" w:rsidRPr="00D93874" w:rsidRDefault="008C487D" w:rsidP="009837D7">
                  <w:pPr>
                    <w:pStyle w:val="TableBodyText"/>
                  </w:pPr>
                  <w:r w:rsidRPr="00D93874">
                    <w:t>88.0</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24.3</w:t>
                  </w:r>
                </w:p>
              </w:tc>
            </w:tr>
            <w:tr w:rsidR="009837D7" w:rsidRPr="00D93874" w:rsidTr="00984111">
              <w:trPr>
                <w:gridAfter w:val="1"/>
                <w:wAfter w:w="22" w:type="pct"/>
              </w:trPr>
              <w:tc>
                <w:tcPr>
                  <w:tcW w:w="884" w:type="pct"/>
                  <w:vAlign w:val="bottom"/>
                </w:tcPr>
                <w:p w:rsidR="008C487D" w:rsidRPr="00D93874" w:rsidRDefault="008C487D" w:rsidP="00FF35FF">
                  <w:pPr>
                    <w:pStyle w:val="TableBodyText"/>
                    <w:tabs>
                      <w:tab w:val="left" w:pos="8775"/>
                    </w:tabs>
                    <w:jc w:val="left"/>
                    <w:rPr>
                      <w:rFonts w:cs="Arial"/>
                      <w:color w:val="000000" w:themeColor="text1"/>
                      <w:sz w:val="20"/>
                    </w:rPr>
                  </w:pPr>
                  <w:r w:rsidRPr="00D93874">
                    <w:rPr>
                      <w:rFonts w:cs="Arial"/>
                      <w:color w:val="000000" w:themeColor="text1"/>
                      <w:sz w:val="20"/>
                    </w:rPr>
                    <w:t>Outer regional</w:t>
                  </w:r>
                </w:p>
              </w:tc>
              <w:tc>
                <w:tcPr>
                  <w:tcW w:w="399" w:type="pct"/>
                  <w:vAlign w:val="center"/>
                </w:tcPr>
                <w:p w:rsidR="008C487D" w:rsidRPr="00D93874" w:rsidRDefault="008C487D" w:rsidP="009837D7">
                  <w:pPr>
                    <w:pStyle w:val="TableBodyText"/>
                  </w:pPr>
                  <w:r w:rsidRPr="00D93874">
                    <w:t>17.4</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39.4</w:t>
                  </w:r>
                </w:p>
              </w:tc>
              <w:tc>
                <w:tcPr>
                  <w:tcW w:w="48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18.6</w:t>
                  </w:r>
                </w:p>
              </w:tc>
              <w:tc>
                <w:tcPr>
                  <w:tcW w:w="481" w:type="pct"/>
                  <w:vAlign w:val="center"/>
                </w:tcPr>
                <w:p w:rsidR="008C487D" w:rsidRPr="00D93874" w:rsidRDefault="008C487D" w:rsidP="009837D7">
                  <w:pPr>
                    <w:pStyle w:val="TableBodyText"/>
                  </w:pPr>
                  <w:r w:rsidRPr="00D93874">
                    <w:t>12.0</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24.8</w:t>
                  </w:r>
                </w:p>
              </w:tc>
            </w:tr>
            <w:tr w:rsidR="009837D7" w:rsidRPr="00D93874" w:rsidTr="00984111">
              <w:trPr>
                <w:gridAfter w:val="1"/>
                <w:wAfter w:w="22" w:type="pct"/>
              </w:trPr>
              <w:tc>
                <w:tcPr>
                  <w:tcW w:w="884" w:type="pct"/>
                  <w:vAlign w:val="bottom"/>
                </w:tcPr>
                <w:p w:rsidR="008C487D" w:rsidRPr="00D93874" w:rsidRDefault="008C487D" w:rsidP="00FF35FF">
                  <w:pPr>
                    <w:pStyle w:val="TableBodyText"/>
                    <w:tabs>
                      <w:tab w:val="left" w:pos="8775"/>
                    </w:tabs>
                    <w:jc w:val="left"/>
                    <w:rPr>
                      <w:rFonts w:cs="Arial"/>
                      <w:color w:val="000000" w:themeColor="text1"/>
                      <w:sz w:val="20"/>
                    </w:rPr>
                  </w:pPr>
                  <w:r w:rsidRPr="00D93874">
                    <w:rPr>
                      <w:rFonts w:cs="Arial"/>
                      <w:color w:val="000000" w:themeColor="text1"/>
                      <w:sz w:val="20"/>
                    </w:rPr>
                    <w:t>Remote</w:t>
                  </w:r>
                </w:p>
              </w:tc>
              <w:tc>
                <w:tcPr>
                  <w:tcW w:w="399" w:type="pct"/>
                  <w:vAlign w:val="center"/>
                </w:tcPr>
                <w:p w:rsidR="008C487D" w:rsidRPr="00D93874" w:rsidRDefault="008C487D" w:rsidP="009837D7">
                  <w:pPr>
                    <w:pStyle w:val="TableBodyText"/>
                  </w:pPr>
                  <w:r w:rsidRPr="00D93874">
                    <w:t>4.6</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9.0</w:t>
                  </w:r>
                </w:p>
              </w:tc>
              <w:tc>
                <w:tcPr>
                  <w:tcW w:w="48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5.2</w:t>
                  </w:r>
                </w:p>
              </w:tc>
              <w:tc>
                <w:tcPr>
                  <w:tcW w:w="481"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6.1</w:t>
                  </w:r>
                </w:p>
              </w:tc>
            </w:tr>
            <w:tr w:rsidR="009837D7" w:rsidRPr="00D93874" w:rsidTr="00984111">
              <w:trPr>
                <w:gridAfter w:val="1"/>
                <w:wAfter w:w="22" w:type="pct"/>
              </w:trPr>
              <w:tc>
                <w:tcPr>
                  <w:tcW w:w="884" w:type="pct"/>
                  <w:vAlign w:val="bottom"/>
                </w:tcPr>
                <w:p w:rsidR="008C487D" w:rsidRPr="00D93874" w:rsidRDefault="008C487D" w:rsidP="00FF35FF">
                  <w:pPr>
                    <w:pStyle w:val="TableBodyText"/>
                    <w:tabs>
                      <w:tab w:val="left" w:pos="8775"/>
                    </w:tabs>
                    <w:jc w:val="left"/>
                    <w:rPr>
                      <w:rFonts w:cs="Arial"/>
                      <w:color w:val="000000" w:themeColor="text1"/>
                      <w:sz w:val="20"/>
                    </w:rPr>
                  </w:pPr>
                  <w:r w:rsidRPr="00D93874">
                    <w:rPr>
                      <w:rFonts w:cs="Arial"/>
                      <w:color w:val="000000" w:themeColor="text1"/>
                      <w:sz w:val="20"/>
                    </w:rPr>
                    <w:t>Very remote</w:t>
                  </w:r>
                </w:p>
              </w:tc>
              <w:tc>
                <w:tcPr>
                  <w:tcW w:w="399" w:type="pct"/>
                  <w:vAlign w:val="center"/>
                </w:tcPr>
                <w:p w:rsidR="008C487D" w:rsidRPr="00D93874" w:rsidRDefault="008C487D" w:rsidP="009837D7">
                  <w:pPr>
                    <w:pStyle w:val="TableBodyText"/>
                  </w:pPr>
                  <w:r w:rsidRPr="00D93874">
                    <w:t>1.8</w:t>
                  </w:r>
                </w:p>
              </w:tc>
              <w:tc>
                <w:tcPr>
                  <w:tcW w:w="402"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19.7</w:t>
                  </w:r>
                </w:p>
              </w:tc>
              <w:tc>
                <w:tcPr>
                  <w:tcW w:w="48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8.0</w:t>
                  </w:r>
                </w:p>
              </w:tc>
              <w:tc>
                <w:tcPr>
                  <w:tcW w:w="481" w:type="pct"/>
                  <w:vAlign w:val="center"/>
                </w:tcPr>
                <w:p w:rsidR="008C487D" w:rsidRPr="00D93874" w:rsidRDefault="008C487D" w:rsidP="009837D7">
                  <w:pPr>
                    <w:pStyle w:val="TableBodyText"/>
                  </w:pPr>
                  <w:r w:rsidRPr="00D93874">
                    <w:t>–</w:t>
                  </w:r>
                </w:p>
              </w:tc>
              <w:tc>
                <w:tcPr>
                  <w:tcW w:w="402" w:type="pct"/>
                  <w:vAlign w:val="center"/>
                </w:tcPr>
                <w:p w:rsidR="008C487D" w:rsidRPr="00D93874" w:rsidRDefault="008C487D" w:rsidP="009837D7">
                  <w:pPr>
                    <w:pStyle w:val="TableBodyText"/>
                  </w:pPr>
                  <w:r w:rsidRPr="00D93874">
                    <w:t>..</w:t>
                  </w:r>
                </w:p>
              </w:tc>
              <w:tc>
                <w:tcPr>
                  <w:tcW w:w="482" w:type="pct"/>
                  <w:vAlign w:val="center"/>
                </w:tcPr>
                <w:p w:rsidR="008C487D" w:rsidRPr="00D93874" w:rsidRDefault="008C487D" w:rsidP="009837D7">
                  <w:pPr>
                    <w:pStyle w:val="TableBodyText"/>
                  </w:pPr>
                  <w:r w:rsidRPr="00D93874">
                    <w:t>..</w:t>
                  </w:r>
                </w:p>
              </w:tc>
              <w:tc>
                <w:tcPr>
                  <w:tcW w:w="562" w:type="pct"/>
                  <w:vAlign w:val="center"/>
                </w:tcPr>
                <w:p w:rsidR="008C487D" w:rsidRPr="00D93874" w:rsidRDefault="008C487D" w:rsidP="009837D7">
                  <w:pPr>
                    <w:pStyle w:val="TableBodyText"/>
                  </w:pPr>
                  <w:r w:rsidRPr="00D93874">
                    <w:t>8.8</w:t>
                  </w:r>
                </w:p>
              </w:tc>
            </w:tr>
            <w:tr w:rsidR="009837D7" w:rsidRPr="00D93874" w:rsidTr="00984111">
              <w:trPr>
                <w:gridAfter w:val="1"/>
                <w:wAfter w:w="22" w:type="pct"/>
              </w:trPr>
              <w:tc>
                <w:tcPr>
                  <w:tcW w:w="884" w:type="pct"/>
                </w:tcPr>
                <w:p w:rsidR="008C487D" w:rsidRPr="00D93874" w:rsidRDefault="008C487D" w:rsidP="00FF35FF">
                  <w:pPr>
                    <w:pStyle w:val="TableBodyText"/>
                    <w:tabs>
                      <w:tab w:val="left" w:pos="8775"/>
                    </w:tabs>
                    <w:jc w:val="left"/>
                    <w:rPr>
                      <w:rFonts w:cs="Arial"/>
                      <w:b/>
                      <w:sz w:val="20"/>
                    </w:rPr>
                  </w:pPr>
                  <w:r w:rsidRPr="00D93874">
                    <w:rPr>
                      <w:rFonts w:cs="Arial"/>
                      <w:b/>
                      <w:sz w:val="20"/>
                    </w:rPr>
                    <w:t>Total</w:t>
                  </w:r>
                </w:p>
              </w:tc>
              <w:tc>
                <w:tcPr>
                  <w:tcW w:w="399" w:type="pct"/>
                  <w:vAlign w:val="bottom"/>
                </w:tcPr>
                <w:p w:rsidR="008C487D" w:rsidRPr="00D93874" w:rsidRDefault="008C487D" w:rsidP="009837D7">
                  <w:pPr>
                    <w:pStyle w:val="TableBodyText"/>
                    <w:rPr>
                      <w:b/>
                    </w:rPr>
                  </w:pPr>
                  <w:r w:rsidRPr="00D93874">
                    <w:rPr>
                      <w:b/>
                    </w:rPr>
                    <w:t>100.0</w:t>
                  </w:r>
                </w:p>
              </w:tc>
              <w:tc>
                <w:tcPr>
                  <w:tcW w:w="402" w:type="pct"/>
                  <w:vAlign w:val="bottom"/>
                </w:tcPr>
                <w:p w:rsidR="008C487D" w:rsidRPr="00D93874" w:rsidRDefault="008C487D" w:rsidP="009837D7">
                  <w:pPr>
                    <w:pStyle w:val="TableBodyText"/>
                    <w:rPr>
                      <w:b/>
                    </w:rPr>
                  </w:pPr>
                  <w:r w:rsidRPr="00D93874">
                    <w:rPr>
                      <w:b/>
                    </w:rPr>
                    <w:t>100.0</w:t>
                  </w:r>
                </w:p>
              </w:tc>
              <w:tc>
                <w:tcPr>
                  <w:tcW w:w="402" w:type="pct"/>
                  <w:vAlign w:val="bottom"/>
                </w:tcPr>
                <w:p w:rsidR="008C487D" w:rsidRPr="00D93874" w:rsidRDefault="008C487D" w:rsidP="009837D7">
                  <w:pPr>
                    <w:pStyle w:val="TableBodyText"/>
                    <w:rPr>
                      <w:b/>
                    </w:rPr>
                  </w:pPr>
                  <w:r w:rsidRPr="00D93874">
                    <w:rPr>
                      <w:b/>
                    </w:rPr>
                    <w:t>100.0</w:t>
                  </w:r>
                </w:p>
              </w:tc>
              <w:tc>
                <w:tcPr>
                  <w:tcW w:w="482" w:type="pct"/>
                  <w:vAlign w:val="bottom"/>
                </w:tcPr>
                <w:p w:rsidR="008C487D" w:rsidRPr="00D93874" w:rsidRDefault="008C487D" w:rsidP="009837D7">
                  <w:pPr>
                    <w:pStyle w:val="TableBodyText"/>
                    <w:rPr>
                      <w:b/>
                    </w:rPr>
                  </w:pPr>
                  <w:r w:rsidRPr="00D93874">
                    <w:rPr>
                      <w:b/>
                    </w:rPr>
                    <w:t>100.0</w:t>
                  </w:r>
                </w:p>
              </w:tc>
              <w:tc>
                <w:tcPr>
                  <w:tcW w:w="482" w:type="pct"/>
                  <w:vAlign w:val="bottom"/>
                </w:tcPr>
                <w:p w:rsidR="008C487D" w:rsidRPr="00D93874" w:rsidRDefault="008C487D" w:rsidP="009837D7">
                  <w:pPr>
                    <w:pStyle w:val="TableBodyText"/>
                    <w:rPr>
                      <w:b/>
                    </w:rPr>
                  </w:pPr>
                  <w:r w:rsidRPr="00D93874">
                    <w:rPr>
                      <w:b/>
                    </w:rPr>
                    <w:t>100.0</w:t>
                  </w:r>
                </w:p>
              </w:tc>
              <w:tc>
                <w:tcPr>
                  <w:tcW w:w="481" w:type="pct"/>
                  <w:vAlign w:val="bottom"/>
                </w:tcPr>
                <w:p w:rsidR="008C487D" w:rsidRPr="00D93874" w:rsidRDefault="008C487D" w:rsidP="009837D7">
                  <w:pPr>
                    <w:pStyle w:val="TableBodyText"/>
                    <w:rPr>
                      <w:b/>
                    </w:rPr>
                  </w:pPr>
                  <w:r w:rsidRPr="00D93874">
                    <w:rPr>
                      <w:b/>
                    </w:rPr>
                    <w:t>100.0</w:t>
                  </w:r>
                </w:p>
              </w:tc>
              <w:tc>
                <w:tcPr>
                  <w:tcW w:w="402" w:type="pct"/>
                  <w:vAlign w:val="bottom"/>
                </w:tcPr>
                <w:p w:rsidR="008C487D" w:rsidRPr="00D93874" w:rsidRDefault="008C487D" w:rsidP="009837D7">
                  <w:pPr>
                    <w:pStyle w:val="TableBodyText"/>
                    <w:rPr>
                      <w:b/>
                    </w:rPr>
                  </w:pPr>
                  <w:r w:rsidRPr="00D93874">
                    <w:rPr>
                      <w:b/>
                    </w:rPr>
                    <w:t>100.0</w:t>
                  </w:r>
                </w:p>
              </w:tc>
              <w:tc>
                <w:tcPr>
                  <w:tcW w:w="482" w:type="pct"/>
                  <w:vAlign w:val="bottom"/>
                </w:tcPr>
                <w:p w:rsidR="008C487D" w:rsidRPr="00D93874" w:rsidRDefault="008C487D" w:rsidP="009837D7">
                  <w:pPr>
                    <w:pStyle w:val="TableBodyText"/>
                    <w:rPr>
                      <w:b/>
                    </w:rPr>
                  </w:pPr>
                  <w:r w:rsidRPr="00D93874">
                    <w:rPr>
                      <w:b/>
                    </w:rPr>
                    <w:t>100.0</w:t>
                  </w:r>
                </w:p>
              </w:tc>
              <w:tc>
                <w:tcPr>
                  <w:tcW w:w="562" w:type="pct"/>
                  <w:vAlign w:val="bottom"/>
                </w:tcPr>
                <w:p w:rsidR="008C487D" w:rsidRPr="00D93874" w:rsidRDefault="008C487D" w:rsidP="009837D7">
                  <w:pPr>
                    <w:pStyle w:val="TableBodyText"/>
                    <w:rPr>
                      <w:b/>
                    </w:rPr>
                  </w:pPr>
                  <w:r w:rsidRPr="00D93874">
                    <w:rPr>
                      <w:b/>
                    </w:rPr>
                    <w:t>100.0</w:t>
                  </w:r>
                </w:p>
              </w:tc>
            </w:tr>
            <w:tr w:rsidR="008C487D" w:rsidRPr="00D93874" w:rsidTr="009837D7">
              <w:trPr>
                <w:gridAfter w:val="2"/>
                <w:wAfter w:w="584" w:type="pct"/>
              </w:trPr>
              <w:tc>
                <w:tcPr>
                  <w:tcW w:w="4416" w:type="pct"/>
                  <w:gridSpan w:val="9"/>
                  <w:shd w:val="clear" w:color="auto" w:fill="auto"/>
                </w:tcPr>
                <w:p w:rsidR="008C487D" w:rsidRPr="00D93874" w:rsidRDefault="008C487D" w:rsidP="00FF35FF">
                  <w:pPr>
                    <w:pStyle w:val="TableColumnHeading"/>
                    <w:tabs>
                      <w:tab w:val="left" w:pos="8775"/>
                    </w:tabs>
                    <w:jc w:val="left"/>
                    <w:rPr>
                      <w:rFonts w:cs="Arial"/>
                      <w:color w:val="000000" w:themeColor="text1"/>
                      <w:sz w:val="20"/>
                    </w:rPr>
                  </w:pPr>
                  <w:r w:rsidRPr="00D93874">
                    <w:rPr>
                      <w:rFonts w:cs="Arial"/>
                      <w:color w:val="000000" w:themeColor="text1"/>
                      <w:sz w:val="20"/>
                    </w:rPr>
                    <w:t>Community housing</w:t>
                  </w:r>
                </w:p>
              </w:tc>
            </w:tr>
            <w:tr w:rsidR="009837D7" w:rsidRPr="00D93874" w:rsidTr="00984111">
              <w:trPr>
                <w:gridAfter w:val="1"/>
                <w:wAfter w:w="22" w:type="pct"/>
              </w:trPr>
              <w:tc>
                <w:tcPr>
                  <w:tcW w:w="884" w:type="pct"/>
                  <w:shd w:val="clear" w:color="auto" w:fill="auto"/>
                </w:tcPr>
                <w:p w:rsidR="008C487D" w:rsidRPr="00D93874" w:rsidRDefault="008C487D" w:rsidP="00FF35FF">
                  <w:pPr>
                    <w:pStyle w:val="TableBodyText"/>
                    <w:tabs>
                      <w:tab w:val="left" w:pos="8775"/>
                    </w:tabs>
                    <w:jc w:val="left"/>
                    <w:rPr>
                      <w:rFonts w:asciiTheme="majorHAnsi" w:hAnsiTheme="majorHAnsi" w:cstheme="majorHAnsi"/>
                      <w:color w:val="000000" w:themeColor="text1"/>
                      <w:sz w:val="20"/>
                    </w:rPr>
                  </w:pPr>
                  <w:r w:rsidRPr="00D93874">
                    <w:rPr>
                      <w:rFonts w:asciiTheme="majorHAnsi" w:hAnsiTheme="majorHAnsi" w:cstheme="majorHAnsi"/>
                      <w:color w:val="000000" w:themeColor="text1"/>
                      <w:sz w:val="20"/>
                    </w:rPr>
                    <w:t>Major cities</w:t>
                  </w:r>
                </w:p>
              </w:tc>
              <w:tc>
                <w:tcPr>
                  <w:tcW w:w="399" w:type="pct"/>
                  <w:shd w:val="clear" w:color="auto" w:fill="auto"/>
                  <w:vAlign w:val="center"/>
                </w:tcPr>
                <w:p w:rsidR="008C487D" w:rsidRPr="00D93874" w:rsidRDefault="008C487D" w:rsidP="009837D7">
                  <w:pPr>
                    <w:pStyle w:val="TableBodyText"/>
                  </w:pPr>
                  <w:r w:rsidRPr="00D93874">
                    <w:t>68.5</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75.0</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52.2</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79.4</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84.4</w:t>
                  </w:r>
                </w:p>
              </w:tc>
              <w:tc>
                <w:tcPr>
                  <w:tcW w:w="481" w:type="pct"/>
                  <w:shd w:val="clear" w:color="auto" w:fill="auto"/>
                  <w:vAlign w:val="center"/>
                </w:tcPr>
                <w:p w:rsidR="008C487D" w:rsidRPr="00D93874" w:rsidRDefault="008C487D" w:rsidP="009837D7">
                  <w:pPr>
                    <w:pStyle w:val="TableBodyText"/>
                    <w:rPr>
                      <w:rFonts w:cs="Arial"/>
                    </w:rPr>
                  </w:pPr>
                  <w:r w:rsidRPr="00D93874">
                    <w:rPr>
                      <w:rFonts w:cs="Arial"/>
                    </w:rPr>
                    <w:t>..</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99.8</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w:t>
                  </w:r>
                </w:p>
              </w:tc>
              <w:tc>
                <w:tcPr>
                  <w:tcW w:w="562" w:type="pct"/>
                  <w:shd w:val="clear" w:color="auto" w:fill="auto"/>
                  <w:vAlign w:val="center"/>
                </w:tcPr>
                <w:p w:rsidR="008C487D" w:rsidRPr="00D93874" w:rsidRDefault="008C487D" w:rsidP="009837D7">
                  <w:pPr>
                    <w:pStyle w:val="TableBodyText"/>
                    <w:rPr>
                      <w:rFonts w:cs="Arial"/>
                    </w:rPr>
                  </w:pPr>
                  <w:r w:rsidRPr="00D93874">
                    <w:rPr>
                      <w:rFonts w:cs="Arial"/>
                    </w:rPr>
                    <w:t>64.6</w:t>
                  </w:r>
                </w:p>
              </w:tc>
            </w:tr>
            <w:tr w:rsidR="009837D7" w:rsidRPr="00D93874" w:rsidTr="00984111">
              <w:trPr>
                <w:gridAfter w:val="1"/>
                <w:wAfter w:w="22" w:type="pct"/>
              </w:trPr>
              <w:tc>
                <w:tcPr>
                  <w:tcW w:w="884" w:type="pct"/>
                  <w:shd w:val="clear" w:color="auto" w:fill="auto"/>
                </w:tcPr>
                <w:p w:rsidR="008C487D" w:rsidRPr="00D93874" w:rsidRDefault="008C487D" w:rsidP="00FF35FF">
                  <w:pPr>
                    <w:pStyle w:val="TableBodyText"/>
                    <w:tabs>
                      <w:tab w:val="left" w:pos="8775"/>
                    </w:tabs>
                    <w:jc w:val="left"/>
                    <w:rPr>
                      <w:rFonts w:asciiTheme="majorHAnsi" w:hAnsiTheme="majorHAnsi" w:cstheme="majorHAnsi"/>
                      <w:color w:val="000000" w:themeColor="text1"/>
                      <w:sz w:val="20"/>
                    </w:rPr>
                  </w:pPr>
                  <w:r w:rsidRPr="00D93874">
                    <w:rPr>
                      <w:rFonts w:asciiTheme="majorHAnsi" w:hAnsiTheme="majorHAnsi" w:cstheme="majorHAnsi"/>
                      <w:color w:val="000000" w:themeColor="text1"/>
                      <w:sz w:val="20"/>
                    </w:rPr>
                    <w:t>Inner regional</w:t>
                  </w:r>
                </w:p>
              </w:tc>
              <w:tc>
                <w:tcPr>
                  <w:tcW w:w="399" w:type="pct"/>
                  <w:shd w:val="clear" w:color="auto" w:fill="auto"/>
                  <w:vAlign w:val="center"/>
                </w:tcPr>
                <w:p w:rsidR="008C487D" w:rsidRPr="00D93874" w:rsidRDefault="008C487D" w:rsidP="009837D7">
                  <w:pPr>
                    <w:pStyle w:val="TableBodyText"/>
                  </w:pPr>
                  <w:r w:rsidRPr="00D93874">
                    <w:t>25.4</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21.7</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21.9</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9.1</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6.9</w:t>
                  </w:r>
                </w:p>
              </w:tc>
              <w:tc>
                <w:tcPr>
                  <w:tcW w:w="481" w:type="pct"/>
                  <w:shd w:val="clear" w:color="auto" w:fill="auto"/>
                  <w:vAlign w:val="center"/>
                </w:tcPr>
                <w:p w:rsidR="008C487D" w:rsidRPr="00D93874" w:rsidRDefault="008C487D" w:rsidP="009837D7">
                  <w:pPr>
                    <w:pStyle w:val="TableBodyText"/>
                    <w:rPr>
                      <w:rFonts w:cs="Arial"/>
                    </w:rPr>
                  </w:pPr>
                  <w:r w:rsidRPr="00D93874">
                    <w:rPr>
                      <w:rFonts w:cs="Arial"/>
                    </w:rPr>
                    <w:t>67.0</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0.2</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w:t>
                  </w:r>
                </w:p>
              </w:tc>
              <w:tc>
                <w:tcPr>
                  <w:tcW w:w="562" w:type="pct"/>
                  <w:shd w:val="clear" w:color="auto" w:fill="auto"/>
                  <w:vAlign w:val="center"/>
                </w:tcPr>
                <w:p w:rsidR="008C487D" w:rsidRPr="00D93874" w:rsidRDefault="008C487D" w:rsidP="009837D7">
                  <w:pPr>
                    <w:pStyle w:val="TableBodyText"/>
                    <w:rPr>
                      <w:rFonts w:cs="Arial"/>
                    </w:rPr>
                  </w:pPr>
                  <w:r w:rsidRPr="00D93874">
                    <w:rPr>
                      <w:rFonts w:cs="Arial"/>
                    </w:rPr>
                    <w:t>23.6</w:t>
                  </w:r>
                </w:p>
              </w:tc>
            </w:tr>
            <w:tr w:rsidR="009837D7" w:rsidRPr="00D93874" w:rsidTr="00984111">
              <w:trPr>
                <w:gridAfter w:val="1"/>
                <w:wAfter w:w="22" w:type="pct"/>
              </w:trPr>
              <w:tc>
                <w:tcPr>
                  <w:tcW w:w="884" w:type="pct"/>
                  <w:shd w:val="clear" w:color="auto" w:fill="auto"/>
                </w:tcPr>
                <w:p w:rsidR="008C487D" w:rsidRPr="00D93874" w:rsidRDefault="008C487D" w:rsidP="00FF35FF">
                  <w:pPr>
                    <w:pStyle w:val="TableBodyText"/>
                    <w:tabs>
                      <w:tab w:val="left" w:pos="8775"/>
                    </w:tabs>
                    <w:jc w:val="left"/>
                    <w:rPr>
                      <w:rFonts w:asciiTheme="majorHAnsi" w:hAnsiTheme="majorHAnsi" w:cstheme="majorHAnsi"/>
                      <w:color w:val="000000" w:themeColor="text1"/>
                      <w:sz w:val="20"/>
                    </w:rPr>
                  </w:pPr>
                  <w:r w:rsidRPr="00D93874">
                    <w:rPr>
                      <w:rFonts w:asciiTheme="majorHAnsi" w:hAnsiTheme="majorHAnsi" w:cstheme="majorHAnsi"/>
                      <w:color w:val="000000" w:themeColor="text1"/>
                      <w:sz w:val="20"/>
                    </w:rPr>
                    <w:t>Outer regional</w:t>
                  </w:r>
                </w:p>
              </w:tc>
              <w:tc>
                <w:tcPr>
                  <w:tcW w:w="399" w:type="pct"/>
                  <w:shd w:val="clear" w:color="auto" w:fill="auto"/>
                  <w:vAlign w:val="center"/>
                </w:tcPr>
                <w:p w:rsidR="008C487D" w:rsidRPr="00D93874" w:rsidRDefault="008C487D" w:rsidP="009837D7">
                  <w:pPr>
                    <w:pStyle w:val="TableBodyText"/>
                  </w:pPr>
                  <w:r w:rsidRPr="00D93874">
                    <w:t>5.9</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3.2</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20.2</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7.8</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7.5</w:t>
                  </w:r>
                </w:p>
              </w:tc>
              <w:tc>
                <w:tcPr>
                  <w:tcW w:w="481" w:type="pct"/>
                  <w:shd w:val="clear" w:color="auto" w:fill="auto"/>
                  <w:vAlign w:val="center"/>
                </w:tcPr>
                <w:p w:rsidR="008C487D" w:rsidRPr="00D93874" w:rsidRDefault="008C487D" w:rsidP="009837D7">
                  <w:pPr>
                    <w:pStyle w:val="TableBodyText"/>
                    <w:rPr>
                      <w:rFonts w:cs="Arial"/>
                    </w:rPr>
                  </w:pPr>
                  <w:r w:rsidRPr="00D93874">
                    <w:rPr>
                      <w:rFonts w:cs="Arial"/>
                    </w:rPr>
                    <w:t>32.4</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45.3</w:t>
                  </w:r>
                </w:p>
              </w:tc>
              <w:tc>
                <w:tcPr>
                  <w:tcW w:w="562" w:type="pct"/>
                  <w:shd w:val="clear" w:color="auto" w:fill="auto"/>
                  <w:vAlign w:val="center"/>
                </w:tcPr>
                <w:p w:rsidR="008C487D" w:rsidRPr="00D93874" w:rsidRDefault="008C487D" w:rsidP="009837D7">
                  <w:pPr>
                    <w:pStyle w:val="TableBodyText"/>
                    <w:rPr>
                      <w:rFonts w:cs="Arial"/>
                    </w:rPr>
                  </w:pPr>
                  <w:r w:rsidRPr="00D93874">
                    <w:rPr>
                      <w:rFonts w:cs="Arial"/>
                    </w:rPr>
                    <w:t>10.1</w:t>
                  </w:r>
                </w:p>
              </w:tc>
            </w:tr>
            <w:tr w:rsidR="009837D7" w:rsidRPr="00D93874" w:rsidTr="00984111">
              <w:trPr>
                <w:gridAfter w:val="1"/>
                <w:wAfter w:w="22" w:type="pct"/>
              </w:trPr>
              <w:tc>
                <w:tcPr>
                  <w:tcW w:w="884" w:type="pct"/>
                  <w:shd w:val="clear" w:color="auto" w:fill="auto"/>
                </w:tcPr>
                <w:p w:rsidR="008C487D" w:rsidRPr="00D93874" w:rsidRDefault="008C487D" w:rsidP="00FF35FF">
                  <w:pPr>
                    <w:pStyle w:val="TableBodyText"/>
                    <w:tabs>
                      <w:tab w:val="left" w:pos="8775"/>
                    </w:tabs>
                    <w:jc w:val="left"/>
                    <w:rPr>
                      <w:rFonts w:asciiTheme="majorHAnsi" w:hAnsiTheme="majorHAnsi" w:cstheme="majorHAnsi"/>
                      <w:color w:val="000000" w:themeColor="text1"/>
                      <w:sz w:val="20"/>
                    </w:rPr>
                  </w:pPr>
                  <w:r w:rsidRPr="00D93874">
                    <w:rPr>
                      <w:rFonts w:asciiTheme="majorHAnsi" w:hAnsiTheme="majorHAnsi" w:cstheme="majorHAnsi"/>
                      <w:color w:val="000000" w:themeColor="text1"/>
                      <w:sz w:val="20"/>
                    </w:rPr>
                    <w:t>Remote</w:t>
                  </w:r>
                </w:p>
              </w:tc>
              <w:tc>
                <w:tcPr>
                  <w:tcW w:w="399" w:type="pct"/>
                  <w:shd w:val="clear" w:color="auto" w:fill="auto"/>
                  <w:vAlign w:val="center"/>
                </w:tcPr>
                <w:p w:rsidR="008C487D" w:rsidRPr="00D93874" w:rsidRDefault="008C487D" w:rsidP="009837D7">
                  <w:pPr>
                    <w:pStyle w:val="TableBodyText"/>
                  </w:pPr>
                  <w:r w:rsidRPr="00D93874">
                    <w:t>0.2</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0.1</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2.2</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2.9</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1.2</w:t>
                  </w:r>
                </w:p>
              </w:tc>
              <w:tc>
                <w:tcPr>
                  <w:tcW w:w="481" w:type="pct"/>
                  <w:shd w:val="clear" w:color="auto" w:fill="auto"/>
                  <w:vAlign w:val="center"/>
                </w:tcPr>
                <w:p w:rsidR="008C487D" w:rsidRPr="00D93874" w:rsidRDefault="008C487D" w:rsidP="009837D7">
                  <w:pPr>
                    <w:pStyle w:val="TableBodyText"/>
                    <w:rPr>
                      <w:rFonts w:cs="Arial"/>
                    </w:rPr>
                  </w:pPr>
                  <w:r w:rsidRPr="00D93874">
                    <w:rPr>
                      <w:rFonts w:cs="Arial"/>
                    </w:rPr>
                    <w:t>0.6</w:t>
                  </w:r>
                </w:p>
              </w:tc>
              <w:tc>
                <w:tcPr>
                  <w:tcW w:w="402" w:type="pct"/>
                  <w:shd w:val="clear" w:color="auto" w:fill="auto"/>
                  <w:vAlign w:val="center"/>
                </w:tcPr>
                <w:p w:rsidR="008C487D" w:rsidRPr="00D93874" w:rsidRDefault="008C487D" w:rsidP="009837D7">
                  <w:pPr>
                    <w:pStyle w:val="TableBodyText"/>
                    <w:rPr>
                      <w:rFonts w:cs="Arial"/>
                    </w:rPr>
                  </w:pPr>
                  <w:r w:rsidRPr="00D93874">
                    <w:rPr>
                      <w:rFonts w:cs="Arial"/>
                    </w:rPr>
                    <w:t>..</w:t>
                  </w:r>
                </w:p>
              </w:tc>
              <w:tc>
                <w:tcPr>
                  <w:tcW w:w="482" w:type="pct"/>
                  <w:shd w:val="clear" w:color="auto" w:fill="auto"/>
                  <w:vAlign w:val="center"/>
                </w:tcPr>
                <w:p w:rsidR="008C487D" w:rsidRPr="00D93874" w:rsidRDefault="008C487D" w:rsidP="009837D7">
                  <w:pPr>
                    <w:pStyle w:val="TableBodyText"/>
                    <w:rPr>
                      <w:rFonts w:cs="Arial"/>
                    </w:rPr>
                  </w:pPr>
                  <w:r w:rsidRPr="00D93874">
                    <w:rPr>
                      <w:rFonts w:cs="Arial"/>
                    </w:rPr>
                    <w:t>43.8</w:t>
                  </w:r>
                </w:p>
              </w:tc>
              <w:tc>
                <w:tcPr>
                  <w:tcW w:w="562" w:type="pct"/>
                  <w:shd w:val="clear" w:color="auto" w:fill="auto"/>
                  <w:vAlign w:val="center"/>
                </w:tcPr>
                <w:p w:rsidR="008C487D" w:rsidRPr="00D93874" w:rsidRDefault="008C487D" w:rsidP="009837D7">
                  <w:pPr>
                    <w:pStyle w:val="TableBodyText"/>
                    <w:rPr>
                      <w:rFonts w:cs="Arial"/>
                    </w:rPr>
                  </w:pPr>
                  <w:r w:rsidRPr="00D93874">
                    <w:rPr>
                      <w:rFonts w:cs="Arial"/>
                    </w:rPr>
                    <w:t>1.1</w:t>
                  </w:r>
                </w:p>
              </w:tc>
            </w:tr>
            <w:tr w:rsidR="009837D7" w:rsidRPr="00D93874" w:rsidTr="00810283">
              <w:trPr>
                <w:gridAfter w:val="1"/>
                <w:wAfter w:w="22" w:type="pct"/>
              </w:trPr>
              <w:tc>
                <w:tcPr>
                  <w:tcW w:w="884" w:type="pct"/>
                  <w:tcBorders>
                    <w:bottom w:val="nil"/>
                  </w:tcBorders>
                  <w:shd w:val="clear" w:color="auto" w:fill="auto"/>
                </w:tcPr>
                <w:p w:rsidR="008C487D" w:rsidRPr="00D93874" w:rsidRDefault="008C487D" w:rsidP="00FF35FF">
                  <w:pPr>
                    <w:pStyle w:val="TableBodyText"/>
                    <w:tabs>
                      <w:tab w:val="left" w:pos="8775"/>
                    </w:tabs>
                    <w:jc w:val="left"/>
                    <w:rPr>
                      <w:rFonts w:asciiTheme="majorHAnsi" w:hAnsiTheme="majorHAnsi" w:cstheme="majorHAnsi"/>
                      <w:color w:val="000000" w:themeColor="text1"/>
                      <w:sz w:val="20"/>
                    </w:rPr>
                  </w:pPr>
                  <w:r w:rsidRPr="00D93874">
                    <w:rPr>
                      <w:rFonts w:asciiTheme="majorHAnsi" w:hAnsiTheme="majorHAnsi" w:cstheme="majorHAnsi"/>
                      <w:color w:val="000000" w:themeColor="text1"/>
                      <w:sz w:val="20"/>
                    </w:rPr>
                    <w:t>Very remote</w:t>
                  </w:r>
                </w:p>
              </w:tc>
              <w:tc>
                <w:tcPr>
                  <w:tcW w:w="399" w:type="pct"/>
                  <w:tcBorders>
                    <w:bottom w:val="nil"/>
                  </w:tcBorders>
                  <w:shd w:val="clear" w:color="auto" w:fill="auto"/>
                  <w:vAlign w:val="center"/>
                </w:tcPr>
                <w:p w:rsidR="008C487D" w:rsidRPr="00D93874" w:rsidRDefault="008C487D" w:rsidP="009837D7">
                  <w:pPr>
                    <w:pStyle w:val="TableBodyText"/>
                  </w:pPr>
                  <w:r w:rsidRPr="00D93874">
                    <w:t>–</w:t>
                  </w:r>
                </w:p>
              </w:tc>
              <w:tc>
                <w:tcPr>
                  <w:tcW w:w="40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w:t>
                  </w:r>
                </w:p>
              </w:tc>
              <w:tc>
                <w:tcPr>
                  <w:tcW w:w="40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3.5</w:t>
                  </w:r>
                </w:p>
              </w:tc>
              <w:tc>
                <w:tcPr>
                  <w:tcW w:w="48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0.8</w:t>
                  </w:r>
                </w:p>
              </w:tc>
              <w:tc>
                <w:tcPr>
                  <w:tcW w:w="48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0.1</w:t>
                  </w:r>
                </w:p>
              </w:tc>
              <w:tc>
                <w:tcPr>
                  <w:tcW w:w="481"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w:t>
                  </w:r>
                </w:p>
              </w:tc>
              <w:tc>
                <w:tcPr>
                  <w:tcW w:w="40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w:t>
                  </w:r>
                </w:p>
              </w:tc>
              <w:tc>
                <w:tcPr>
                  <w:tcW w:w="48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10.8</w:t>
                  </w:r>
                </w:p>
              </w:tc>
              <w:tc>
                <w:tcPr>
                  <w:tcW w:w="562" w:type="pct"/>
                  <w:tcBorders>
                    <w:bottom w:val="nil"/>
                  </w:tcBorders>
                  <w:shd w:val="clear" w:color="auto" w:fill="auto"/>
                  <w:vAlign w:val="center"/>
                </w:tcPr>
                <w:p w:rsidR="008C487D" w:rsidRPr="00D93874" w:rsidRDefault="008C487D" w:rsidP="009837D7">
                  <w:pPr>
                    <w:pStyle w:val="TableBodyText"/>
                    <w:rPr>
                      <w:rFonts w:cs="Arial"/>
                    </w:rPr>
                  </w:pPr>
                  <w:r w:rsidRPr="00D93874">
                    <w:rPr>
                      <w:rFonts w:cs="Arial"/>
                    </w:rPr>
                    <w:t>0.7</w:t>
                  </w:r>
                </w:p>
              </w:tc>
            </w:tr>
            <w:tr w:rsidR="009837D7" w:rsidRPr="00D93874" w:rsidTr="00810283">
              <w:trPr>
                <w:gridAfter w:val="1"/>
                <w:wAfter w:w="22" w:type="pct"/>
              </w:trPr>
              <w:tc>
                <w:tcPr>
                  <w:tcW w:w="884" w:type="pct"/>
                  <w:tcBorders>
                    <w:top w:val="nil"/>
                    <w:bottom w:val="single" w:sz="4" w:space="0" w:color="BFBFBF" w:themeColor="background2"/>
                  </w:tcBorders>
                  <w:shd w:val="clear" w:color="auto" w:fill="auto"/>
                </w:tcPr>
                <w:p w:rsidR="008C487D" w:rsidRPr="00D93874" w:rsidRDefault="008C487D" w:rsidP="00FF35FF">
                  <w:pPr>
                    <w:pStyle w:val="TableBodyText"/>
                    <w:tabs>
                      <w:tab w:val="left" w:pos="8775"/>
                    </w:tabs>
                    <w:jc w:val="left"/>
                    <w:rPr>
                      <w:rFonts w:asciiTheme="majorHAnsi" w:hAnsiTheme="majorHAnsi" w:cstheme="majorHAnsi"/>
                      <w:b/>
                      <w:color w:val="000000" w:themeColor="text1"/>
                      <w:sz w:val="20"/>
                    </w:rPr>
                  </w:pPr>
                  <w:r w:rsidRPr="00D93874">
                    <w:rPr>
                      <w:rFonts w:asciiTheme="majorHAnsi" w:hAnsiTheme="majorHAnsi" w:cstheme="majorHAnsi"/>
                      <w:b/>
                      <w:color w:val="000000" w:themeColor="text1"/>
                      <w:sz w:val="20"/>
                    </w:rPr>
                    <w:t>Total</w:t>
                  </w:r>
                </w:p>
              </w:tc>
              <w:tc>
                <w:tcPr>
                  <w:tcW w:w="399"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0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0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8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8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81"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0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48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c>
                <w:tcPr>
                  <w:tcW w:w="562" w:type="pct"/>
                  <w:tcBorders>
                    <w:top w:val="nil"/>
                    <w:bottom w:val="single" w:sz="4" w:space="0" w:color="BFBFBF" w:themeColor="background2"/>
                  </w:tcBorders>
                  <w:shd w:val="clear" w:color="auto" w:fill="auto"/>
                  <w:vAlign w:val="center"/>
                </w:tcPr>
                <w:p w:rsidR="008C487D" w:rsidRPr="00D93874" w:rsidRDefault="008C487D" w:rsidP="009837D7">
                  <w:pPr>
                    <w:pStyle w:val="TableBodyText"/>
                    <w:rPr>
                      <w:b/>
                    </w:rPr>
                  </w:pPr>
                  <w:r w:rsidRPr="00D93874">
                    <w:rPr>
                      <w:b/>
                    </w:rPr>
                    <w:t>100.0</w:t>
                  </w:r>
                </w:p>
              </w:tc>
            </w:tr>
          </w:tbl>
          <w:p w:rsidR="008C487D" w:rsidRPr="00D93874" w:rsidRDefault="008C487D" w:rsidP="00FF35FF">
            <w:pPr>
              <w:pStyle w:val="Box"/>
              <w:tabs>
                <w:tab w:val="left" w:pos="8775"/>
              </w:tabs>
            </w:pPr>
          </w:p>
        </w:tc>
        <w:bookmarkStart w:id="26" w:name="_GoBack"/>
        <w:bookmarkEnd w:id="26"/>
      </w:tr>
      <w:tr w:rsidR="008C487D" w:rsidRPr="00D93874" w:rsidTr="00984111">
        <w:trPr>
          <w:cantSplit/>
        </w:trPr>
        <w:tc>
          <w:tcPr>
            <w:tcW w:w="5000" w:type="pct"/>
            <w:tcBorders>
              <w:top w:val="nil"/>
              <w:left w:val="nil"/>
              <w:bottom w:val="nil"/>
              <w:right w:val="nil"/>
            </w:tcBorders>
            <w:shd w:val="clear" w:color="auto" w:fill="auto"/>
          </w:tcPr>
          <w:p w:rsidR="008C487D" w:rsidRPr="00D93874" w:rsidRDefault="008C487D" w:rsidP="00FF35FF">
            <w:pPr>
              <w:pStyle w:val="Note"/>
              <w:rPr>
                <w:i/>
              </w:rPr>
            </w:pPr>
            <w:r w:rsidRPr="00D93874">
              <w:rPr>
                <w:rStyle w:val="NoteLabel"/>
              </w:rPr>
              <w:t>a</w:t>
            </w:r>
            <w:r w:rsidRPr="00D93874">
              <w:t xml:space="preserve"> Further information pertinent to t</w:t>
            </w:r>
            <w:r w:rsidR="00737D86" w:rsidRPr="00D93874">
              <w:t xml:space="preserve">hese data is provided in tables </w:t>
            </w:r>
            <w:r w:rsidRPr="00D93874">
              <w:t>17A.5–7. Data are calculated as the proportion of total dwellings. .. Not applicable. – Nil or rounded to zero.</w:t>
            </w:r>
          </w:p>
        </w:tc>
      </w:tr>
      <w:tr w:rsidR="008C487D" w:rsidRPr="00D93874" w:rsidTr="00984111">
        <w:trPr>
          <w:cantSplit/>
        </w:trPr>
        <w:tc>
          <w:tcPr>
            <w:tcW w:w="5000" w:type="pct"/>
            <w:tcBorders>
              <w:top w:val="nil"/>
              <w:left w:val="nil"/>
              <w:bottom w:val="nil"/>
              <w:right w:val="nil"/>
            </w:tcBorders>
            <w:shd w:val="clear" w:color="auto" w:fill="auto"/>
          </w:tcPr>
          <w:p w:rsidR="008C487D" w:rsidRPr="00D93874" w:rsidRDefault="008C487D" w:rsidP="00737D86">
            <w:pPr>
              <w:pStyle w:val="Source"/>
            </w:pPr>
            <w:r w:rsidRPr="00D93874">
              <w:rPr>
                <w:i/>
              </w:rPr>
              <w:t>Source</w:t>
            </w:r>
            <w:r w:rsidRPr="00D93874">
              <w:t xml:space="preserve">: AIHW (unpublished) </w:t>
            </w:r>
            <w:r w:rsidRPr="00D93874">
              <w:rPr>
                <w:i/>
              </w:rPr>
              <w:t>National Housing Assistance Data Repository</w:t>
            </w:r>
            <w:r w:rsidRPr="00D93874">
              <w:t>; tables 17A.5–7</w:t>
            </w:r>
            <w:r w:rsidR="00737D86" w:rsidRPr="00D93874">
              <w:t>; 2015 Report, table 17.2, p.17.12.</w:t>
            </w:r>
          </w:p>
        </w:tc>
      </w:tr>
      <w:tr w:rsidR="008C487D" w:rsidRPr="00D93874" w:rsidTr="00984111">
        <w:trPr>
          <w:cantSplit/>
        </w:trPr>
        <w:tc>
          <w:tcPr>
            <w:tcW w:w="5000" w:type="pct"/>
            <w:tcBorders>
              <w:top w:val="nil"/>
              <w:left w:val="nil"/>
              <w:bottom w:val="single" w:sz="6" w:space="0" w:color="78A22F" w:themeColor="accent1"/>
              <w:right w:val="nil"/>
            </w:tcBorders>
            <w:shd w:val="clear" w:color="auto" w:fill="auto"/>
          </w:tcPr>
          <w:p w:rsidR="008C487D" w:rsidRPr="00D93874" w:rsidRDefault="008C487D" w:rsidP="00FF35FF">
            <w:pPr>
              <w:pStyle w:val="Box"/>
              <w:spacing w:before="0" w:line="120" w:lineRule="exact"/>
            </w:pPr>
          </w:p>
        </w:tc>
      </w:tr>
      <w:tr w:rsidR="008C487D" w:rsidRPr="00D93874" w:rsidTr="00984111">
        <w:tc>
          <w:tcPr>
            <w:tcW w:w="5000" w:type="pct"/>
            <w:tcBorders>
              <w:top w:val="single" w:sz="6" w:space="0" w:color="78A22F" w:themeColor="accent1"/>
              <w:left w:val="nil"/>
              <w:bottom w:val="nil"/>
              <w:right w:val="nil"/>
            </w:tcBorders>
          </w:tcPr>
          <w:p w:rsidR="008C487D" w:rsidRPr="00D93874" w:rsidRDefault="008C487D" w:rsidP="00FF35FF">
            <w:pPr>
              <w:pStyle w:val="BoxSpaceBelow"/>
            </w:pPr>
          </w:p>
        </w:tc>
      </w:tr>
    </w:tbl>
    <w:p w:rsidR="008C487D" w:rsidRPr="00D93874" w:rsidRDefault="008C487D" w:rsidP="00737D86">
      <w:pPr>
        <w:pStyle w:val="Heading5"/>
      </w:pPr>
      <w:r w:rsidRPr="00D93874">
        <w:t>Eligibility criteria for access to social housing</w:t>
      </w:r>
    </w:p>
    <w:p w:rsidR="008C487D" w:rsidRPr="00D93874" w:rsidRDefault="008C487D" w:rsidP="008C487D">
      <w:pPr>
        <w:pStyle w:val="BodyText"/>
      </w:pPr>
      <w:r w:rsidRPr="00D93874">
        <w:t>Eligibility criteria for access to social housing varies across the forms of social housing and across jurisdictions.</w:t>
      </w:r>
    </w:p>
    <w:p w:rsidR="008C487D" w:rsidRPr="00D93874" w:rsidRDefault="008C487D" w:rsidP="008C487D">
      <w:pPr>
        <w:pStyle w:val="BodyText"/>
      </w:pPr>
      <w:r w:rsidRPr="00D93874">
        <w:t>Eligibility criteria for access to SOMIH (table 17A.6) are generally consistent with those for public housing (</w:t>
      </w:r>
      <w:r w:rsidR="00737D86" w:rsidRPr="00D93874">
        <w:t xml:space="preserve">2015 Report, table </w:t>
      </w:r>
      <w:r w:rsidRPr="00D93874">
        <w:t>17A.59), once an applicant has been confirmed as Aboriginal and Torres Strait Islander. Terms of tenure for SOMIH are the same as those for public</w:t>
      </w:r>
      <w:r w:rsidR="00737D86" w:rsidRPr="00D93874">
        <w:t xml:space="preserve"> housing in most jurisdictions.</w:t>
      </w:r>
    </w:p>
    <w:p w:rsidR="008C487D" w:rsidRPr="00D93874" w:rsidRDefault="008C487D" w:rsidP="008C487D">
      <w:pPr>
        <w:pStyle w:val="BodyText"/>
      </w:pPr>
      <w:r w:rsidRPr="00D93874">
        <w:t>Eligibility criteria for community housing are generally consistent with those for public housing in each jurisdiction.</w:t>
      </w:r>
    </w:p>
    <w:p w:rsidR="008C487D" w:rsidRPr="00D93874" w:rsidRDefault="008C487D" w:rsidP="008C487D">
      <w:pPr>
        <w:pStyle w:val="Heading4"/>
      </w:pPr>
      <w:r w:rsidRPr="00D93874">
        <w:lastRenderedPageBreak/>
        <w:t>Waiting lists</w:t>
      </w:r>
    </w:p>
    <w:p w:rsidR="008C487D" w:rsidRPr="00D93874" w:rsidRDefault="008C487D" w:rsidP="008C487D">
      <w:pPr>
        <w:pStyle w:val="BodyText"/>
      </w:pPr>
      <w:r w:rsidRPr="00D93874">
        <w:t>All State and Territory governments prioritise access to social housing by segmenting their waiting lists in some way. Segments are defined differently across jurisdictions, but generally reflect urgent need to address homelessness and an inability to access appropriat</w:t>
      </w:r>
      <w:r w:rsidR="00E875F6" w:rsidRPr="00D93874">
        <w:t>e private market accommodation.</w:t>
      </w:r>
    </w:p>
    <w:p w:rsidR="008C487D" w:rsidRPr="00D93874" w:rsidRDefault="008C487D" w:rsidP="008C487D">
      <w:pPr>
        <w:pStyle w:val="BodyText"/>
      </w:pPr>
      <w:r w:rsidRPr="00D93874">
        <w:t>The management of waiting lists varies across jurisdictions. NSW, Queensland, WA, the ACT and the NT have adopted an integrated social housing waiting list and do not segment by public housing, SOMIH and community housing. Progress towards adopting an integrated waiting list varies for the remaining jurisdictions. For this Report, data for integrated waiting lists are not yet available and waiting list data are reported separately for public housing, SOMIH and community housing.</w:t>
      </w:r>
    </w:p>
    <w:p w:rsidR="008C487D" w:rsidRPr="00D93874" w:rsidRDefault="008C487D" w:rsidP="00737D86">
      <w:pPr>
        <w:pStyle w:val="Heading3"/>
      </w:pPr>
      <w:bookmarkStart w:id="27" w:name="_Toc314211348"/>
      <w:bookmarkStart w:id="28" w:name="_Toc396143031"/>
      <w:bookmarkStart w:id="29" w:name="_Toc411861012"/>
      <w:r w:rsidRPr="00D93874">
        <w:t>Framework of performance indicators</w:t>
      </w:r>
      <w:bookmarkEnd w:id="27"/>
      <w:bookmarkEnd w:id="28"/>
      <w:bookmarkEnd w:id="29"/>
    </w:p>
    <w:p w:rsidR="008C487D" w:rsidRPr="00D93874" w:rsidRDefault="008C487D" w:rsidP="008C487D">
      <w:pPr>
        <w:pStyle w:val="BodyText"/>
      </w:pPr>
      <w:r w:rsidRPr="00D93874">
        <w:t>The performance indicator framework provides information on equity, efficiency and effectiveness, distinguishes the outputs and outcomes and reflects the objectives of social housing (box 17.</w:t>
      </w:r>
      <w:r w:rsidR="00737D86" w:rsidRPr="00D93874">
        <w:t>3</w:t>
      </w:r>
      <w:r w:rsidRPr="00D93874">
        <w:t>).</w:t>
      </w:r>
    </w:p>
    <w:p w:rsidR="00D944E1" w:rsidRPr="00D93874" w:rsidRDefault="00D944E1" w:rsidP="00D944E1">
      <w:pPr>
        <w:pStyle w:val="BodyText"/>
      </w:pPr>
      <w:r w:rsidRPr="00D93874">
        <w:t>The performance indicator framework shows which data are complete and comparable in the 2015 Report. For data that are not considered directly comparable, the text includes relevant caveats and supporting commentary. Chapter 1 in the 2015 Report discusses data comparability from a Report-wide perspective (see 2015 Report, section 1.6).</w:t>
      </w:r>
    </w:p>
    <w:p w:rsidR="00D944E1" w:rsidRPr="00D93874" w:rsidRDefault="00D944E1" w:rsidP="008C487D">
      <w:pPr>
        <w:pStyle w:val="BodyText"/>
        <w:rPr>
          <w:szCs w:val="26"/>
        </w:rPr>
      </w:pPr>
      <w:r w:rsidRPr="00D93874">
        <w:rPr>
          <w:szCs w:val="26"/>
        </w:rP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Aboriginal and Torres Strait Islander and ethnic status) (chapter 2).</w:t>
      </w:r>
    </w:p>
    <w:p w:rsidR="008C487D" w:rsidRPr="00D93874" w:rsidRDefault="00737D86" w:rsidP="008C487D">
      <w:pPr>
        <w:pStyle w:val="BodyText"/>
      </w:pPr>
      <w:r w:rsidRPr="00D93874">
        <w:t>The Council of Australian Governments (COAG)</w:t>
      </w:r>
      <w:r w:rsidR="008C487D" w:rsidRPr="00D93874">
        <w:t xml:space="preserve"> has agreed six National Agreements to enhance accountability to the public for the outcomes achieved or outputs delivered by a range of government services, (see chapter 1 for more detail on reforms t</w:t>
      </w:r>
      <w:r w:rsidR="00D944E1" w:rsidRPr="00D93874">
        <w:t>o federal financial relations).</w:t>
      </w:r>
    </w:p>
    <w:p w:rsidR="008C487D" w:rsidRPr="00D93874" w:rsidRDefault="008C487D" w:rsidP="008C487D">
      <w:pPr>
        <w:pStyle w:val="BodyText"/>
      </w:pPr>
      <w:r w:rsidRPr="00D93874">
        <w:t>The NAHA covers the areas of housing and homelessness services. Performance indicators reported in this chapter are aligned with housing performance indicators in the most recent version of the NAHA, where relevant.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E875F6">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D944E1">
            <w:pPr>
              <w:pStyle w:val="BoxTitle"/>
            </w:pPr>
            <w:r w:rsidRPr="00D93874">
              <w:rPr>
                <w:b w:val="0"/>
              </w:rPr>
              <w:t>Box 17.</w:t>
            </w:r>
            <w:r w:rsidR="00D944E1" w:rsidRPr="00D93874">
              <w:rPr>
                <w:b w:val="0"/>
              </w:rPr>
              <w:t>3</w:t>
            </w:r>
            <w:r w:rsidRPr="00D93874">
              <w:tab/>
              <w:t>Objectives for social housing</w:t>
            </w:r>
          </w:p>
        </w:tc>
      </w:tr>
      <w:tr w:rsidR="008C487D" w:rsidRPr="00D93874" w:rsidTr="00E875F6">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Social housing aims to assist people unable to access alternative suitable housing options through the delivery of affordable, appropriate, flexible and diverse social housing. Some forms of social housing aim specifically to contribute to Aboriginal and Torres Strait Islander community wellbeing by improving housing outcomes, especially for people living in remote communities.</w:t>
            </w:r>
          </w:p>
          <w:p w:rsidR="008C487D" w:rsidRPr="00D93874" w:rsidRDefault="008C487D" w:rsidP="00FF35FF">
            <w:pPr>
              <w:pStyle w:val="Box"/>
            </w:pPr>
            <w:r w:rsidRPr="00D93874">
              <w:t>The NAHA provides the framework for the Australian Government and State and Territory governments to work together to improve housing outcomes for Australians. Under the NAHA, Australian, State and Territory governments agreed to a number of outcomes relating to housing, including that all Australians have access to affordable, safe and sustainable housing that contributes to social and economic participation (COAG 2009).</w:t>
            </w:r>
          </w:p>
        </w:tc>
      </w:tr>
      <w:tr w:rsidR="008C487D" w:rsidRPr="00D93874" w:rsidTr="00E875F6">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Source"/>
            </w:pPr>
            <w:r w:rsidRPr="00D93874">
              <w:rPr>
                <w:i/>
              </w:rPr>
              <w:t>Source:</w:t>
            </w:r>
            <w:r w:rsidR="00D944E1" w:rsidRPr="00D93874">
              <w:t xml:space="preserve"> COAG </w:t>
            </w:r>
            <w:r w:rsidRPr="00D93874">
              <w:t>(2009).</w:t>
            </w:r>
          </w:p>
        </w:tc>
      </w:tr>
      <w:tr w:rsidR="008C487D" w:rsidRPr="00D93874" w:rsidTr="00E875F6">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E875F6">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t>Different delivery contexts and locations influence the equity, effectiveness and efficiency of housing services. The Report’s statistical context chapter contains data that may assist in interpreting the performance indica</w:t>
      </w:r>
      <w:r w:rsidR="00D944E1" w:rsidRPr="00D93874">
        <w:t>tors presented in this chapter.</w:t>
      </w:r>
    </w:p>
    <w:p w:rsidR="00D944E1" w:rsidRPr="00D93874" w:rsidRDefault="00D944E1" w:rsidP="00D944E1">
      <w:pPr>
        <w:pStyle w:val="BodyText"/>
      </w:pPr>
      <w:r w:rsidRPr="00D93874">
        <w:t xml:space="preserve">The Housing performance indicator framework, presented  in figure 17.1, identifies the principal housing services considered in the 2015 Report. Data for </w:t>
      </w:r>
      <w:r w:rsidR="001B6595" w:rsidRPr="00D93874">
        <w:t>Aboriginal and Torres Strait Islander</w:t>
      </w:r>
      <w:r w:rsidRPr="00D93874">
        <w:t xml:space="preserve"> 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8C487D" w:rsidRPr="00D93874" w:rsidRDefault="00D944E1" w:rsidP="00C711C3">
      <w:pPr>
        <w:pStyle w:val="BodyText"/>
      </w:pPr>
      <w:r w:rsidRPr="00D93874">
        <w:t>Indicator boxes presented throughout the chapter provide information about the reported indicators. As these are sourced directly from the 201</w:t>
      </w:r>
      <w:r w:rsidR="00C711C3" w:rsidRPr="00D93874">
        <w:t>5</w:t>
      </w:r>
      <w:r w:rsidRPr="00D93874">
        <w:t xml:space="preserve"> Report, they may include references to data not reported for </w:t>
      </w:r>
      <w:r w:rsidR="001B6595" w:rsidRPr="00D93874">
        <w:t>Aboriginal and Torres Strait Islander</w:t>
      </w:r>
      <w:r w:rsidRPr="00D93874">
        <w:t xml:space="preserve"> Australians and therefore not included in this Compendium.</w:t>
      </w:r>
    </w:p>
    <w:p w:rsidR="008C487D" w:rsidRPr="00D93874" w:rsidRDefault="008C487D" w:rsidP="008C48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487D" w:rsidRPr="00D93874" w:rsidTr="00FF35FF">
        <w:tc>
          <w:tcPr>
            <w:tcW w:w="8771" w:type="dxa"/>
            <w:tcBorders>
              <w:top w:val="single" w:sz="6" w:space="0" w:color="78A22F"/>
              <w:left w:val="nil"/>
              <w:bottom w:val="nil"/>
              <w:right w:val="nil"/>
            </w:tcBorders>
            <w:shd w:val="clear" w:color="auto" w:fill="auto"/>
          </w:tcPr>
          <w:p w:rsidR="008C487D" w:rsidRPr="00D93874" w:rsidRDefault="008C487D" w:rsidP="00FF35FF">
            <w:pPr>
              <w:pStyle w:val="FigureTitle"/>
            </w:pPr>
            <w:r w:rsidRPr="00D93874">
              <w:rPr>
                <w:b w:val="0"/>
              </w:rPr>
              <w:t>Figure 17.1</w:t>
            </w:r>
            <w:r w:rsidRPr="00D93874">
              <w:tab/>
              <w:t>Social housing performance indicator framework</w:t>
            </w:r>
          </w:p>
        </w:tc>
      </w:tr>
      <w:tr w:rsidR="008C487D" w:rsidRPr="00D93874" w:rsidTr="003F5421">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C487D" w:rsidRPr="00D93874" w:rsidTr="00FF35FF">
              <w:tc>
                <w:tcPr>
                  <w:tcW w:w="5000" w:type="pct"/>
                  <w:tcBorders>
                    <w:top w:val="nil"/>
                    <w:bottom w:val="nil"/>
                  </w:tcBorders>
                </w:tcPr>
                <w:p w:rsidR="008C487D" w:rsidRPr="00D93874" w:rsidRDefault="008C487D" w:rsidP="00FF35FF">
                  <w:pPr>
                    <w:pStyle w:val="Figure"/>
                  </w:pPr>
                  <w:r w:rsidRPr="00D93874">
                    <w:rPr>
                      <w:noProof/>
                    </w:rPr>
                    <w:drawing>
                      <wp:inline distT="0" distB="0" distL="0" distR="0" wp14:anchorId="0D3F2155" wp14:editId="49EE6F61">
                        <wp:extent cx="5381625" cy="5295900"/>
                        <wp:effectExtent l="0" t="0" r="0" b="0"/>
                        <wp:docPr id="1" name="Picture 1" descr="Figure 17.1 Social housing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81625" cy="5295900"/>
                                </a:xfrm>
                                <a:prstGeom prst="rect">
                                  <a:avLst/>
                                </a:prstGeom>
                                <a:noFill/>
                                <a:ln>
                                  <a:noFill/>
                                </a:ln>
                              </pic:spPr>
                            </pic:pic>
                          </a:graphicData>
                        </a:graphic>
                      </wp:inline>
                    </w:drawing>
                  </w:r>
                </w:p>
              </w:tc>
            </w:tr>
          </w:tbl>
          <w:p w:rsidR="008C487D" w:rsidRPr="00D93874" w:rsidRDefault="008C487D" w:rsidP="00FF35FF">
            <w:pPr>
              <w:pStyle w:val="Figure"/>
            </w:pPr>
          </w:p>
        </w:tc>
      </w:tr>
      <w:tr w:rsidR="003F5421" w:rsidRPr="00D93874" w:rsidTr="003F5421">
        <w:tc>
          <w:tcPr>
            <w:tcW w:w="8771" w:type="dxa"/>
            <w:tcBorders>
              <w:top w:val="nil"/>
              <w:left w:val="nil"/>
              <w:bottom w:val="nil"/>
              <w:right w:val="nil"/>
            </w:tcBorders>
          </w:tcPr>
          <w:p w:rsidR="003F5421" w:rsidRPr="00D93874" w:rsidRDefault="003F5421" w:rsidP="003F5421">
            <w:pPr>
              <w:pStyle w:val="Source"/>
            </w:pPr>
            <w:r w:rsidRPr="00D93874">
              <w:rPr>
                <w:i/>
              </w:rPr>
              <w:t>Source</w:t>
            </w:r>
            <w:r w:rsidRPr="00D93874">
              <w:t>: 2015 Report, figure 17.1, p. 16.15.</w:t>
            </w:r>
          </w:p>
        </w:tc>
      </w:tr>
      <w:tr w:rsidR="008C487D" w:rsidRPr="00D93874" w:rsidTr="00FF35FF">
        <w:tc>
          <w:tcPr>
            <w:tcW w:w="8771" w:type="dxa"/>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C711C3">
      <w:pPr>
        <w:pStyle w:val="Heading3"/>
      </w:pPr>
      <w:bookmarkStart w:id="30" w:name="_Toc314211349"/>
      <w:bookmarkStart w:id="31" w:name="_Toc396143032"/>
      <w:bookmarkStart w:id="32" w:name="_Toc411861013"/>
      <w:bookmarkStart w:id="33" w:name="_Toc210006653"/>
      <w:bookmarkStart w:id="34" w:name="_Toc210006655"/>
      <w:r w:rsidRPr="00D93874">
        <w:t>Key performance indicator results</w:t>
      </w:r>
      <w:bookmarkEnd w:id="30"/>
      <w:bookmarkEnd w:id="31"/>
      <w:bookmarkEnd w:id="32"/>
    </w:p>
    <w:p w:rsidR="008C487D" w:rsidRPr="00D93874" w:rsidRDefault="008C487D" w:rsidP="008C487D">
      <w:pPr>
        <w:pStyle w:val="BodyText"/>
      </w:pPr>
      <w:r w:rsidRPr="00D93874">
        <w:t>Results for each performance indicator are presented separately for public housing, SOMIH, community housing and Indigenous community housing. Generally, performance indicator results are comparable between public housing and SOMIH. Public housing and SOMIH results are not comparable to community housing and Indigenous community housing because of differences in data quality, timing and coverage.</w:t>
      </w:r>
    </w:p>
    <w:p w:rsidR="008C487D" w:rsidRPr="00D93874" w:rsidRDefault="008C487D" w:rsidP="008C487D">
      <w:pPr>
        <w:pStyle w:val="BodyText"/>
      </w:pPr>
      <w:r w:rsidRPr="00D93874">
        <w:t>Data presented in this Report are collected from a variety of sources and the quality and coverage of each collection varies.</w:t>
      </w:r>
    </w:p>
    <w:p w:rsidR="008C487D" w:rsidRPr="00D93874" w:rsidRDefault="008C487D" w:rsidP="008C487D">
      <w:pPr>
        <w:pStyle w:val="ListBullet"/>
        <w:rPr>
          <w:color w:val="000000" w:themeColor="text1"/>
        </w:rPr>
      </w:pPr>
      <w:r w:rsidRPr="00D93874">
        <w:rPr>
          <w:color w:val="000000" w:themeColor="text1"/>
        </w:rPr>
        <w:lastRenderedPageBreak/>
        <w:t xml:space="preserve">SOMIH data are sourced from State and Territory government unit record datasets extracted from administrative databases, </w:t>
      </w:r>
      <w:r w:rsidRPr="00D93874">
        <w:t xml:space="preserve">and the National Social Housing Survey (NSHS). </w:t>
      </w:r>
      <w:r w:rsidRPr="00D93874">
        <w:rPr>
          <w:color w:val="000000" w:themeColor="text1"/>
        </w:rPr>
        <w:t>Victoria (from 2009–10), WA (from 2010–11), the ACT and the NT are not included in the SOMIH data collection.</w:t>
      </w:r>
    </w:p>
    <w:p w:rsidR="008C487D" w:rsidRPr="00D93874" w:rsidRDefault="008C487D" w:rsidP="008C487D">
      <w:pPr>
        <w:pStyle w:val="ListBullet"/>
      </w:pPr>
      <w:r w:rsidRPr="00D93874">
        <w:t>Indigenous community housing data are a combination of administrative data and survey data collected from ICH organisations. Complete data for all jurisdictions are not available, and ICH data should be interpreted with caution. Details of all ICH dwellings are not known and ICH data reflect only those dwellings for which details are known. ICH data are not reported for a number of the social housing performance indicators due to issues with data quality and availability.</w:t>
      </w:r>
    </w:p>
    <w:p w:rsidR="008C487D" w:rsidRPr="00D93874" w:rsidRDefault="008C487D" w:rsidP="008C487D">
      <w:pPr>
        <w:pStyle w:val="BodyText"/>
      </w:pPr>
      <w:r w:rsidRPr="00D93874">
        <w:t xml:space="preserve">This Report includes additional descriptive data for social </w:t>
      </w:r>
      <w:r w:rsidR="00200150" w:rsidRPr="00D93874">
        <w:t>housing in tables 17A.6 (SOMIH</w:t>
      </w:r>
      <w:r w:rsidRPr="00D93874">
        <w:t>) and 17A.8 (ICH).</w:t>
      </w:r>
    </w:p>
    <w:p w:rsidR="008C487D" w:rsidRPr="00D93874" w:rsidRDefault="008C487D" w:rsidP="008C487D">
      <w:pPr>
        <w:pStyle w:val="Heading4"/>
      </w:pPr>
      <w:r w:rsidRPr="00D93874">
        <w:t>Outputs</w:t>
      </w:r>
    </w:p>
    <w:p w:rsidR="008C487D" w:rsidRPr="00D93874" w:rsidRDefault="008C487D" w:rsidP="008C487D">
      <w:pPr>
        <w:pStyle w:val="BodyText"/>
      </w:pPr>
      <w:r w:rsidRPr="00D93874">
        <w:t>The following indicators measure the outputs of social housing. Outputs are the services delivered, while outcomes are the impact of those services on the status of an individual or group (see</w:t>
      </w:r>
      <w:r w:rsidR="00200150" w:rsidRPr="00D93874">
        <w:t xml:space="preserve"> 2015 Report,</w:t>
      </w:r>
      <w:r w:rsidRPr="00D93874">
        <w:t xml:space="preserve"> chapter 1, section 1.5).</w:t>
      </w:r>
    </w:p>
    <w:p w:rsidR="008C487D" w:rsidRPr="00D93874" w:rsidRDefault="008C487D" w:rsidP="008C487D">
      <w:pPr>
        <w:pStyle w:val="Heading5"/>
      </w:pPr>
      <w:r w:rsidRPr="00D93874">
        <w:t>Special needs</w:t>
      </w:r>
    </w:p>
    <w:p w:rsidR="008C487D" w:rsidRPr="00D93874" w:rsidRDefault="008C487D" w:rsidP="008C487D">
      <w:pPr>
        <w:pStyle w:val="BodyText"/>
      </w:pPr>
      <w:r w:rsidRPr="00D93874">
        <w:t xml:space="preserve">‘Special needs’ is an indicator of governments’ objective to provide appropriate, affordable and secure housing assistance to people who are unable </w:t>
      </w:r>
      <w:r w:rsidR="00200150" w:rsidRPr="00D93874">
        <w:t xml:space="preserve">to access suitable housing </w:t>
      </w:r>
      <w:r w:rsidR="00200150" w:rsidRPr="00D93874">
        <w:br/>
        <w:t>(box 17.4</w:t>
      </w:r>
      <w:r w:rsidRPr="00D93874">
        <w:t>).</w:t>
      </w:r>
    </w:p>
    <w:p w:rsidR="008C487D" w:rsidRPr="00D93874" w:rsidRDefault="008C487D" w:rsidP="008C487D">
      <w:pPr>
        <w:pStyle w:val="BoxSpaceAbove"/>
      </w:pPr>
    </w:p>
    <w:tbl>
      <w:tblPr>
        <w:tblW w:w="4704"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536"/>
      </w:tblGrid>
      <w:tr w:rsidR="008C487D" w:rsidRPr="00D93874" w:rsidTr="00AF27D5">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200150">
            <w:pPr>
              <w:pStyle w:val="BoxTitle"/>
            </w:pPr>
            <w:r w:rsidRPr="00D93874">
              <w:rPr>
                <w:b w:val="0"/>
              </w:rPr>
              <w:t>Box 17.</w:t>
            </w:r>
            <w:r w:rsidR="00200150" w:rsidRPr="00D93874">
              <w:rPr>
                <w:b w:val="0"/>
              </w:rPr>
              <w:t>4</w:t>
            </w:r>
            <w:r w:rsidRPr="00D93874">
              <w:tab/>
              <w:t>Special needs</w:t>
            </w:r>
          </w:p>
        </w:tc>
      </w:tr>
      <w:tr w:rsidR="008C487D" w:rsidRPr="00D93874" w:rsidTr="00AF27D5">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‘Special needs’ is defined as the proportion of new tenancies allocated to households with special needs. The proportion of new tenancies with special needs is reported as a proxy for measuring all households with special needs.</w:t>
            </w:r>
          </w:p>
          <w:p w:rsidR="008C487D" w:rsidRPr="00D93874" w:rsidRDefault="008C487D" w:rsidP="00FF35FF">
            <w:pPr>
              <w:pStyle w:val="Box"/>
            </w:pPr>
            <w:r w:rsidRPr="00D93874">
              <w:t>Households with special needs are defined as:</w:t>
            </w:r>
          </w:p>
          <w:p w:rsidR="008C487D" w:rsidRPr="00D93874" w:rsidRDefault="008C487D" w:rsidP="00FF35FF">
            <w:pPr>
              <w:pStyle w:val="BoxListBullet"/>
            </w:pPr>
            <w:r w:rsidRPr="00D93874">
              <w:t xml:space="preserve">for public </w:t>
            </w:r>
            <w:r w:rsidRPr="00D93874">
              <w:rPr>
                <w:color w:val="000000" w:themeColor="text1"/>
              </w:rPr>
              <w:t xml:space="preserve">and community housing — those </w:t>
            </w:r>
            <w:r w:rsidRPr="00D93874">
              <w:t>households that have either a household member with disabil</w:t>
            </w:r>
            <w:r w:rsidR="0073146B" w:rsidRPr="00D93874">
              <w:t xml:space="preserve">ity, a principal tenant aged 24 years or under, or 75 </w:t>
            </w:r>
            <w:r w:rsidRPr="00D93874">
              <w:t>years or over, or one or more Aboriginal and Torres Strait Islander members</w:t>
            </w:r>
          </w:p>
          <w:p w:rsidR="008C487D" w:rsidRPr="00D93874" w:rsidRDefault="008C487D" w:rsidP="00FF35FF">
            <w:pPr>
              <w:pStyle w:val="BoxListBullet"/>
            </w:pPr>
            <w:r w:rsidRPr="00D93874">
              <w:t>for SOMIH — those households that have either a household member with disabilit</w:t>
            </w:r>
            <w:r w:rsidR="0073146B" w:rsidRPr="00D93874">
              <w:t xml:space="preserve">y or a principal tenant aged 24 years or under, or 50 </w:t>
            </w:r>
            <w:r w:rsidRPr="00D93874">
              <w:t>years or over.</w:t>
            </w:r>
          </w:p>
          <w:p w:rsidR="008C487D" w:rsidRPr="00D93874" w:rsidRDefault="008C487D" w:rsidP="00FF35FF">
            <w:pPr>
              <w:pStyle w:val="Box"/>
            </w:pPr>
            <w:r w:rsidRPr="00D93874">
              <w:t>A high or increasing proportion indicates a high degree of access by these special needs households.</w:t>
            </w:r>
          </w:p>
          <w:p w:rsidR="008C487D" w:rsidRPr="00D93874" w:rsidRDefault="008C487D" w:rsidP="00FF35FF">
            <w:pPr>
              <w:pStyle w:val="Box"/>
            </w:pPr>
            <w:r w:rsidRPr="00D93874">
              <w:t>Data for this indicator are reported for public housing, SOMIH and community housing.</w:t>
            </w:r>
          </w:p>
          <w:p w:rsidR="008C487D" w:rsidRPr="00D93874" w:rsidRDefault="008C487D" w:rsidP="00FF35FF">
            <w:pPr>
              <w:pStyle w:val="Box"/>
            </w:pPr>
            <w:r w:rsidRPr="00D93874">
              <w:t>Data comparability and completeness vary for this indicator. Data reported are:</w:t>
            </w:r>
          </w:p>
          <w:p w:rsidR="008C487D" w:rsidRPr="00D93874" w:rsidRDefault="008C487D" w:rsidP="00FF35FF">
            <w:pPr>
              <w:pStyle w:val="BoxListBullet"/>
            </w:pPr>
            <w:r w:rsidRPr="00D93874">
              <w:t>comparable (subject to caveats) within some jurisdictions over time but are not comparable across jurisdictions or over time for other jurisdictions (see caveats in attachment tables and DQI for specific jurisdictions)</w:t>
            </w:r>
          </w:p>
          <w:p w:rsidR="008C487D" w:rsidRPr="00D93874" w:rsidRDefault="008C487D" w:rsidP="00FF35FF">
            <w:pPr>
              <w:pStyle w:val="BoxListBullet"/>
            </w:pPr>
            <w:r w:rsidRPr="00D93874">
              <w:t>are not comparable across public housing, SOMIH and community housing</w:t>
            </w:r>
          </w:p>
          <w:p w:rsidR="008C487D" w:rsidRPr="00D93874" w:rsidRDefault="008C487D" w:rsidP="00FF35FF">
            <w:pPr>
              <w:pStyle w:val="BoxListBullet"/>
            </w:pPr>
            <w:r w:rsidRPr="00D93874">
              <w:t>complete for public housing and SOMIH for the current reporting period (subject to caveats). All required 2013–14 data are available for all jurisdictions providing the service</w:t>
            </w:r>
          </w:p>
          <w:p w:rsidR="008C487D" w:rsidRPr="00D93874" w:rsidRDefault="008C487D" w:rsidP="00FF35FF">
            <w:pPr>
              <w:pStyle w:val="BoxListBullet"/>
            </w:pPr>
            <w:r w:rsidRPr="00D93874">
              <w:t>incomplete for community housing for the current reporting period. All required 2013–14 data are not available for the Northern Territory.</w:t>
            </w:r>
          </w:p>
          <w:p w:rsidR="008C487D" w:rsidRPr="00D93874" w:rsidRDefault="008C487D" w:rsidP="00FF35FF">
            <w:pPr>
              <w:pStyle w:val="Box"/>
            </w:pPr>
            <w:r w:rsidRPr="00D93874">
              <w:t xml:space="preserve">Data quality information for this indicator is at </w:t>
            </w:r>
            <w:proofErr w:type="spellStart"/>
            <w:r w:rsidR="00091343">
              <w:t>www.pc.gov.au</w:t>
            </w:r>
            <w:proofErr w:type="spellEnd"/>
            <w:r w:rsidR="00091343">
              <w:t>/research/recurring/report-on-government-services</w:t>
            </w:r>
            <w:r w:rsidRPr="00D93874">
              <w:t>.</w:t>
            </w:r>
          </w:p>
        </w:tc>
      </w:tr>
      <w:tr w:rsidR="00AF27D5" w:rsidRPr="00D93874" w:rsidTr="00AF27D5">
        <w:trPr>
          <w:cantSplit/>
        </w:trPr>
        <w:tc>
          <w:tcPr>
            <w:tcW w:w="5000" w:type="pct"/>
            <w:tcBorders>
              <w:top w:val="nil"/>
              <w:left w:val="nil"/>
              <w:bottom w:val="single" w:sz="6" w:space="0" w:color="78A22F"/>
              <w:right w:val="nil"/>
            </w:tcBorders>
            <w:shd w:val="clear" w:color="auto" w:fill="F2F2F2" w:themeFill="background1" w:themeFillShade="F2"/>
          </w:tcPr>
          <w:p w:rsidR="00AF27D5" w:rsidRPr="00D93874" w:rsidRDefault="00AF27D5" w:rsidP="00132AEF">
            <w:pPr>
              <w:pStyle w:val="Box"/>
              <w:spacing w:before="0" w:line="120" w:lineRule="exact"/>
            </w:pPr>
          </w:p>
        </w:tc>
      </w:tr>
      <w:tr w:rsidR="00AF27D5" w:rsidRPr="00D93874" w:rsidTr="00AF27D5">
        <w:tc>
          <w:tcPr>
            <w:tcW w:w="5000" w:type="pct"/>
            <w:tcBorders>
              <w:top w:val="single" w:sz="6" w:space="0" w:color="78A22F"/>
              <w:left w:val="nil"/>
              <w:bottom w:val="nil"/>
              <w:right w:val="nil"/>
            </w:tcBorders>
          </w:tcPr>
          <w:p w:rsidR="00AF27D5" w:rsidRPr="00D93874" w:rsidRDefault="00AF27D5" w:rsidP="00132AEF">
            <w:pPr>
              <w:pStyle w:val="BoxSpaceBelow"/>
            </w:pPr>
          </w:p>
        </w:tc>
      </w:tr>
    </w:tbl>
    <w:p w:rsidR="008C487D" w:rsidRPr="00D93874" w:rsidRDefault="0073146B" w:rsidP="0073146B">
      <w:pPr>
        <w:pStyle w:val="BodyText"/>
      </w:pPr>
      <w:r w:rsidRPr="00D93874">
        <w:t xml:space="preserve">Nationally in 2013–14, </w:t>
      </w:r>
      <w:r w:rsidR="008C487D" w:rsidRPr="00D93874">
        <w:rPr>
          <w:color w:val="000000" w:themeColor="text1"/>
        </w:rPr>
        <w:t>55.6 per cent of new tenancies for SOMIH were allocated to households with special needs, increasing from 51.3 per cent in 2009–10</w:t>
      </w:r>
      <w:r w:rsidRPr="00D93874">
        <w:rPr>
          <w:color w:val="000000" w:themeColor="text1"/>
        </w:rPr>
        <w:t xml:space="preserve"> (figure </w:t>
      </w:r>
      <w:r w:rsidR="008C487D" w:rsidRPr="00D93874">
        <w:rPr>
          <w:color w:val="000000" w:themeColor="text1"/>
        </w:rPr>
        <w:t>17.2).</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73146B">
        <w:tc>
          <w:tcPr>
            <w:tcW w:w="5000" w:type="pct"/>
            <w:tcBorders>
              <w:top w:val="single" w:sz="6" w:space="0" w:color="78A22F"/>
              <w:left w:val="nil"/>
              <w:bottom w:val="nil"/>
              <w:right w:val="nil"/>
            </w:tcBorders>
            <w:shd w:val="clear" w:color="auto" w:fill="auto"/>
          </w:tcPr>
          <w:p w:rsidR="008C487D" w:rsidRPr="00D93874" w:rsidRDefault="008C487D" w:rsidP="0073146B">
            <w:pPr>
              <w:pStyle w:val="FigureTitle"/>
            </w:pPr>
            <w:r w:rsidRPr="00D93874">
              <w:rPr>
                <w:b w:val="0"/>
              </w:rPr>
              <w:t xml:space="preserve">Figure 17.2 </w:t>
            </w:r>
            <w:r w:rsidRPr="00D93874">
              <w:tab/>
              <w:t>New tenancies allocated to households with special needs</w:t>
            </w:r>
            <w:r w:rsidR="0073146B" w:rsidRPr="00D93874">
              <w:t xml:space="preserve"> — SOMIH</w:t>
            </w:r>
            <w:r w:rsidRPr="00D93874">
              <w:t xml:space="preserve"> (per</w:t>
            </w:r>
            <w:r w:rsidR="0073146B" w:rsidRPr="00D93874">
              <w:t xml:space="preserve"> </w:t>
            </w:r>
            <w:r w:rsidRPr="00D93874">
              <w:t>cent)</w:t>
            </w:r>
            <w:r w:rsidRPr="00D93874">
              <w:rPr>
                <w:rStyle w:val="NoteLabel"/>
                <w:b/>
              </w:rPr>
              <w:t>a</w:t>
            </w:r>
            <w:r w:rsidR="0073146B" w:rsidRPr="00D93874">
              <w:rPr>
                <w:rStyle w:val="NoteLabel"/>
              </w:rPr>
              <w:t xml:space="preserve">, </w:t>
            </w:r>
            <w:r w:rsidR="0073146B" w:rsidRPr="00D93874">
              <w:rPr>
                <w:rStyle w:val="NoteLabel"/>
                <w:b/>
              </w:rPr>
              <w:t>b</w:t>
            </w:r>
          </w:p>
        </w:tc>
      </w:tr>
      <w:tr w:rsidR="008C487D" w:rsidRPr="00D93874" w:rsidTr="0073146B">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8C487D" w:rsidRPr="00D93874" w:rsidTr="00FF35FF">
              <w:tc>
                <w:tcPr>
                  <w:tcW w:w="5000" w:type="pct"/>
                  <w:tcBorders>
                    <w:top w:val="nil"/>
                    <w:bottom w:val="nil"/>
                  </w:tcBorders>
                </w:tcPr>
                <w:p w:rsidR="008C487D" w:rsidRPr="00D93874" w:rsidRDefault="008C487D" w:rsidP="00FF35FF">
                  <w:pPr>
                    <w:pStyle w:val="Figure"/>
                    <w:spacing w:after="60"/>
                    <w:rPr>
                      <w:rStyle w:val="NoteLabel"/>
                    </w:rPr>
                  </w:pPr>
                  <w:r w:rsidRPr="00D93874">
                    <w:rPr>
                      <w:rFonts w:ascii="Arial" w:hAnsi="Arial"/>
                      <w:b/>
                      <w:noProof/>
                      <w:position w:val="6"/>
                      <w:sz w:val="18"/>
                    </w:rPr>
                    <w:drawing>
                      <wp:inline distT="0" distB="0" distL="0" distR="0" wp14:anchorId="57FA9736" wp14:editId="4387DD9D">
                        <wp:extent cx="5381625" cy="1781175"/>
                        <wp:effectExtent l="0" t="0" r="9525" b="9525"/>
                        <wp:docPr id="4" name="Picture 4" descr="Figure 17.2 New tenancies allocated to households with special needs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
                <w:p w:rsidR="008C487D" w:rsidRPr="00D93874" w:rsidRDefault="008C487D" w:rsidP="00FF35FF">
                  <w:pPr>
                    <w:pStyle w:val="Figure"/>
                    <w:spacing w:before="60" w:after="60"/>
                    <w:rPr>
                      <w:rStyle w:val="NoteLabel"/>
                    </w:rPr>
                  </w:pPr>
                  <w:r w:rsidRPr="00D93874">
                    <w:rPr>
                      <w:rFonts w:ascii="Arial" w:hAnsi="Arial"/>
                      <w:b/>
                      <w:noProof/>
                      <w:position w:val="6"/>
                      <w:sz w:val="18"/>
                    </w:rPr>
                    <w:drawing>
                      <wp:inline distT="0" distB="0" distL="0" distR="0" wp14:anchorId="4E4DB88F" wp14:editId="16AE2EB4">
                        <wp:extent cx="5143500" cy="228600"/>
                        <wp:effectExtent l="0" t="0" r="0" b="0"/>
                        <wp:docPr id="8" name="Picture 8" descr="Figure 17.2 New tenancies allocated to households with special needs (per cent)&#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228600"/>
                                </a:xfrm>
                                <a:prstGeom prst="rect">
                                  <a:avLst/>
                                </a:prstGeom>
                                <a:noFill/>
                                <a:ln>
                                  <a:noFill/>
                                </a:ln>
                              </pic:spPr>
                            </pic:pic>
                          </a:graphicData>
                        </a:graphic>
                      </wp:inline>
                    </w:drawing>
                  </w:r>
                </w:p>
              </w:tc>
            </w:tr>
          </w:tbl>
          <w:p w:rsidR="008C487D" w:rsidRPr="00D93874" w:rsidRDefault="008C487D" w:rsidP="00FF35FF">
            <w:pPr>
              <w:pStyle w:val="Figure"/>
            </w:pPr>
          </w:p>
        </w:tc>
      </w:tr>
      <w:tr w:rsidR="008C487D" w:rsidRPr="00D93874" w:rsidTr="0073146B">
        <w:tc>
          <w:tcPr>
            <w:tcW w:w="5000" w:type="pct"/>
            <w:tcBorders>
              <w:top w:val="nil"/>
              <w:left w:val="nil"/>
              <w:bottom w:val="nil"/>
              <w:right w:val="nil"/>
            </w:tcBorders>
            <w:shd w:val="clear" w:color="auto" w:fill="auto"/>
          </w:tcPr>
          <w:p w:rsidR="008C487D" w:rsidRPr="00D93874" w:rsidRDefault="008C487D" w:rsidP="00A94440">
            <w:pPr>
              <w:pStyle w:val="Note"/>
            </w:pPr>
            <w:r w:rsidRPr="00D93874">
              <w:rPr>
                <w:rStyle w:val="NoteLabel"/>
              </w:rPr>
              <w:t>a</w:t>
            </w:r>
            <w:r w:rsidRPr="00D93874">
              <w:t xml:space="preserve"> Data may not be comparable across jurisdictions and over time and comparis</w:t>
            </w:r>
            <w:r w:rsidR="0073146B" w:rsidRPr="00D93874">
              <w:t>ons could be misleading. Table 17A.10</w:t>
            </w:r>
            <w:r w:rsidRPr="00D93874">
              <w:t xml:space="preserve"> provide</w:t>
            </w:r>
            <w:r w:rsidR="00DD4C39" w:rsidRPr="00D93874">
              <w:t>s</w:t>
            </w:r>
            <w:r w:rsidRPr="00D93874">
              <w:t xml:space="preserve"> further information. </w:t>
            </w:r>
            <w:r w:rsidRPr="00D93874">
              <w:rPr>
                <w:rStyle w:val="NoteLabel"/>
              </w:rPr>
              <w:t>b</w:t>
            </w:r>
            <w:r w:rsidRPr="00D93874">
              <w:rPr>
                <w:b/>
              </w:rPr>
              <w:t> </w:t>
            </w:r>
            <w:r w:rsidRPr="00D93874">
              <w:t>There are no SOMIH data reported for Victoria (from 2009</w:t>
            </w:r>
            <w:r w:rsidR="00A94440">
              <w:noBreakHyphen/>
            </w:r>
            <w:r w:rsidRPr="00D93874">
              <w:t xml:space="preserve">10) or WA (from 2010–11) as SOMIH was transferred to other housing programs. </w:t>
            </w:r>
            <w:r w:rsidRPr="00D93874">
              <w:rPr>
                <w:rStyle w:val="NoteLabel"/>
              </w:rPr>
              <w:t>c</w:t>
            </w:r>
            <w:r w:rsidRPr="00D93874">
              <w:t xml:space="preserve"> Data for the NT are not available. </w:t>
            </w:r>
            <w:r w:rsidRPr="00D93874">
              <w:rPr>
                <w:rStyle w:val="NoteLabel"/>
              </w:rPr>
              <w:t>d</w:t>
            </w:r>
            <w:r w:rsidRPr="00D93874">
              <w:rPr>
                <w:b/>
              </w:rPr>
              <w:t> </w:t>
            </w:r>
            <w:r w:rsidRPr="00D93874">
              <w:t>National totals reflect data for those jurisdictions and/or organisations where data have been reported. Due to missing data, totals may not reflect the national community housing sector.</w:t>
            </w:r>
          </w:p>
        </w:tc>
      </w:tr>
      <w:tr w:rsidR="008C487D" w:rsidRPr="00D93874" w:rsidTr="0073146B">
        <w:tc>
          <w:tcPr>
            <w:tcW w:w="5000" w:type="pct"/>
            <w:tcBorders>
              <w:top w:val="nil"/>
              <w:left w:val="nil"/>
              <w:bottom w:val="nil"/>
              <w:right w:val="nil"/>
            </w:tcBorders>
            <w:shd w:val="clear" w:color="auto" w:fill="auto"/>
          </w:tcPr>
          <w:p w:rsidR="008C487D" w:rsidRPr="00D93874" w:rsidRDefault="008C487D" w:rsidP="0073146B">
            <w:pPr>
              <w:pStyle w:val="Source"/>
            </w:pPr>
            <w:r w:rsidRPr="00D93874">
              <w:rPr>
                <w:i/>
              </w:rPr>
              <w:t>Source</w:t>
            </w:r>
            <w:r w:rsidRPr="00D93874">
              <w:t xml:space="preserve">: AIHW (unpublished) </w:t>
            </w:r>
            <w:r w:rsidRPr="00D93874">
              <w:rPr>
                <w:i/>
              </w:rPr>
              <w:t>National Housing Assistance Data Repository</w:t>
            </w:r>
            <w:r w:rsidR="0073146B" w:rsidRPr="00D93874">
              <w:t>; table 17A.10; 2015 Report, figure 17.2, p. 17.18.</w:t>
            </w:r>
          </w:p>
        </w:tc>
      </w:tr>
      <w:tr w:rsidR="008C487D" w:rsidRPr="00D93874" w:rsidTr="0073146B">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73146B">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spacing w:before="360"/>
      </w:pPr>
      <w:r w:rsidRPr="00D93874">
        <w:t>Priority access to those in greatest need</w:t>
      </w:r>
    </w:p>
    <w:p w:rsidR="008C487D" w:rsidRPr="00D93874" w:rsidRDefault="008C487D" w:rsidP="008C487D">
      <w:pPr>
        <w:pStyle w:val="BodyText"/>
        <w:spacing w:before="120"/>
      </w:pPr>
      <w:r w:rsidRPr="00D93874">
        <w:t>‘Priority access to those in greatest need’ is an indicator of governments’ objective to provide appropriate, affordable and secure housing to assist people who are unable to access suitable housing. This indicator provides information on whether allocation processes ensure that those in greatest need have priority access to housing (box 17.</w:t>
      </w:r>
      <w:r w:rsidR="0073146B" w:rsidRPr="00D93874">
        <w:t>5</w:t>
      </w:r>
      <w:r w:rsidRPr="00D93874">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73146B">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73146B">
            <w:pPr>
              <w:pStyle w:val="BoxTitle"/>
            </w:pPr>
            <w:r w:rsidRPr="00D93874">
              <w:rPr>
                <w:b w:val="0"/>
              </w:rPr>
              <w:t>Box 17.</w:t>
            </w:r>
            <w:r w:rsidR="0073146B" w:rsidRPr="00D93874">
              <w:rPr>
                <w:b w:val="0"/>
              </w:rPr>
              <w:t>5</w:t>
            </w:r>
            <w:r w:rsidRPr="00D93874">
              <w:tab/>
              <w:t>Priority access to those in greatest need</w:t>
            </w:r>
          </w:p>
        </w:tc>
      </w:tr>
      <w:tr w:rsidR="008C487D" w:rsidRPr="00D93874" w:rsidTr="0073146B">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 xml:space="preserve">‘Priority access to those in greatest need’ is defined as the proportion of new allocations of housing </w:t>
            </w:r>
            <w:r w:rsidR="0073146B" w:rsidRPr="00D93874">
              <w:t>to households in greatest need.</w:t>
            </w:r>
          </w:p>
          <w:p w:rsidR="008C487D" w:rsidRPr="00D93874" w:rsidRDefault="008C487D" w:rsidP="00FF35FF">
            <w:pPr>
              <w:pStyle w:val="Box"/>
            </w:pPr>
            <w:r w:rsidRPr="00D93874">
              <w:t>Greatest need households are defined as households that at the time of allocation are either homeless, in housing inappropriate to their needs, in housing that is adversely affecting their health or placing their life and safety at risk, or that has very high rental housing costs.</w:t>
            </w:r>
          </w:p>
          <w:p w:rsidR="008C487D" w:rsidRPr="00D93874" w:rsidRDefault="008C487D" w:rsidP="00FF35FF">
            <w:pPr>
              <w:pStyle w:val="Box"/>
            </w:pPr>
            <w:r w:rsidRPr="00D93874">
              <w:t>The following measures are reported:</w:t>
            </w:r>
          </w:p>
          <w:p w:rsidR="008C487D" w:rsidRPr="00D93874" w:rsidRDefault="008C487D" w:rsidP="00B3570B">
            <w:pPr>
              <w:pStyle w:val="BoxListBullet"/>
            </w:pPr>
            <w:r w:rsidRPr="00D93874">
              <w:t>the proportion of new allocations that were to households in greatest need</w:t>
            </w:r>
          </w:p>
          <w:p w:rsidR="008C487D" w:rsidRPr="00D93874" w:rsidRDefault="008C487D" w:rsidP="00B3570B">
            <w:pPr>
              <w:pStyle w:val="BoxListBullet"/>
            </w:pPr>
            <w:r w:rsidRPr="00D93874">
              <w:t>the proportion of new allocations to households in greatest need (of all new allocations) that were waiting for periods of: less than three months; three months to less than six months; six months to less than one year; one year to less than two years; two years or more. These percentages are not cumulative, because time to allocation for this measure reflects greatest need allocations as a percentage of all new allocations for the time period.</w:t>
            </w:r>
          </w:p>
          <w:p w:rsidR="008C487D" w:rsidRPr="00D93874" w:rsidRDefault="008C487D" w:rsidP="00FF35FF">
            <w:pPr>
              <w:pStyle w:val="Box"/>
            </w:pPr>
            <w:r w:rsidRPr="00D93874">
              <w:t>High or increasing values for these measures, particularly for short timeframes, indicate a high degree of access for those households in greatest need.</w:t>
            </w:r>
          </w:p>
          <w:p w:rsidR="008C487D" w:rsidRPr="00D93874" w:rsidRDefault="008C487D" w:rsidP="00FF35FF">
            <w:pPr>
              <w:pStyle w:val="Box"/>
            </w:pPr>
            <w:r w:rsidRPr="00D93874">
              <w:t>Data for this indicator are reported for public housing, SOMIH and community housing. Data comparability and completeness vary for this indicator. Differences in State and Territory housing assessment policies and community housing allocation policies can influence comparability for this indicator. Data reported are:</w:t>
            </w:r>
          </w:p>
          <w:p w:rsidR="008C487D" w:rsidRPr="00D93874" w:rsidRDefault="008C487D" w:rsidP="00B3570B">
            <w:pPr>
              <w:pStyle w:val="BoxListBullet"/>
            </w:pPr>
            <w:r w:rsidRPr="00D93874">
              <w:t>comparable (subject to caveats) within some jurisdictions over time but are not comparable across jurisdictions or over time for other jurisdictions (see caveats in attachment tables and DQI for specific jurisdictions)</w:t>
            </w:r>
          </w:p>
          <w:p w:rsidR="008C487D" w:rsidRPr="00D93874" w:rsidRDefault="008C487D" w:rsidP="00B3570B">
            <w:pPr>
              <w:pStyle w:val="BoxListBullet"/>
            </w:pPr>
            <w:r w:rsidRPr="00D93874">
              <w:t>are not comparable across public housing, SOMIH and community housing</w:t>
            </w:r>
          </w:p>
          <w:p w:rsidR="008C487D" w:rsidRPr="00D93874" w:rsidRDefault="008C487D" w:rsidP="00B3570B">
            <w:pPr>
              <w:pStyle w:val="BoxListBullet"/>
            </w:pPr>
            <w:r w:rsidRPr="00D93874">
              <w:t>complete for public housing for the current reporting period (subject to caveats). All required 2013–14 data are available for all jurisdictions providing the service</w:t>
            </w:r>
          </w:p>
          <w:p w:rsidR="008C487D" w:rsidRPr="00D93874" w:rsidRDefault="008C487D" w:rsidP="00B3570B">
            <w:pPr>
              <w:pStyle w:val="BoxListBullet"/>
            </w:pPr>
            <w:r w:rsidRPr="00D93874">
              <w:t>incomplete for SOMIH for the current reporting period. All required 2013–14 data are not available for Tasmania</w:t>
            </w:r>
          </w:p>
          <w:p w:rsidR="008C487D" w:rsidRPr="00D93874" w:rsidRDefault="008C487D" w:rsidP="00B3570B">
            <w:pPr>
              <w:pStyle w:val="BoxListBullet"/>
            </w:pPr>
            <w:r w:rsidRPr="00D93874">
              <w:t>incomplete for community housing for the current reporting period. All required 2013–14 data are not available for the Northern Territory.</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73146B">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73146B">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rPr>
          <w:color w:val="000000" w:themeColor="text1"/>
        </w:rPr>
      </w:pPr>
      <w:r w:rsidRPr="00D93874">
        <w:rPr>
          <w:color w:val="000000" w:themeColor="text1"/>
        </w:rPr>
        <w:t xml:space="preserve">The proportions of new allocations to those households in greatest need for SOMIH </w:t>
      </w:r>
      <w:r w:rsidR="0073146B" w:rsidRPr="00D93874">
        <w:rPr>
          <w:color w:val="000000" w:themeColor="text1"/>
        </w:rPr>
        <w:t>is</w:t>
      </w:r>
      <w:r w:rsidRPr="00D93874">
        <w:rPr>
          <w:color w:val="000000" w:themeColor="text1"/>
        </w:rPr>
        <w:t xml:space="preserve"> reported in figure 17.3. Nationally in 2013–14, 56.3 per cent of new SOMIH allocations were to those hous</w:t>
      </w:r>
      <w:r w:rsidR="0073146B" w:rsidRPr="00D93874">
        <w:rPr>
          <w:color w:val="000000" w:themeColor="text1"/>
        </w:rPr>
        <w:t xml:space="preserve">eholds in greatest need (figure </w:t>
      </w:r>
      <w:r w:rsidRPr="00D93874">
        <w:rPr>
          <w:color w:val="000000" w:themeColor="text1"/>
        </w:rPr>
        <w:t>17.3).</w:t>
      </w:r>
    </w:p>
    <w:p w:rsidR="008C487D" w:rsidRPr="00D93874" w:rsidRDefault="008C487D" w:rsidP="008C487D">
      <w:pPr>
        <w:rPr>
          <w:color w:val="000000" w:themeColor="text1"/>
          <w:szCs w:val="20"/>
        </w:rPr>
      </w:pPr>
      <w:r w:rsidRPr="00D93874">
        <w:rPr>
          <w:color w:val="000000" w:themeColor="text1"/>
        </w:rPr>
        <w:br w:type="page"/>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73146B">
        <w:tc>
          <w:tcPr>
            <w:tcW w:w="5000" w:type="pct"/>
            <w:tcBorders>
              <w:top w:val="single" w:sz="6" w:space="0" w:color="78A22F"/>
              <w:left w:val="nil"/>
              <w:bottom w:val="nil"/>
              <w:right w:val="nil"/>
            </w:tcBorders>
            <w:shd w:val="clear" w:color="auto" w:fill="auto"/>
          </w:tcPr>
          <w:p w:rsidR="008C487D" w:rsidRPr="00D93874" w:rsidRDefault="008C487D" w:rsidP="00FF35FF">
            <w:pPr>
              <w:pStyle w:val="FigureTitle"/>
            </w:pPr>
            <w:r w:rsidRPr="00D93874">
              <w:rPr>
                <w:b w:val="0"/>
              </w:rPr>
              <w:t>Figure 17.3</w:t>
            </w:r>
            <w:r w:rsidRPr="00D93874">
              <w:tab/>
              <w:t>New allocations to those in greatest need</w:t>
            </w:r>
            <w:r w:rsidR="0073146B" w:rsidRPr="00D93874">
              <w:t xml:space="preserve"> — SOMIH</w:t>
            </w:r>
            <w:r w:rsidR="00590245" w:rsidRPr="00D93874">
              <w:t xml:space="preserve"> </w:t>
            </w:r>
            <w:r w:rsidR="00590245" w:rsidRPr="00D93874">
              <w:br/>
              <w:t xml:space="preserve">(per </w:t>
            </w:r>
            <w:r w:rsidRPr="00D93874">
              <w:t>cent)</w:t>
            </w:r>
            <w:r w:rsidRPr="00D93874">
              <w:rPr>
                <w:rStyle w:val="NoteLabel"/>
                <w:b/>
              </w:rPr>
              <w:t>a</w:t>
            </w:r>
          </w:p>
        </w:tc>
      </w:tr>
      <w:tr w:rsidR="008C487D" w:rsidRPr="00D93874" w:rsidTr="0073146B">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8C487D" w:rsidRPr="00D93874" w:rsidTr="00FF35FF">
              <w:tc>
                <w:tcPr>
                  <w:tcW w:w="5000" w:type="pct"/>
                  <w:tcBorders>
                    <w:top w:val="nil"/>
                    <w:bottom w:val="nil"/>
                  </w:tcBorders>
                </w:tcPr>
                <w:p w:rsidR="008C487D" w:rsidRPr="00D93874" w:rsidRDefault="008C487D" w:rsidP="00FF35FF">
                  <w:pPr>
                    <w:pStyle w:val="Figure"/>
                    <w:spacing w:after="60"/>
                    <w:rPr>
                      <w:rStyle w:val="NoteLabel"/>
                    </w:rPr>
                  </w:pPr>
                  <w:r w:rsidRPr="00D93874">
                    <w:rPr>
                      <w:rFonts w:ascii="Arial" w:hAnsi="Arial" w:cs="Arial"/>
                      <w:b/>
                      <w:noProof/>
                      <w:sz w:val="20"/>
                    </w:rPr>
                    <w:drawing>
                      <wp:inline distT="0" distB="0" distL="0" distR="0" wp14:anchorId="33426052" wp14:editId="1475F4B8">
                        <wp:extent cx="5381625" cy="1781175"/>
                        <wp:effectExtent l="0" t="0" r="9525" b="9525"/>
                        <wp:docPr id="10" name="Picture 10" descr="Figure 17.3 New allocations to those in greatest need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
                <w:p w:rsidR="008C487D" w:rsidRPr="00D93874" w:rsidRDefault="008C487D" w:rsidP="00FF35FF">
                  <w:pPr>
                    <w:pStyle w:val="Figure"/>
                    <w:spacing w:before="60" w:after="60"/>
                    <w:rPr>
                      <w:rStyle w:val="NoteLabel"/>
                    </w:rPr>
                  </w:pPr>
                  <w:r w:rsidRPr="00D93874">
                    <w:rPr>
                      <w:rFonts w:ascii="Arial" w:hAnsi="Arial"/>
                      <w:b/>
                      <w:noProof/>
                      <w:position w:val="6"/>
                      <w:sz w:val="18"/>
                    </w:rPr>
                    <w:drawing>
                      <wp:inline distT="0" distB="0" distL="0" distR="0" wp14:anchorId="0C3A02E6" wp14:editId="288DF30B">
                        <wp:extent cx="5143500" cy="228600"/>
                        <wp:effectExtent l="0" t="0" r="0" b="0"/>
                        <wp:docPr id="12" name="Picture 12" descr="Figure 17.3 New allocations to those in greatest need (per cent)&#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3500" cy="228600"/>
                                </a:xfrm>
                                <a:prstGeom prst="rect">
                                  <a:avLst/>
                                </a:prstGeom>
                                <a:noFill/>
                                <a:ln>
                                  <a:noFill/>
                                </a:ln>
                              </pic:spPr>
                            </pic:pic>
                          </a:graphicData>
                        </a:graphic>
                      </wp:inline>
                    </w:drawing>
                  </w:r>
                </w:p>
              </w:tc>
            </w:tr>
          </w:tbl>
          <w:p w:rsidR="008C487D" w:rsidRPr="00D93874" w:rsidRDefault="008C487D" w:rsidP="00FF35FF">
            <w:pPr>
              <w:pStyle w:val="Figure"/>
            </w:pPr>
          </w:p>
        </w:tc>
      </w:tr>
      <w:tr w:rsidR="008C487D" w:rsidRPr="00D93874" w:rsidTr="0073146B">
        <w:tc>
          <w:tcPr>
            <w:tcW w:w="5000" w:type="pct"/>
            <w:tcBorders>
              <w:top w:val="nil"/>
              <w:left w:val="nil"/>
              <w:bottom w:val="nil"/>
              <w:right w:val="nil"/>
            </w:tcBorders>
            <w:shd w:val="clear" w:color="auto" w:fill="auto"/>
          </w:tcPr>
          <w:p w:rsidR="008C487D" w:rsidRPr="00D93874" w:rsidRDefault="008C487D" w:rsidP="0073146B">
            <w:pPr>
              <w:pStyle w:val="Note"/>
            </w:pPr>
            <w:r w:rsidRPr="00D93874">
              <w:rPr>
                <w:rStyle w:val="NoteLabel"/>
              </w:rPr>
              <w:t>a</w:t>
            </w:r>
            <w:r w:rsidRPr="00D93874">
              <w:t xml:space="preserve"> Data may not be comparable across jurisdictions and over time and comparis</w:t>
            </w:r>
            <w:r w:rsidR="0073146B" w:rsidRPr="00D93874">
              <w:t>ons could be misleading. Table 17A.10</w:t>
            </w:r>
            <w:r w:rsidRPr="00D93874">
              <w:t xml:space="preserve"> provide further information. </w:t>
            </w:r>
            <w:r w:rsidRPr="00D93874">
              <w:rPr>
                <w:rStyle w:val="NoteLabel"/>
              </w:rPr>
              <w:t>b</w:t>
            </w:r>
            <w:r w:rsidRPr="00D93874">
              <w:t xml:space="preserve"> From 2012, NSW no longer collects information about income and rent for new tenants. As a result, the number of new allocations to households in greatest need is underestimated and does not include all new tenants in greatest need. </w:t>
            </w:r>
            <w:r w:rsidRPr="00D93874">
              <w:rPr>
                <w:rStyle w:val="NoteLabel"/>
              </w:rPr>
              <w:t>c</w:t>
            </w:r>
            <w:r w:rsidRPr="00D93874">
              <w:t xml:space="preserve"> There are no SOMIH data reported for Victoria (from 2009–10) or WA (2010–11) as SOMIH was transferred to other housing programs. Data for Tasmania are not available. </w:t>
            </w:r>
            <w:r w:rsidRPr="00D93874">
              <w:rPr>
                <w:rStyle w:val="NoteLabel"/>
              </w:rPr>
              <w:t>d</w:t>
            </w:r>
            <w:r w:rsidRPr="00D93874">
              <w:t xml:space="preserve"> Data for the NT are not available. </w:t>
            </w:r>
            <w:r w:rsidRPr="00D93874">
              <w:rPr>
                <w:rStyle w:val="NoteLabel"/>
              </w:rPr>
              <w:t>e</w:t>
            </w:r>
            <w:r w:rsidRPr="00D93874">
              <w:rPr>
                <w:b/>
              </w:rPr>
              <w:t> </w:t>
            </w:r>
            <w:r w:rsidRPr="00D93874">
              <w:t>National totals reflect data for those jurisdictions and/or organisations where data have been reported. Due to missing data, totals may not reflect the national community housing sector.</w:t>
            </w:r>
          </w:p>
        </w:tc>
      </w:tr>
      <w:tr w:rsidR="008C487D" w:rsidRPr="00D93874" w:rsidTr="0073146B">
        <w:tc>
          <w:tcPr>
            <w:tcW w:w="5000" w:type="pct"/>
            <w:tcBorders>
              <w:top w:val="nil"/>
              <w:left w:val="nil"/>
              <w:bottom w:val="nil"/>
              <w:right w:val="nil"/>
            </w:tcBorders>
            <w:shd w:val="clear" w:color="auto" w:fill="auto"/>
          </w:tcPr>
          <w:p w:rsidR="008C487D" w:rsidRPr="00D93874" w:rsidRDefault="008C487D" w:rsidP="0073146B">
            <w:pPr>
              <w:pStyle w:val="Source"/>
            </w:pPr>
            <w:r w:rsidRPr="00D93874">
              <w:rPr>
                <w:i/>
              </w:rPr>
              <w:t>Source</w:t>
            </w:r>
            <w:r w:rsidRPr="00D93874">
              <w:t xml:space="preserve">: AIHW (unpublished) </w:t>
            </w:r>
            <w:r w:rsidRPr="00D93874">
              <w:rPr>
                <w:i/>
              </w:rPr>
              <w:t>National Housing Assistance Data Repository</w:t>
            </w:r>
            <w:r w:rsidR="0073146B" w:rsidRPr="00D93874">
              <w:t>; table 17A.1</w:t>
            </w:r>
            <w:r w:rsidR="00DD4C39" w:rsidRPr="00D93874">
              <w:t>3</w:t>
            </w:r>
            <w:r w:rsidR="0073146B" w:rsidRPr="00D93874">
              <w:t>; 2015 Report, figure 17.3, p. 17.21.</w:t>
            </w:r>
          </w:p>
        </w:tc>
      </w:tr>
      <w:tr w:rsidR="008C487D" w:rsidRPr="00D93874" w:rsidTr="0073146B">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73146B">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t>Table 17.3 presents information on the proportion of new SOMIH allocations made to households in greatest need for the year ending 30</w:t>
      </w:r>
      <w:r w:rsidR="001F1AF9" w:rsidRPr="00D93874">
        <w:t xml:space="preserve"> June </w:t>
      </w:r>
      <w:r w:rsidRPr="00D93874">
        <w:t xml:space="preserve">2014, within particular </w:t>
      </w:r>
      <w:r w:rsidRPr="00D93874">
        <w:rPr>
          <w:color w:val="000000" w:themeColor="text1"/>
        </w:rPr>
        <w:t xml:space="preserve">timeframes. Nationally, of all new households that were allocated </w:t>
      </w:r>
      <w:r w:rsidR="0073146B" w:rsidRPr="00D93874">
        <w:rPr>
          <w:color w:val="000000" w:themeColor="text1"/>
        </w:rPr>
        <w:t xml:space="preserve">SOMIH within three months at </w:t>
      </w:r>
      <w:r w:rsidR="0073146B" w:rsidRPr="00D93874">
        <w:rPr>
          <w:color w:val="000000" w:themeColor="text1"/>
        </w:rPr>
        <w:br/>
        <w:t xml:space="preserve">30 </w:t>
      </w:r>
      <w:r w:rsidRPr="00D93874">
        <w:rPr>
          <w:color w:val="000000" w:themeColor="text1"/>
        </w:rPr>
        <w:t xml:space="preserve">June 2014, 76.9 per cent were households </w:t>
      </w:r>
      <w:r w:rsidR="001F1AF9" w:rsidRPr="00D93874">
        <w:t xml:space="preserve">in greatest need (table </w:t>
      </w:r>
      <w:r w:rsidRPr="00D93874">
        <w:t>17.3).</w:t>
      </w:r>
    </w:p>
    <w:p w:rsidR="001F1AF9" w:rsidRPr="00D93874" w:rsidRDefault="001F1AF9">
      <w:pPr>
        <w:rPr>
          <w:szCs w:val="20"/>
        </w:rPr>
      </w:pPr>
      <w:r w:rsidRPr="00D93874">
        <w:br w:type="page"/>
      </w:r>
    </w:p>
    <w:p w:rsidR="008C487D" w:rsidRPr="00D93874" w:rsidRDefault="008C487D" w:rsidP="008C487D">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8C487D" w:rsidRPr="00D93874" w:rsidTr="001F1AF9">
        <w:tc>
          <w:tcPr>
            <w:tcW w:w="5000" w:type="pct"/>
            <w:tcBorders>
              <w:top w:val="single" w:sz="6" w:space="0" w:color="78A22F" w:themeColor="accent1"/>
              <w:left w:val="nil"/>
              <w:bottom w:val="nil"/>
              <w:right w:val="nil"/>
            </w:tcBorders>
            <w:shd w:val="clear" w:color="auto" w:fill="auto"/>
          </w:tcPr>
          <w:p w:rsidR="008C487D" w:rsidRPr="00D93874" w:rsidRDefault="008C487D" w:rsidP="00FF35FF">
            <w:pPr>
              <w:pStyle w:val="TableTitle"/>
            </w:pPr>
            <w:r w:rsidRPr="00D93874">
              <w:rPr>
                <w:b w:val="0"/>
              </w:rPr>
              <w:t>Table 17.3</w:t>
            </w:r>
            <w:r w:rsidRPr="00D93874">
              <w:tab/>
              <w:t xml:space="preserve">Proportion of new allocations to those in greatest need, </w:t>
            </w:r>
            <w:r w:rsidRPr="00D93874">
              <w:br/>
              <w:t>2013–14</w:t>
            </w:r>
          </w:p>
        </w:tc>
      </w:tr>
      <w:tr w:rsidR="008C487D" w:rsidRPr="00D93874" w:rsidTr="001F1AF9">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339"/>
              <w:gridCol w:w="793"/>
              <w:gridCol w:w="633"/>
              <w:gridCol w:w="760"/>
              <w:gridCol w:w="633"/>
              <w:gridCol w:w="633"/>
              <w:gridCol w:w="641"/>
              <w:gridCol w:w="718"/>
              <w:gridCol w:w="633"/>
              <w:gridCol w:w="721"/>
            </w:tblGrid>
            <w:tr w:rsidR="008C487D" w:rsidRPr="00D93874" w:rsidTr="007A7826">
              <w:trPr>
                <w:trHeight w:val="283"/>
              </w:trPr>
              <w:tc>
                <w:tcPr>
                  <w:tcW w:w="1376"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jc w:val="left"/>
                    <w:rPr>
                      <w:rFonts w:cs="Arial"/>
                      <w:sz w:val="20"/>
                    </w:rPr>
                  </w:pPr>
                </w:p>
              </w:tc>
              <w:tc>
                <w:tcPr>
                  <w:tcW w:w="466" w:type="pct"/>
                  <w:tcBorders>
                    <w:top w:val="single" w:sz="4" w:space="0" w:color="BFBFBF" w:themeColor="background2"/>
                    <w:bottom w:val="single" w:sz="4" w:space="0" w:color="BFBFBF" w:themeColor="background2"/>
                  </w:tcBorders>
                  <w:shd w:val="clear" w:color="auto" w:fill="auto"/>
                  <w:tcMar>
                    <w:top w:w="28" w:type="dxa"/>
                  </w:tcMar>
                  <w:vAlign w:val="center"/>
                </w:tcPr>
                <w:p w:rsidR="008C487D" w:rsidRPr="00D93874" w:rsidRDefault="008C487D" w:rsidP="00FF35FF">
                  <w:pPr>
                    <w:pStyle w:val="TableColumnHeading"/>
                    <w:rPr>
                      <w:rFonts w:cs="Arial"/>
                      <w:sz w:val="20"/>
                    </w:rPr>
                  </w:pPr>
                  <w:r w:rsidRPr="00D93874">
                    <w:rPr>
                      <w:rFonts w:cs="Arial"/>
                      <w:sz w:val="20"/>
                    </w:rPr>
                    <w:t>NSW</w:t>
                  </w:r>
                </w:p>
              </w:tc>
              <w:tc>
                <w:tcPr>
                  <w:tcW w:w="372"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Vic</w:t>
                  </w:r>
                </w:p>
              </w:tc>
              <w:tc>
                <w:tcPr>
                  <w:tcW w:w="447"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Qld</w:t>
                  </w:r>
                </w:p>
              </w:tc>
              <w:tc>
                <w:tcPr>
                  <w:tcW w:w="372"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WA</w:t>
                  </w:r>
                </w:p>
              </w:tc>
              <w:tc>
                <w:tcPr>
                  <w:tcW w:w="372"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SA</w:t>
                  </w:r>
                </w:p>
              </w:tc>
              <w:tc>
                <w:tcPr>
                  <w:tcW w:w="377"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Tas</w:t>
                  </w:r>
                </w:p>
              </w:tc>
              <w:tc>
                <w:tcPr>
                  <w:tcW w:w="422"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ACT</w:t>
                  </w:r>
                </w:p>
              </w:tc>
              <w:tc>
                <w:tcPr>
                  <w:tcW w:w="372"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NT</w:t>
                  </w:r>
                </w:p>
              </w:tc>
              <w:tc>
                <w:tcPr>
                  <w:tcW w:w="424" w:type="pct"/>
                  <w:tcBorders>
                    <w:top w:val="single" w:sz="4" w:space="0" w:color="BFBFBF" w:themeColor="background2"/>
                    <w:bottom w:val="single" w:sz="4" w:space="0" w:color="BFBFBF" w:themeColor="background2"/>
                  </w:tcBorders>
                  <w:shd w:val="clear" w:color="auto" w:fill="auto"/>
                  <w:tcMar>
                    <w:top w:w="28" w:type="dxa"/>
                  </w:tcMar>
                  <w:vAlign w:val="center"/>
                </w:tcPr>
                <w:p w:rsidR="008C487D" w:rsidRPr="00D93874" w:rsidRDefault="008C487D" w:rsidP="00FF35FF">
                  <w:pPr>
                    <w:pStyle w:val="TableColumnHeading"/>
                    <w:rPr>
                      <w:rFonts w:cs="Arial"/>
                      <w:sz w:val="20"/>
                    </w:rPr>
                  </w:pPr>
                  <w:r w:rsidRPr="00D93874">
                    <w:rPr>
                      <w:rFonts w:cs="Arial"/>
                      <w:sz w:val="20"/>
                    </w:rPr>
                    <w:t>Aust</w:t>
                  </w:r>
                </w:p>
              </w:tc>
            </w:tr>
            <w:tr w:rsidR="008C487D" w:rsidRPr="00D93874" w:rsidTr="00FF35FF">
              <w:trPr>
                <w:gridAfter w:val="9"/>
                <w:wAfter w:w="3624" w:type="pct"/>
                <w:trHeight w:val="283"/>
              </w:trPr>
              <w:tc>
                <w:tcPr>
                  <w:tcW w:w="1376" w:type="pct"/>
                  <w:shd w:val="clear" w:color="auto" w:fill="auto"/>
                  <w:vAlign w:val="center"/>
                </w:tcPr>
                <w:p w:rsidR="008C487D" w:rsidRPr="00D93874" w:rsidRDefault="008C487D" w:rsidP="00FF35FF">
                  <w:pPr>
                    <w:pStyle w:val="TableColumnHeading"/>
                    <w:jc w:val="left"/>
                    <w:rPr>
                      <w:rFonts w:cs="Arial"/>
                      <w:sz w:val="20"/>
                    </w:rPr>
                  </w:pPr>
                  <w:r w:rsidRPr="00D93874">
                    <w:rPr>
                      <w:rFonts w:cs="Arial"/>
                      <w:sz w:val="20"/>
                    </w:rPr>
                    <w:t>SOMIH</w:t>
                  </w:r>
                </w:p>
              </w:tc>
            </w:tr>
            <w:tr w:rsidR="008C487D" w:rsidRPr="00D93874" w:rsidTr="00FF35FF">
              <w:trPr>
                <w:trHeight w:val="283"/>
              </w:trPr>
              <w:tc>
                <w:tcPr>
                  <w:tcW w:w="1376" w:type="pct"/>
                  <w:shd w:val="clear" w:color="auto" w:fill="auto"/>
                  <w:vAlign w:val="center"/>
                </w:tcPr>
                <w:p w:rsidR="008C487D" w:rsidRPr="00D93874" w:rsidRDefault="008C487D" w:rsidP="00FF35FF">
                  <w:pPr>
                    <w:pStyle w:val="TableBodyText"/>
                    <w:jc w:val="left"/>
                    <w:rPr>
                      <w:color w:val="000000"/>
                    </w:rPr>
                  </w:pPr>
                  <w:r w:rsidRPr="00D93874">
                    <w:rPr>
                      <w:color w:val="000000"/>
                    </w:rPr>
                    <w:t>Under 3 months</w:t>
                  </w:r>
                </w:p>
              </w:tc>
              <w:tc>
                <w:tcPr>
                  <w:tcW w:w="466" w:type="pct"/>
                  <w:shd w:val="clear" w:color="auto" w:fill="auto"/>
                  <w:vAlign w:val="center"/>
                </w:tcPr>
                <w:p w:rsidR="008C487D" w:rsidRPr="00D93874" w:rsidRDefault="008C487D" w:rsidP="002669C4">
                  <w:pPr>
                    <w:pStyle w:val="TableBodyText"/>
                  </w:pPr>
                  <w:r w:rsidRPr="00D93874">
                    <w:t>43.2</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47" w:type="pct"/>
                  <w:vAlign w:val="center"/>
                </w:tcPr>
                <w:p w:rsidR="008C487D" w:rsidRPr="00D93874" w:rsidRDefault="008C487D" w:rsidP="002669C4">
                  <w:pPr>
                    <w:pStyle w:val="TableBodyText"/>
                  </w:pPr>
                  <w:r w:rsidRPr="00D93874">
                    <w:t>98.4</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pPr>
                  <w:r w:rsidRPr="00D93874">
                    <w:t>98.5</w:t>
                  </w:r>
                </w:p>
              </w:tc>
              <w:tc>
                <w:tcPr>
                  <w:tcW w:w="377" w:type="pct"/>
                  <w:vAlign w:val="center"/>
                </w:tcPr>
                <w:p w:rsidR="008C487D" w:rsidRPr="00D93874" w:rsidRDefault="008C487D" w:rsidP="002669C4">
                  <w:pPr>
                    <w:pStyle w:val="TableBodyText"/>
                  </w:pPr>
                  <w:r w:rsidRPr="00D93874">
                    <w:t>na</w:t>
                  </w:r>
                </w:p>
              </w:tc>
              <w:tc>
                <w:tcPr>
                  <w:tcW w:w="42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24" w:type="pct"/>
                  <w:shd w:val="clear" w:color="auto" w:fill="auto"/>
                  <w:vAlign w:val="center"/>
                </w:tcPr>
                <w:p w:rsidR="008C487D" w:rsidRPr="00D93874" w:rsidRDefault="008C487D" w:rsidP="002669C4">
                  <w:pPr>
                    <w:pStyle w:val="TableBodyText"/>
                  </w:pPr>
                  <w:r w:rsidRPr="00D93874">
                    <w:t>76.9</w:t>
                  </w:r>
                </w:p>
              </w:tc>
            </w:tr>
            <w:tr w:rsidR="008C487D" w:rsidRPr="00D93874" w:rsidTr="00FF35FF">
              <w:trPr>
                <w:trHeight w:val="283"/>
              </w:trPr>
              <w:tc>
                <w:tcPr>
                  <w:tcW w:w="1376" w:type="pct"/>
                  <w:shd w:val="clear" w:color="auto" w:fill="auto"/>
                  <w:vAlign w:val="center"/>
                </w:tcPr>
                <w:p w:rsidR="008C487D" w:rsidRPr="00D93874" w:rsidRDefault="008C487D" w:rsidP="00FF35FF">
                  <w:pPr>
                    <w:pStyle w:val="TableBodyText"/>
                    <w:jc w:val="left"/>
                    <w:rPr>
                      <w:rFonts w:cs="Arial"/>
                      <w:color w:val="000000"/>
                      <w:sz w:val="20"/>
                    </w:rPr>
                  </w:pPr>
                  <w:r w:rsidRPr="00D93874">
                    <w:rPr>
                      <w:rFonts w:cs="Arial"/>
                      <w:color w:val="000000"/>
                      <w:sz w:val="20"/>
                    </w:rPr>
                    <w:t>3 &lt; 6 months</w:t>
                  </w:r>
                </w:p>
              </w:tc>
              <w:tc>
                <w:tcPr>
                  <w:tcW w:w="466" w:type="pct"/>
                  <w:shd w:val="clear" w:color="auto" w:fill="auto"/>
                  <w:vAlign w:val="center"/>
                </w:tcPr>
                <w:p w:rsidR="008C487D" w:rsidRPr="00D93874" w:rsidRDefault="008C487D" w:rsidP="002669C4">
                  <w:pPr>
                    <w:pStyle w:val="TableBodyText"/>
                  </w:pPr>
                  <w:r w:rsidRPr="00D93874">
                    <w:t>42.9</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47" w:type="pct"/>
                  <w:vAlign w:val="center"/>
                </w:tcPr>
                <w:p w:rsidR="008C487D" w:rsidRPr="00D93874" w:rsidRDefault="008C487D" w:rsidP="002669C4">
                  <w:pPr>
                    <w:pStyle w:val="TableBodyText"/>
                  </w:pPr>
                  <w:r w:rsidRPr="00D93874">
                    <w:t>100.0</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pPr>
                  <w:r w:rsidRPr="00D93874">
                    <w:t>100.0</w:t>
                  </w:r>
                </w:p>
              </w:tc>
              <w:tc>
                <w:tcPr>
                  <w:tcW w:w="377" w:type="pct"/>
                  <w:vAlign w:val="center"/>
                </w:tcPr>
                <w:p w:rsidR="008C487D" w:rsidRPr="00D93874" w:rsidRDefault="008C487D" w:rsidP="002669C4">
                  <w:pPr>
                    <w:pStyle w:val="TableBodyText"/>
                  </w:pPr>
                  <w:r w:rsidRPr="00D93874">
                    <w:t>na</w:t>
                  </w:r>
                </w:p>
              </w:tc>
              <w:tc>
                <w:tcPr>
                  <w:tcW w:w="42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24" w:type="pct"/>
                  <w:shd w:val="clear" w:color="auto" w:fill="auto"/>
                  <w:vAlign w:val="center"/>
                </w:tcPr>
                <w:p w:rsidR="008C487D" w:rsidRPr="00D93874" w:rsidRDefault="008C487D" w:rsidP="002669C4">
                  <w:pPr>
                    <w:pStyle w:val="TableBodyText"/>
                  </w:pPr>
                  <w:r w:rsidRPr="00D93874">
                    <w:t>71.7</w:t>
                  </w:r>
                </w:p>
              </w:tc>
            </w:tr>
            <w:tr w:rsidR="008C487D" w:rsidRPr="00D93874" w:rsidTr="00FF35FF">
              <w:trPr>
                <w:trHeight w:val="283"/>
              </w:trPr>
              <w:tc>
                <w:tcPr>
                  <w:tcW w:w="1376" w:type="pct"/>
                  <w:shd w:val="clear" w:color="auto" w:fill="auto"/>
                  <w:vAlign w:val="center"/>
                </w:tcPr>
                <w:p w:rsidR="008C487D" w:rsidRPr="00D93874" w:rsidRDefault="008C487D" w:rsidP="00FF35FF">
                  <w:pPr>
                    <w:pStyle w:val="TableBodyText"/>
                    <w:jc w:val="left"/>
                    <w:rPr>
                      <w:rFonts w:cs="Arial"/>
                      <w:color w:val="000000"/>
                      <w:sz w:val="20"/>
                    </w:rPr>
                  </w:pPr>
                  <w:r w:rsidRPr="00D93874">
                    <w:rPr>
                      <w:rFonts w:cs="Arial"/>
                      <w:color w:val="000000"/>
                      <w:sz w:val="20"/>
                    </w:rPr>
                    <w:t>6 months to &lt; 1 year</w:t>
                  </w:r>
                </w:p>
              </w:tc>
              <w:tc>
                <w:tcPr>
                  <w:tcW w:w="466" w:type="pct"/>
                  <w:shd w:val="clear" w:color="auto" w:fill="auto"/>
                  <w:vAlign w:val="center"/>
                </w:tcPr>
                <w:p w:rsidR="008C487D" w:rsidRPr="00D93874" w:rsidRDefault="008C487D" w:rsidP="002669C4">
                  <w:pPr>
                    <w:pStyle w:val="TableBodyText"/>
                  </w:pPr>
                  <w:r w:rsidRPr="00D93874">
                    <w:t>17.7</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47" w:type="pct"/>
                  <w:vAlign w:val="center"/>
                </w:tcPr>
                <w:p w:rsidR="008C487D" w:rsidRPr="00D93874" w:rsidRDefault="008C487D" w:rsidP="002669C4">
                  <w:pPr>
                    <w:pStyle w:val="TableBodyText"/>
                  </w:pPr>
                  <w:r w:rsidRPr="00D93874">
                    <w:t>95.0</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pPr>
                  <w:r w:rsidRPr="00D93874">
                    <w:t>100.0</w:t>
                  </w:r>
                </w:p>
              </w:tc>
              <w:tc>
                <w:tcPr>
                  <w:tcW w:w="377" w:type="pct"/>
                  <w:vAlign w:val="center"/>
                </w:tcPr>
                <w:p w:rsidR="008C487D" w:rsidRPr="00D93874" w:rsidRDefault="008C487D" w:rsidP="002669C4">
                  <w:pPr>
                    <w:pStyle w:val="TableBodyText"/>
                  </w:pPr>
                  <w:r w:rsidRPr="00D93874">
                    <w:t>na</w:t>
                  </w:r>
                </w:p>
              </w:tc>
              <w:tc>
                <w:tcPr>
                  <w:tcW w:w="42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24" w:type="pct"/>
                  <w:shd w:val="clear" w:color="auto" w:fill="auto"/>
                  <w:vAlign w:val="center"/>
                </w:tcPr>
                <w:p w:rsidR="008C487D" w:rsidRPr="00D93874" w:rsidRDefault="008C487D" w:rsidP="002669C4">
                  <w:pPr>
                    <w:pStyle w:val="TableBodyText"/>
                  </w:pPr>
                  <w:r w:rsidRPr="00D93874">
                    <w:t>52.0</w:t>
                  </w:r>
                </w:p>
              </w:tc>
            </w:tr>
            <w:tr w:rsidR="008C487D" w:rsidRPr="00D93874" w:rsidTr="00FF35FF">
              <w:trPr>
                <w:trHeight w:val="283"/>
              </w:trPr>
              <w:tc>
                <w:tcPr>
                  <w:tcW w:w="1376" w:type="pct"/>
                  <w:shd w:val="clear" w:color="auto" w:fill="auto"/>
                  <w:vAlign w:val="center"/>
                </w:tcPr>
                <w:p w:rsidR="008C487D" w:rsidRPr="00D93874" w:rsidRDefault="008C487D" w:rsidP="00FF35FF">
                  <w:pPr>
                    <w:pStyle w:val="TableBodyText"/>
                    <w:jc w:val="left"/>
                    <w:rPr>
                      <w:rFonts w:cs="Arial"/>
                      <w:color w:val="000000"/>
                      <w:sz w:val="20"/>
                    </w:rPr>
                  </w:pPr>
                  <w:r w:rsidRPr="00D93874">
                    <w:rPr>
                      <w:rFonts w:cs="Arial"/>
                      <w:color w:val="000000"/>
                      <w:sz w:val="20"/>
                    </w:rPr>
                    <w:t>1 &lt; 2 years</w:t>
                  </w:r>
                </w:p>
              </w:tc>
              <w:tc>
                <w:tcPr>
                  <w:tcW w:w="466" w:type="pct"/>
                  <w:shd w:val="clear" w:color="auto" w:fill="auto"/>
                  <w:vAlign w:val="center"/>
                </w:tcPr>
                <w:p w:rsidR="008C487D" w:rsidRPr="00D93874" w:rsidRDefault="008C487D" w:rsidP="002669C4">
                  <w:pPr>
                    <w:pStyle w:val="TableBodyText"/>
                  </w:pPr>
                  <w:r w:rsidRPr="00D93874">
                    <w:t>7.2</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47" w:type="pct"/>
                  <w:vAlign w:val="center"/>
                </w:tcPr>
                <w:p w:rsidR="008C487D" w:rsidRPr="00D93874" w:rsidRDefault="008C487D" w:rsidP="002669C4">
                  <w:pPr>
                    <w:pStyle w:val="TableBodyText"/>
                  </w:pPr>
                  <w:r w:rsidRPr="00D93874">
                    <w:t>100.0</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pPr>
                  <w:r w:rsidRPr="00D93874">
                    <w:t>90.0</w:t>
                  </w:r>
                </w:p>
              </w:tc>
              <w:tc>
                <w:tcPr>
                  <w:tcW w:w="377" w:type="pct"/>
                  <w:vAlign w:val="center"/>
                </w:tcPr>
                <w:p w:rsidR="008C487D" w:rsidRPr="00D93874" w:rsidRDefault="008C487D" w:rsidP="002669C4">
                  <w:pPr>
                    <w:pStyle w:val="TableBodyText"/>
                  </w:pPr>
                  <w:r w:rsidRPr="00D93874">
                    <w:t>na</w:t>
                  </w:r>
                </w:p>
              </w:tc>
              <w:tc>
                <w:tcPr>
                  <w:tcW w:w="42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24" w:type="pct"/>
                  <w:shd w:val="clear" w:color="auto" w:fill="auto"/>
                  <w:vAlign w:val="center"/>
                </w:tcPr>
                <w:p w:rsidR="008C487D" w:rsidRPr="00D93874" w:rsidRDefault="008C487D" w:rsidP="002669C4">
                  <w:pPr>
                    <w:pStyle w:val="TableBodyText"/>
                  </w:pPr>
                  <w:r w:rsidRPr="00D93874">
                    <w:t>29.8</w:t>
                  </w:r>
                </w:p>
              </w:tc>
            </w:tr>
            <w:tr w:rsidR="008C487D" w:rsidRPr="00D93874" w:rsidTr="007A7826">
              <w:trPr>
                <w:trHeight w:val="283"/>
              </w:trPr>
              <w:tc>
                <w:tcPr>
                  <w:tcW w:w="1376" w:type="pct"/>
                  <w:shd w:val="clear" w:color="auto" w:fill="auto"/>
                  <w:vAlign w:val="center"/>
                </w:tcPr>
                <w:p w:rsidR="008C487D" w:rsidRPr="00D93874" w:rsidRDefault="008C487D" w:rsidP="00FF35FF">
                  <w:pPr>
                    <w:pStyle w:val="TableBodyText"/>
                    <w:jc w:val="left"/>
                    <w:rPr>
                      <w:rFonts w:cs="Arial"/>
                      <w:color w:val="000000"/>
                      <w:sz w:val="20"/>
                    </w:rPr>
                  </w:pPr>
                  <w:r w:rsidRPr="00D93874">
                    <w:rPr>
                      <w:rFonts w:cs="Arial"/>
                      <w:color w:val="000000"/>
                      <w:sz w:val="20"/>
                    </w:rPr>
                    <w:t xml:space="preserve">2+ years </w:t>
                  </w:r>
                </w:p>
              </w:tc>
              <w:tc>
                <w:tcPr>
                  <w:tcW w:w="466" w:type="pct"/>
                  <w:shd w:val="clear" w:color="auto" w:fill="auto"/>
                  <w:vAlign w:val="center"/>
                </w:tcPr>
                <w:p w:rsidR="008C487D" w:rsidRPr="00D93874" w:rsidRDefault="008C487D" w:rsidP="002669C4">
                  <w:pPr>
                    <w:pStyle w:val="TableBodyText"/>
                  </w:pPr>
                  <w:r w:rsidRPr="00D93874">
                    <w:t>10.7</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47" w:type="pct"/>
                  <w:vAlign w:val="center"/>
                </w:tcPr>
                <w:p w:rsidR="008C487D" w:rsidRPr="00D93874" w:rsidRDefault="008C487D" w:rsidP="002669C4">
                  <w:pPr>
                    <w:pStyle w:val="TableBodyText"/>
                  </w:pPr>
                  <w:r w:rsidRPr="00D93874">
                    <w:t>95.2</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pPr>
                  <w:r w:rsidRPr="00D93874">
                    <w:t>37.5</w:t>
                  </w:r>
                </w:p>
              </w:tc>
              <w:tc>
                <w:tcPr>
                  <w:tcW w:w="377" w:type="pct"/>
                  <w:vAlign w:val="center"/>
                </w:tcPr>
                <w:p w:rsidR="008C487D" w:rsidRPr="00D93874" w:rsidRDefault="008C487D" w:rsidP="002669C4">
                  <w:pPr>
                    <w:pStyle w:val="TableBodyText"/>
                  </w:pPr>
                  <w:r w:rsidRPr="00D93874">
                    <w:t>na</w:t>
                  </w:r>
                </w:p>
              </w:tc>
              <w:tc>
                <w:tcPr>
                  <w:tcW w:w="42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372"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24" w:type="pct"/>
                  <w:shd w:val="clear" w:color="auto" w:fill="auto"/>
                  <w:vAlign w:val="center"/>
                </w:tcPr>
                <w:p w:rsidR="008C487D" w:rsidRPr="00D93874" w:rsidRDefault="008C487D" w:rsidP="002669C4">
                  <w:pPr>
                    <w:pStyle w:val="TableBodyText"/>
                  </w:pPr>
                  <w:r w:rsidRPr="00D93874">
                    <w:t>25.6</w:t>
                  </w:r>
                </w:p>
              </w:tc>
            </w:tr>
            <w:tr w:rsidR="008C487D" w:rsidRPr="00D93874" w:rsidTr="007A7826">
              <w:trPr>
                <w:trHeight w:val="283"/>
              </w:trPr>
              <w:tc>
                <w:tcPr>
                  <w:tcW w:w="1376" w:type="pct"/>
                  <w:tcBorders>
                    <w:bottom w:val="single" w:sz="4" w:space="0" w:color="BFBFBF" w:themeColor="background2"/>
                  </w:tcBorders>
                  <w:shd w:val="clear" w:color="auto" w:fill="auto"/>
                  <w:vAlign w:val="bottom"/>
                </w:tcPr>
                <w:p w:rsidR="008C487D" w:rsidRPr="00D93874" w:rsidRDefault="008C487D" w:rsidP="00FF35FF">
                  <w:pPr>
                    <w:pStyle w:val="TableBodyText"/>
                    <w:pBdr>
                      <w:left w:val="single" w:sz="24" w:space="12" w:color="C0C0C0"/>
                    </w:pBdr>
                    <w:jc w:val="left"/>
                    <w:rPr>
                      <w:rFonts w:cs="Arial"/>
                      <w:b/>
                      <w:color w:val="000000"/>
                      <w:sz w:val="20"/>
                    </w:rPr>
                  </w:pPr>
                  <w:r w:rsidRPr="00D93874">
                    <w:rPr>
                      <w:rFonts w:cs="Arial"/>
                      <w:b/>
                      <w:color w:val="000000"/>
                      <w:sz w:val="20"/>
                    </w:rPr>
                    <w:t>Overall</w:t>
                  </w:r>
                </w:p>
              </w:tc>
              <w:tc>
                <w:tcPr>
                  <w:tcW w:w="466" w:type="pct"/>
                  <w:tcBorders>
                    <w:bottom w:val="single" w:sz="4" w:space="0" w:color="BFBFBF" w:themeColor="background2"/>
                  </w:tcBorders>
                  <w:shd w:val="clear" w:color="auto" w:fill="auto"/>
                  <w:vAlign w:val="center"/>
                </w:tcPr>
                <w:p w:rsidR="008C487D" w:rsidRPr="00D93874" w:rsidRDefault="008C487D" w:rsidP="002669C4">
                  <w:pPr>
                    <w:pStyle w:val="TableBodyText"/>
                    <w:rPr>
                      <w:b/>
                      <w:bCs/>
                    </w:rPr>
                  </w:pPr>
                  <w:r w:rsidRPr="00D93874">
                    <w:rPr>
                      <w:b/>
                      <w:bCs/>
                    </w:rPr>
                    <w:t>21.8</w:t>
                  </w:r>
                </w:p>
              </w:tc>
              <w:tc>
                <w:tcPr>
                  <w:tcW w:w="372" w:type="pct"/>
                  <w:tcBorders>
                    <w:bottom w:val="single" w:sz="4" w:space="0" w:color="BFBFBF" w:themeColor="background2"/>
                  </w:tcBorders>
                  <w:vAlign w:val="center"/>
                </w:tcPr>
                <w:p w:rsidR="008C487D" w:rsidRPr="00D93874" w:rsidRDefault="008C487D" w:rsidP="002669C4">
                  <w:pPr>
                    <w:pStyle w:val="TableBodyText"/>
                    <w:rPr>
                      <w:b/>
                      <w:bCs/>
                      <w:color w:val="000000" w:themeColor="text1"/>
                    </w:rPr>
                  </w:pPr>
                  <w:r w:rsidRPr="00D93874">
                    <w:rPr>
                      <w:b/>
                      <w:bCs/>
                      <w:color w:val="000000" w:themeColor="text1"/>
                    </w:rPr>
                    <w:t>..</w:t>
                  </w:r>
                </w:p>
              </w:tc>
              <w:tc>
                <w:tcPr>
                  <w:tcW w:w="447" w:type="pct"/>
                  <w:tcBorders>
                    <w:bottom w:val="single" w:sz="4" w:space="0" w:color="BFBFBF" w:themeColor="background2"/>
                  </w:tcBorders>
                  <w:vAlign w:val="center"/>
                </w:tcPr>
                <w:p w:rsidR="008C487D" w:rsidRPr="00D93874" w:rsidRDefault="008C487D" w:rsidP="002669C4">
                  <w:pPr>
                    <w:pStyle w:val="TableBodyText"/>
                    <w:rPr>
                      <w:b/>
                      <w:bCs/>
                    </w:rPr>
                  </w:pPr>
                  <w:r w:rsidRPr="00D93874">
                    <w:rPr>
                      <w:b/>
                      <w:bCs/>
                    </w:rPr>
                    <w:t>98.1</w:t>
                  </w:r>
                </w:p>
              </w:tc>
              <w:tc>
                <w:tcPr>
                  <w:tcW w:w="372" w:type="pct"/>
                  <w:tcBorders>
                    <w:bottom w:val="single" w:sz="4" w:space="0" w:color="BFBFBF" w:themeColor="background2"/>
                  </w:tcBorders>
                  <w:vAlign w:val="center"/>
                </w:tcPr>
                <w:p w:rsidR="008C487D" w:rsidRPr="00D93874" w:rsidRDefault="008C487D" w:rsidP="002669C4">
                  <w:pPr>
                    <w:pStyle w:val="TableBodyText"/>
                    <w:rPr>
                      <w:b/>
                      <w:bCs/>
                      <w:color w:val="000000" w:themeColor="text1"/>
                    </w:rPr>
                  </w:pPr>
                  <w:r w:rsidRPr="00D93874">
                    <w:rPr>
                      <w:b/>
                      <w:bCs/>
                      <w:color w:val="000000" w:themeColor="text1"/>
                    </w:rPr>
                    <w:t>..</w:t>
                  </w:r>
                </w:p>
              </w:tc>
              <w:tc>
                <w:tcPr>
                  <w:tcW w:w="372" w:type="pct"/>
                  <w:tcBorders>
                    <w:bottom w:val="single" w:sz="4" w:space="0" w:color="BFBFBF" w:themeColor="background2"/>
                  </w:tcBorders>
                  <w:vAlign w:val="center"/>
                </w:tcPr>
                <w:p w:rsidR="008C487D" w:rsidRPr="00D93874" w:rsidRDefault="008C487D" w:rsidP="002669C4">
                  <w:pPr>
                    <w:pStyle w:val="TableBodyText"/>
                    <w:rPr>
                      <w:b/>
                      <w:bCs/>
                    </w:rPr>
                  </w:pPr>
                  <w:r w:rsidRPr="00D93874">
                    <w:rPr>
                      <w:b/>
                      <w:bCs/>
                    </w:rPr>
                    <w:t>93.6</w:t>
                  </w:r>
                </w:p>
              </w:tc>
              <w:tc>
                <w:tcPr>
                  <w:tcW w:w="377" w:type="pct"/>
                  <w:tcBorders>
                    <w:bottom w:val="single" w:sz="4" w:space="0" w:color="BFBFBF" w:themeColor="background2"/>
                  </w:tcBorders>
                  <w:vAlign w:val="center"/>
                </w:tcPr>
                <w:p w:rsidR="008C487D" w:rsidRPr="00D93874" w:rsidRDefault="008C487D" w:rsidP="002669C4">
                  <w:pPr>
                    <w:pStyle w:val="TableBodyText"/>
                    <w:rPr>
                      <w:b/>
                      <w:bCs/>
                    </w:rPr>
                  </w:pPr>
                  <w:r w:rsidRPr="00D93874">
                    <w:rPr>
                      <w:b/>
                      <w:bCs/>
                    </w:rPr>
                    <w:t>na</w:t>
                  </w:r>
                </w:p>
              </w:tc>
              <w:tc>
                <w:tcPr>
                  <w:tcW w:w="422" w:type="pct"/>
                  <w:tcBorders>
                    <w:bottom w:val="single" w:sz="4" w:space="0" w:color="BFBFBF" w:themeColor="background2"/>
                  </w:tcBorders>
                  <w:vAlign w:val="center"/>
                </w:tcPr>
                <w:p w:rsidR="008C487D" w:rsidRPr="00D93874" w:rsidRDefault="008C487D" w:rsidP="002669C4">
                  <w:pPr>
                    <w:pStyle w:val="TableBodyText"/>
                    <w:rPr>
                      <w:b/>
                      <w:bCs/>
                      <w:color w:val="000000" w:themeColor="text1"/>
                    </w:rPr>
                  </w:pPr>
                  <w:r w:rsidRPr="00D93874">
                    <w:rPr>
                      <w:b/>
                      <w:bCs/>
                      <w:color w:val="000000" w:themeColor="text1"/>
                    </w:rPr>
                    <w:t>..</w:t>
                  </w:r>
                </w:p>
              </w:tc>
              <w:tc>
                <w:tcPr>
                  <w:tcW w:w="372" w:type="pct"/>
                  <w:tcBorders>
                    <w:bottom w:val="single" w:sz="4" w:space="0" w:color="BFBFBF" w:themeColor="background2"/>
                  </w:tcBorders>
                  <w:vAlign w:val="center"/>
                </w:tcPr>
                <w:p w:rsidR="008C487D" w:rsidRPr="00D93874" w:rsidRDefault="008C487D" w:rsidP="002669C4">
                  <w:pPr>
                    <w:pStyle w:val="TableBodyText"/>
                    <w:rPr>
                      <w:b/>
                      <w:bCs/>
                      <w:color w:val="000000" w:themeColor="text1"/>
                    </w:rPr>
                  </w:pPr>
                  <w:r w:rsidRPr="00D93874">
                    <w:rPr>
                      <w:b/>
                      <w:bCs/>
                      <w:color w:val="000000" w:themeColor="text1"/>
                    </w:rPr>
                    <w:t>..</w:t>
                  </w:r>
                </w:p>
              </w:tc>
              <w:tc>
                <w:tcPr>
                  <w:tcW w:w="424" w:type="pct"/>
                  <w:tcBorders>
                    <w:bottom w:val="single" w:sz="4" w:space="0" w:color="BFBFBF" w:themeColor="background2"/>
                  </w:tcBorders>
                  <w:shd w:val="clear" w:color="auto" w:fill="auto"/>
                  <w:vAlign w:val="center"/>
                </w:tcPr>
                <w:p w:rsidR="008C487D" w:rsidRPr="00D93874" w:rsidRDefault="008C487D" w:rsidP="002669C4">
                  <w:pPr>
                    <w:pStyle w:val="TableBodyText"/>
                    <w:rPr>
                      <w:b/>
                      <w:bCs/>
                    </w:rPr>
                  </w:pPr>
                  <w:r w:rsidRPr="00D93874">
                    <w:rPr>
                      <w:b/>
                      <w:bCs/>
                    </w:rPr>
                    <w:t>56.3</w:t>
                  </w:r>
                </w:p>
              </w:tc>
            </w:tr>
          </w:tbl>
          <w:p w:rsidR="008C487D" w:rsidRPr="00D93874" w:rsidRDefault="008C487D" w:rsidP="00FF35FF">
            <w:pPr>
              <w:pStyle w:val="Box"/>
            </w:pPr>
          </w:p>
        </w:tc>
      </w:tr>
      <w:tr w:rsidR="008C487D" w:rsidRPr="00D93874" w:rsidTr="001F1AF9">
        <w:trPr>
          <w:cantSplit/>
        </w:trPr>
        <w:tc>
          <w:tcPr>
            <w:tcW w:w="5000" w:type="pct"/>
            <w:tcBorders>
              <w:top w:val="nil"/>
              <w:left w:val="nil"/>
              <w:bottom w:val="nil"/>
              <w:right w:val="nil"/>
            </w:tcBorders>
            <w:shd w:val="clear" w:color="auto" w:fill="auto"/>
          </w:tcPr>
          <w:p w:rsidR="008C487D" w:rsidRPr="00D93874" w:rsidRDefault="008C487D" w:rsidP="00FF35FF">
            <w:pPr>
              <w:pStyle w:val="Note"/>
              <w:rPr>
                <w:i/>
              </w:rPr>
            </w:pPr>
            <w:r w:rsidRPr="00D93874">
              <w:rPr>
                <w:rStyle w:val="NoteLabel"/>
              </w:rPr>
              <w:t>a</w:t>
            </w:r>
            <w:r w:rsidRPr="00D93874">
              <w:t> Further information on these d</w:t>
            </w:r>
            <w:r w:rsidR="001F1AF9" w:rsidRPr="00D93874">
              <w:t>ata is provided in table 17A.</w:t>
            </w:r>
            <w:r w:rsidRPr="00D93874">
              <w:t xml:space="preserve">13. </w:t>
            </w:r>
            <w:r w:rsidRPr="00D93874">
              <w:rPr>
                <w:b/>
              </w:rPr>
              <w:t>na</w:t>
            </w:r>
            <w:r w:rsidR="00590245" w:rsidRPr="00D93874">
              <w:t xml:space="preserve"> Not available. </w:t>
            </w:r>
            <w:r w:rsidRPr="00D93874">
              <w:t>.. Not applicable.</w:t>
            </w:r>
          </w:p>
        </w:tc>
      </w:tr>
      <w:tr w:rsidR="008C487D" w:rsidRPr="00D93874" w:rsidTr="001F1AF9">
        <w:trPr>
          <w:cantSplit/>
        </w:trPr>
        <w:tc>
          <w:tcPr>
            <w:tcW w:w="5000" w:type="pct"/>
            <w:tcBorders>
              <w:top w:val="nil"/>
              <w:left w:val="nil"/>
              <w:bottom w:val="nil"/>
              <w:right w:val="nil"/>
            </w:tcBorders>
            <w:shd w:val="clear" w:color="auto" w:fill="auto"/>
          </w:tcPr>
          <w:p w:rsidR="008C487D" w:rsidRPr="00D93874" w:rsidRDefault="008C487D" w:rsidP="00FF35FF">
            <w:pPr>
              <w:pStyle w:val="Source"/>
            </w:pPr>
            <w:r w:rsidRPr="00D93874">
              <w:rPr>
                <w:i/>
              </w:rPr>
              <w:t>Source</w:t>
            </w:r>
            <w:r w:rsidR="00590245" w:rsidRPr="00D93874">
              <w:t xml:space="preserve">: AIHW </w:t>
            </w:r>
            <w:r w:rsidRPr="00D93874">
              <w:t>(unpublished)</w:t>
            </w:r>
            <w:r w:rsidRPr="00D93874">
              <w:rPr>
                <w:rFonts w:ascii="Times New Roman" w:hAnsi="Times New Roman"/>
                <w:sz w:val="24"/>
                <w:szCs w:val="24"/>
              </w:rPr>
              <w:t xml:space="preserve"> </w:t>
            </w:r>
            <w:r w:rsidRPr="00D93874">
              <w:rPr>
                <w:i/>
              </w:rPr>
              <w:t>National Housing Assistance Data Repository</w:t>
            </w:r>
            <w:r w:rsidR="001F1AF9" w:rsidRPr="00D93874">
              <w:t>; table 17A.13</w:t>
            </w:r>
            <w:r w:rsidR="001F1AF9" w:rsidRPr="00D93874">
              <w:rPr>
                <w:rFonts w:cs="Arial"/>
                <w:szCs w:val="18"/>
              </w:rPr>
              <w:t>; 2015 Report, table 17.3, p. 17.23.</w:t>
            </w:r>
          </w:p>
        </w:tc>
      </w:tr>
      <w:tr w:rsidR="008C487D" w:rsidRPr="00D93874" w:rsidTr="001F1AF9">
        <w:tc>
          <w:tcPr>
            <w:tcW w:w="5000" w:type="pct"/>
            <w:tcBorders>
              <w:top w:val="single" w:sz="6" w:space="0" w:color="78A22F" w:themeColor="accent1"/>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4"/>
        <w:spacing w:before="360"/>
      </w:pPr>
      <w:r w:rsidRPr="00D93874">
        <w:t>Effectiveness — quality</w:t>
      </w:r>
    </w:p>
    <w:p w:rsidR="008C487D" w:rsidRPr="00D93874" w:rsidRDefault="008C487D" w:rsidP="008C487D">
      <w:pPr>
        <w:pStyle w:val="Heading5"/>
        <w:spacing w:before="360"/>
      </w:pPr>
      <w:r w:rsidRPr="00D93874">
        <w:t>Dwelling condition</w:t>
      </w:r>
    </w:p>
    <w:p w:rsidR="008C487D" w:rsidRPr="00D93874" w:rsidRDefault="008C487D" w:rsidP="008C487D">
      <w:pPr>
        <w:pStyle w:val="BodyText"/>
        <w:spacing w:after="240"/>
      </w:pPr>
      <w:r w:rsidRPr="00D93874">
        <w:t>‘Dwelling condition’ is an indicator of governments’ objective to provide quality housing (box 17.</w:t>
      </w:r>
      <w:r w:rsidR="002D6C94" w:rsidRPr="00D93874">
        <w:t>6</w:t>
      </w:r>
      <w:r w:rsidRPr="00D93874">
        <w:t>).</w:t>
      </w:r>
    </w:p>
    <w:p w:rsidR="008C487D" w:rsidRPr="00D93874" w:rsidRDefault="008C487D" w:rsidP="007402C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2D6C94">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2D6C94">
            <w:pPr>
              <w:pStyle w:val="BoxTitle"/>
            </w:pPr>
            <w:r w:rsidRPr="00D93874">
              <w:rPr>
                <w:b w:val="0"/>
              </w:rPr>
              <w:t>Box 17.</w:t>
            </w:r>
            <w:r w:rsidR="002D6C94" w:rsidRPr="00D93874">
              <w:rPr>
                <w:b w:val="0"/>
              </w:rPr>
              <w:t>6</w:t>
            </w:r>
            <w:r w:rsidRPr="00D93874">
              <w:tab/>
              <w:t>Dwelling condition</w:t>
            </w:r>
          </w:p>
        </w:tc>
      </w:tr>
      <w:tr w:rsidR="008C487D" w:rsidRPr="00D93874" w:rsidTr="002D6C94">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 xml:space="preserve">‘Dwelling condition’ is defined as the proportion of households living in dwellings of an acceptable standard, </w:t>
            </w:r>
            <w:r w:rsidR="000051E0" w:rsidRPr="00D93874">
              <w:t>f</w:t>
            </w:r>
            <w:r w:rsidRPr="00D93874">
              <w:t>or public housing, SOMIH and community housing. A dwelling is assessed as being of an acceptable standard if it has at least four working facilities (for washing people, for washing clothes/bedding, for storing/preparing food, and sewerage) and not more than two major structural problems.</w:t>
            </w:r>
          </w:p>
          <w:p w:rsidR="008C487D" w:rsidRPr="00D93874" w:rsidRDefault="008C487D" w:rsidP="00FF35FF">
            <w:pPr>
              <w:pStyle w:val="Box"/>
            </w:pPr>
            <w:r w:rsidRPr="00D93874">
              <w:t>A high proportion for this indicator suggests higher or increasing housing quality.</w:t>
            </w:r>
          </w:p>
          <w:p w:rsidR="008C487D" w:rsidRPr="00D93874" w:rsidRDefault="008C487D" w:rsidP="00FF35FF">
            <w:pPr>
              <w:pStyle w:val="Box"/>
            </w:pPr>
            <w:r w:rsidRPr="00D93874">
              <w:t>Data for this indicator are reported for public housing, SOMIH and community housing. Data reported are:</w:t>
            </w:r>
          </w:p>
          <w:p w:rsidR="008C487D" w:rsidRPr="00D93874" w:rsidRDefault="008C487D" w:rsidP="00FF35FF">
            <w:pPr>
              <w:pStyle w:val="BoxListBullet"/>
            </w:pPr>
            <w:r w:rsidRPr="00D93874">
              <w:t>for public housing, SOMIH and community housing, comparable (subject to caveats) across jurisdictions for the most current reporting period</w:t>
            </w:r>
          </w:p>
          <w:p w:rsidR="008C487D" w:rsidRPr="00D93874" w:rsidRDefault="008C487D" w:rsidP="00FF35FF">
            <w:pPr>
              <w:pStyle w:val="BoxListBullet"/>
            </w:pPr>
            <w:r w:rsidRPr="00D93874">
              <w:t>complete for public housing and SOMIH for the most current reporting period (subject to caveats). All required 2014 (public housing and SOMIH) data are available for all jurisdictions providing the service</w:t>
            </w:r>
          </w:p>
          <w:p w:rsidR="008C487D" w:rsidRPr="00D93874" w:rsidRDefault="008C487D" w:rsidP="00FF35FF">
            <w:pPr>
              <w:pStyle w:val="BoxListBullet"/>
            </w:pPr>
            <w:r w:rsidRPr="00D93874">
              <w:t>incomplete for community housing for the current reporting period. All required 2014 data are not available for the NT</w:t>
            </w:r>
          </w:p>
          <w:p w:rsidR="008C487D" w:rsidRPr="00D93874" w:rsidRDefault="008C487D" w:rsidP="00FF35FF">
            <w:pPr>
              <w:pStyle w:val="BoxListBullet"/>
            </w:pPr>
            <w:r w:rsidRPr="00D93874">
              <w:t>incomplete for Indigenous community housing (ICH) for the most current reporting period. It is expected that data to enumerate ‘dwelling condition’ for ICH will be available from the 2014</w:t>
            </w:r>
            <w:r w:rsidR="008E278D" w:rsidRPr="00D93874">
              <w:t>­15</w:t>
            </w:r>
            <w:r w:rsidRPr="00D93874">
              <w:t xml:space="preserve"> National Aboriginal and Torres Strait Islander Social Survey for inclusion in the 2016 Report.</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2D6C94">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2D6C94">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rPr>
          <w:color w:val="000000" w:themeColor="text1"/>
        </w:rPr>
      </w:pPr>
      <w:r w:rsidRPr="00D93874">
        <w:rPr>
          <w:color w:val="000000" w:themeColor="text1"/>
        </w:rPr>
        <w:t>Nationally in 2014, the NSHS found that:</w:t>
      </w:r>
    </w:p>
    <w:p w:rsidR="008C487D" w:rsidRPr="00D93874" w:rsidRDefault="008C487D" w:rsidP="008C487D">
      <w:pPr>
        <w:pStyle w:val="ListBullet"/>
        <w:rPr>
          <w:color w:val="000000" w:themeColor="text1"/>
        </w:rPr>
      </w:pPr>
      <w:r w:rsidRPr="00D93874">
        <w:rPr>
          <w:color w:val="000000" w:themeColor="text1"/>
        </w:rPr>
        <w:t>for public housing, 81.0 per cent of all dwellings and 65.9 per cent of Aboriginal and Torres Strait Islander dwellings had at least four working facilities and not more than two major structural problems</w:t>
      </w:r>
    </w:p>
    <w:p w:rsidR="008C487D" w:rsidRPr="00D93874" w:rsidRDefault="008C487D" w:rsidP="008C487D">
      <w:pPr>
        <w:pStyle w:val="ListBullet"/>
        <w:rPr>
          <w:color w:val="000000" w:themeColor="text1"/>
        </w:rPr>
      </w:pPr>
      <w:r w:rsidRPr="00D93874">
        <w:rPr>
          <w:color w:val="000000" w:themeColor="text1"/>
        </w:rPr>
        <w:t>for SOMIH, 70.1</w:t>
      </w:r>
      <w:r w:rsidRPr="00D93874">
        <w:rPr>
          <w:b/>
          <w:color w:val="000000" w:themeColor="text1"/>
        </w:rPr>
        <w:t xml:space="preserve"> </w:t>
      </w:r>
      <w:r w:rsidRPr="00D93874">
        <w:rPr>
          <w:color w:val="000000" w:themeColor="text1"/>
        </w:rPr>
        <w:t>per cent of all dwellings had at least four working facilities and not more than two major structural problems</w:t>
      </w:r>
    </w:p>
    <w:p w:rsidR="008C487D" w:rsidRPr="00D93874" w:rsidRDefault="008C487D" w:rsidP="008C487D">
      <w:pPr>
        <w:pStyle w:val="ListBullet"/>
        <w:rPr>
          <w:color w:val="000000" w:themeColor="text1"/>
        </w:rPr>
      </w:pPr>
      <w:r w:rsidRPr="00D93874">
        <w:rPr>
          <w:color w:val="000000" w:themeColor="text1"/>
        </w:rPr>
        <w:t>for community housing, 89.3 per cent of all dwellings and 83.0 per cent of Aboriginal and Torres Strait Islander dwellings had at least four working facilities and not more than two major structural p</w:t>
      </w:r>
      <w:r w:rsidR="000C7B64" w:rsidRPr="00D93874">
        <w:rPr>
          <w:color w:val="000000" w:themeColor="text1"/>
        </w:rPr>
        <w:t xml:space="preserve">roblems (figure 17.4 and tables </w:t>
      </w:r>
      <w:r w:rsidRPr="00D93874">
        <w:rPr>
          <w:color w:val="000000" w:themeColor="text1"/>
        </w:rPr>
        <w:t>17A.15–17).</w:t>
      </w:r>
    </w:p>
    <w:p w:rsidR="008C487D" w:rsidRPr="00D93874" w:rsidRDefault="008C487D" w:rsidP="008C487D">
      <w:pPr>
        <w:pStyle w:val="BodyText"/>
        <w:rPr>
          <w:color w:val="000000" w:themeColor="text1"/>
        </w:rPr>
      </w:pPr>
      <w:r w:rsidRPr="00D93874">
        <w:rPr>
          <w:color w:val="000000" w:themeColor="text1"/>
        </w:rPr>
        <w:t>Data for Aboriginal and Torres Strait Islander households and households with a member with disability are available in tables 17A.15–17.</w:t>
      </w:r>
    </w:p>
    <w:p w:rsidR="008C487D" w:rsidRPr="00D93874" w:rsidRDefault="008C487D" w:rsidP="008C487D">
      <w:pPr>
        <w:pStyle w:val="BodyText"/>
        <w:spacing w:before="120" w:after="120"/>
        <w:rPr>
          <w:color w:val="000000" w:themeColor="text1"/>
        </w:rPr>
      </w:pPr>
      <w:r w:rsidRPr="00D93874">
        <w:rPr>
          <w:color w:val="000000" w:themeColor="text1"/>
        </w:rPr>
        <w:t>Confidence intervals at 95 per cent and relative standard errors for these data are in attachment tables 17A.15–17.</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8C487D" w:rsidRPr="00D93874" w:rsidTr="00DA6791">
        <w:tc>
          <w:tcPr>
            <w:tcW w:w="5000" w:type="pct"/>
            <w:tcBorders>
              <w:top w:val="single" w:sz="6" w:space="0" w:color="78A22F"/>
              <w:left w:val="nil"/>
              <w:bottom w:val="nil"/>
              <w:right w:val="nil"/>
            </w:tcBorders>
            <w:shd w:val="clear" w:color="auto" w:fill="auto"/>
          </w:tcPr>
          <w:p w:rsidR="008C487D" w:rsidRPr="00D93874" w:rsidRDefault="008C487D" w:rsidP="00FF35FF">
            <w:pPr>
              <w:pStyle w:val="FigureTitle"/>
            </w:pPr>
            <w:r w:rsidRPr="00D93874">
              <w:rPr>
                <w:b w:val="0"/>
              </w:rPr>
              <w:t>Figure 17.4</w:t>
            </w:r>
            <w:r w:rsidRPr="00D93874">
              <w:tab/>
              <w:t>Proportion of dwellings with at least four working facilities and not more than two major structural problems, 2014</w:t>
            </w:r>
            <w:r w:rsidRPr="00D93874">
              <w:rPr>
                <w:rStyle w:val="NoteLabel"/>
                <w:b/>
              </w:rPr>
              <w:t>a, b</w:t>
            </w:r>
          </w:p>
        </w:tc>
      </w:tr>
      <w:tr w:rsidR="008C487D" w:rsidRPr="00D93874" w:rsidTr="00DA6791">
        <w:tblPrEx>
          <w:tblCellMar>
            <w:left w:w="108" w:type="dxa"/>
            <w:right w:w="108" w:type="dxa"/>
          </w:tblCellMar>
        </w:tblPrEx>
        <w:tc>
          <w:tcPr>
            <w:tcW w:w="5000" w:type="pct"/>
            <w:tcBorders>
              <w:top w:val="nil"/>
              <w:left w:val="nil"/>
              <w:bottom w:val="nil"/>
              <w:right w:val="nil"/>
            </w:tcBorders>
            <w:shd w:val="clear" w:color="auto" w:fill="auto"/>
          </w:tcPr>
          <w:p w:rsidR="008C487D" w:rsidRPr="00D93874" w:rsidRDefault="008C487D" w:rsidP="00FF35FF">
            <w:pPr>
              <w:pStyle w:val="Figure"/>
              <w:rPr>
                <w:rFonts w:ascii="Arial" w:hAnsi="Arial" w:cs="Arial"/>
                <w:b/>
                <w:sz w:val="20"/>
              </w:rPr>
            </w:pPr>
            <w:r w:rsidRPr="00D93874">
              <w:rPr>
                <w:rFonts w:ascii="Arial" w:hAnsi="Arial" w:cs="Arial"/>
                <w:b/>
                <w:sz w:val="20"/>
              </w:rPr>
              <w:t>Public housing</w:t>
            </w:r>
          </w:p>
          <w:tbl>
            <w:tblPr>
              <w:tblW w:w="896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965"/>
            </w:tblGrid>
            <w:tr w:rsidR="008C487D" w:rsidRPr="00D93874" w:rsidTr="00DA6791">
              <w:tc>
                <w:tcPr>
                  <w:tcW w:w="8965" w:type="dxa"/>
                  <w:tcBorders>
                    <w:top w:val="nil"/>
                    <w:bottom w:val="nil"/>
                  </w:tcBorders>
                </w:tcPr>
                <w:p w:rsidR="008C487D" w:rsidRPr="00D93874" w:rsidRDefault="008C487D" w:rsidP="00FF35FF">
                  <w:pPr>
                    <w:pStyle w:val="Figure"/>
                    <w:spacing w:before="60" w:after="60"/>
                  </w:pPr>
                  <w:r w:rsidRPr="00D93874">
                    <w:rPr>
                      <w:rFonts w:ascii="Arial" w:hAnsi="Arial" w:cs="Arial"/>
                      <w:b/>
                      <w:noProof/>
                      <w:sz w:val="20"/>
                    </w:rPr>
                    <w:drawing>
                      <wp:inline distT="0" distB="0" distL="0" distR="0" wp14:anchorId="68B1BD64" wp14:editId="05BBA1B7">
                        <wp:extent cx="5326912" cy="1881963"/>
                        <wp:effectExtent l="0" t="0" r="7620" b="4445"/>
                        <wp:docPr id="13" name="Picture 13" descr="Figure 17.4 Proportion of dwellings with at least four working facilities and not more than two major structural problems, 2014&#10;&#10;Public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6912" cy="1881963"/>
                                </a:xfrm>
                                <a:prstGeom prst="rect">
                                  <a:avLst/>
                                </a:prstGeom>
                                <a:noFill/>
                                <a:ln>
                                  <a:noFill/>
                                </a:ln>
                              </pic:spPr>
                            </pic:pic>
                          </a:graphicData>
                        </a:graphic>
                      </wp:inline>
                    </w:drawing>
                  </w:r>
                  <w:r w:rsidRPr="00D93874">
                    <w:rPr>
                      <w:rFonts w:ascii="Arial" w:hAnsi="Arial" w:cs="Arial"/>
                      <w:b/>
                      <w:sz w:val="20"/>
                    </w:rPr>
                    <w:t>SOMIH</w:t>
                  </w:r>
                  <w:r w:rsidRPr="00D93874">
                    <w:rPr>
                      <w:rStyle w:val="NoteLabel"/>
                    </w:rPr>
                    <w:t>c</w:t>
                  </w:r>
                  <w:r w:rsidRPr="00D93874">
                    <w:rPr>
                      <w:rFonts w:ascii="Arial" w:hAnsi="Arial"/>
                      <w:b/>
                      <w:noProof/>
                      <w:position w:val="6"/>
                      <w:sz w:val="18"/>
                    </w:rPr>
                    <w:drawing>
                      <wp:inline distT="0" distB="0" distL="0" distR="0" wp14:anchorId="0A378AAD" wp14:editId="0FCFD43C">
                        <wp:extent cx="5348177" cy="2062716"/>
                        <wp:effectExtent l="0" t="0" r="5080" b="0"/>
                        <wp:docPr id="14" name="Picture 14" descr="Figure 17.4 Proportion of dwellings with at least four working facilities and not more than two major structural problems, 2014&#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4590" cy="2061333"/>
                                </a:xfrm>
                                <a:prstGeom prst="rect">
                                  <a:avLst/>
                                </a:prstGeom>
                                <a:noFill/>
                                <a:ln>
                                  <a:noFill/>
                                </a:ln>
                              </pic:spPr>
                            </pic:pic>
                          </a:graphicData>
                        </a:graphic>
                      </wp:inline>
                    </w:drawing>
                  </w:r>
                  <w:r w:rsidRPr="00D93874">
                    <w:rPr>
                      <w:rFonts w:ascii="Arial" w:hAnsi="Arial" w:cs="Arial"/>
                      <w:b/>
                      <w:sz w:val="20"/>
                    </w:rPr>
                    <w:t>Community housing</w:t>
                  </w:r>
                  <w:r w:rsidRPr="00D93874">
                    <w:rPr>
                      <w:rStyle w:val="NoteLabel"/>
                    </w:rPr>
                    <w:t>d, e</w:t>
                  </w:r>
                  <w:r w:rsidRPr="00D93874">
                    <w:rPr>
                      <w:rFonts w:ascii="Arial" w:hAnsi="Arial"/>
                      <w:b/>
                      <w:noProof/>
                      <w:position w:val="6"/>
                      <w:sz w:val="18"/>
                    </w:rPr>
                    <w:drawing>
                      <wp:inline distT="0" distB="0" distL="0" distR="0" wp14:anchorId="330DBCEB" wp14:editId="311542E9">
                        <wp:extent cx="5316279" cy="1970653"/>
                        <wp:effectExtent l="0" t="0" r="0" b="0"/>
                        <wp:docPr id="15" name="Picture 15" descr="Figure 17.4 Proportion of dwellings with at least four working facilities and not more than two major structural problems, 2014&#10;&#10;Community housing&#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9037" cy="1971675"/>
                                </a:xfrm>
                                <a:prstGeom prst="rect">
                                  <a:avLst/>
                                </a:prstGeom>
                                <a:noFill/>
                                <a:ln>
                                  <a:noFill/>
                                </a:ln>
                              </pic:spPr>
                            </pic:pic>
                          </a:graphicData>
                        </a:graphic>
                      </wp:inline>
                    </w:drawing>
                  </w:r>
                </w:p>
              </w:tc>
            </w:tr>
          </w:tbl>
          <w:p w:rsidR="008C487D" w:rsidRPr="00D93874" w:rsidRDefault="008C487D" w:rsidP="00FF35FF">
            <w:pPr>
              <w:pStyle w:val="Figure"/>
            </w:pPr>
          </w:p>
        </w:tc>
      </w:tr>
      <w:tr w:rsidR="008C487D" w:rsidRPr="00D93874" w:rsidTr="00DA6791">
        <w:tc>
          <w:tcPr>
            <w:tcW w:w="5000" w:type="pct"/>
            <w:tcBorders>
              <w:top w:val="nil"/>
              <w:left w:val="nil"/>
              <w:bottom w:val="nil"/>
              <w:right w:val="nil"/>
            </w:tcBorders>
            <w:shd w:val="clear" w:color="auto" w:fill="auto"/>
          </w:tcPr>
          <w:p w:rsidR="008C487D" w:rsidRPr="00D93874" w:rsidRDefault="008C487D" w:rsidP="00FF35FF">
            <w:pPr>
              <w:pStyle w:val="Note"/>
            </w:pPr>
            <w:r w:rsidRPr="00D93874">
              <w:rPr>
                <w:rStyle w:val="NoteLabel"/>
              </w:rPr>
              <w:t>a</w:t>
            </w:r>
            <w:r w:rsidRPr="00D93874">
              <w:t xml:space="preserve"> Error bars represent the 95 per cent confidence intervals associated with each point estimate. </w:t>
            </w:r>
            <w:r w:rsidRPr="00D93874">
              <w:rPr>
                <w:rStyle w:val="NoteLabel"/>
              </w:rPr>
              <w:t>b</w:t>
            </w:r>
            <w:r w:rsidRPr="00D93874">
              <w:t xml:space="preserve"> Data may not be comparable across jurisdictions and over time and comparisons could be misleading. </w:t>
            </w:r>
            <w:r w:rsidRPr="00D93874">
              <w:br/>
              <w:t xml:space="preserve">Tables 17A.15–17 provide further information. </w:t>
            </w:r>
            <w:r w:rsidRPr="00D93874">
              <w:rPr>
                <w:rStyle w:val="NoteLabel"/>
              </w:rPr>
              <w:t>c</w:t>
            </w:r>
            <w:r w:rsidRPr="00D93874">
              <w:t xml:space="preserve"> There are no SOMIH data reported for Victoria, WA, ACT and the NT as SOMIH was transferred to other housing programs. </w:t>
            </w:r>
            <w:r w:rsidRPr="00D93874">
              <w:rPr>
                <w:rStyle w:val="NoteLabel"/>
              </w:rPr>
              <w:t>d</w:t>
            </w:r>
            <w:r w:rsidRPr="00D93874">
              <w:t xml:space="preserve"> Includes a small proportion of </w:t>
            </w:r>
            <w:r w:rsidRPr="00D93874">
              <w:br/>
              <w:t xml:space="preserve">non–Indigenous households. </w:t>
            </w:r>
            <w:r w:rsidRPr="00D93874">
              <w:rPr>
                <w:rStyle w:val="NoteLabel"/>
              </w:rPr>
              <w:t>e</w:t>
            </w:r>
            <w:r w:rsidRPr="00D93874">
              <w:t> Data for the NT are not available.</w:t>
            </w:r>
          </w:p>
        </w:tc>
      </w:tr>
      <w:tr w:rsidR="008C487D" w:rsidRPr="00D93874" w:rsidTr="00DA6791">
        <w:tc>
          <w:tcPr>
            <w:tcW w:w="5000" w:type="pct"/>
            <w:tcBorders>
              <w:top w:val="nil"/>
              <w:left w:val="nil"/>
              <w:bottom w:val="nil"/>
              <w:right w:val="nil"/>
            </w:tcBorders>
            <w:shd w:val="clear" w:color="auto" w:fill="auto"/>
          </w:tcPr>
          <w:p w:rsidR="008C487D" w:rsidRPr="00D93874" w:rsidRDefault="008C487D" w:rsidP="00DA6791">
            <w:pPr>
              <w:pStyle w:val="Source"/>
            </w:pPr>
            <w:r w:rsidRPr="00D93874">
              <w:rPr>
                <w:i/>
              </w:rPr>
              <w:t>Source</w:t>
            </w:r>
            <w:r w:rsidRPr="00D93874">
              <w:t>: AIHW (unpublished)</w:t>
            </w:r>
            <w:r w:rsidRPr="00D93874">
              <w:rPr>
                <w:i/>
              </w:rPr>
              <w:t xml:space="preserve"> National Social Housing Survey </w:t>
            </w:r>
            <w:r w:rsidRPr="00D93874">
              <w:t>2014; tables 17A.15–17</w:t>
            </w:r>
            <w:r w:rsidR="00DA6791" w:rsidRPr="00D93874">
              <w:rPr>
                <w:rFonts w:cs="Arial"/>
                <w:szCs w:val="18"/>
              </w:rPr>
              <w:t xml:space="preserve">; 2015 Report, </w:t>
            </w:r>
            <w:r w:rsidR="00DA6791" w:rsidRPr="00D93874">
              <w:rPr>
                <w:rFonts w:cs="Arial"/>
                <w:szCs w:val="18"/>
              </w:rPr>
              <w:br/>
              <w:t>figure 17.4, p. 1</w:t>
            </w:r>
            <w:r w:rsidR="009F6A75" w:rsidRPr="00D93874">
              <w:rPr>
                <w:rFonts w:cs="Arial"/>
                <w:szCs w:val="18"/>
              </w:rPr>
              <w:t>7</w:t>
            </w:r>
            <w:r w:rsidR="00DA6791" w:rsidRPr="00D93874">
              <w:rPr>
                <w:rFonts w:cs="Arial"/>
                <w:szCs w:val="18"/>
              </w:rPr>
              <w:t>.24.</w:t>
            </w:r>
          </w:p>
        </w:tc>
      </w:tr>
      <w:tr w:rsidR="008C487D" w:rsidRPr="00D93874" w:rsidTr="00DA6791">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DA6791">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lastRenderedPageBreak/>
        <w:t>Dwelling condition data for Indigenous community housing for 2006 are included in earlier Reports.</w:t>
      </w:r>
    </w:p>
    <w:p w:rsidR="008C487D" w:rsidRPr="00D93874" w:rsidRDefault="008C487D" w:rsidP="008C487D">
      <w:pPr>
        <w:pStyle w:val="Heading4"/>
        <w:spacing w:before="360"/>
      </w:pPr>
      <w:r w:rsidRPr="00D93874">
        <w:t>Efficiency</w:t>
      </w:r>
    </w:p>
    <w:p w:rsidR="008C487D" w:rsidRPr="00D93874" w:rsidRDefault="008C487D" w:rsidP="008C487D">
      <w:pPr>
        <w:pStyle w:val="Heading5"/>
        <w:spacing w:before="360"/>
      </w:pPr>
      <w:r w:rsidRPr="00D93874">
        <w:t>Net recurrent cost per dwelling</w:t>
      </w:r>
    </w:p>
    <w:p w:rsidR="008C487D" w:rsidRPr="00D93874" w:rsidRDefault="008C487D" w:rsidP="008C487D">
      <w:pPr>
        <w:pStyle w:val="BodyText"/>
      </w:pPr>
      <w:r w:rsidRPr="00D93874">
        <w:t>‘Net recurrent cost per dwelling’ is an indicator of governments’ objective to undertake efficient and cost effective management of social housing (box 17.</w:t>
      </w:r>
      <w:r w:rsidR="00411AB8" w:rsidRPr="00D93874">
        <w:t>7</w:t>
      </w:r>
      <w:r w:rsidRPr="00D93874">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411AB8">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411AB8">
            <w:pPr>
              <w:pStyle w:val="BoxTitle"/>
            </w:pPr>
            <w:r w:rsidRPr="00D93874">
              <w:rPr>
                <w:b w:val="0"/>
              </w:rPr>
              <w:t>Box 17.</w:t>
            </w:r>
            <w:r w:rsidR="00411AB8" w:rsidRPr="00D93874">
              <w:rPr>
                <w:b w:val="0"/>
              </w:rPr>
              <w:t>7</w:t>
            </w:r>
            <w:r w:rsidRPr="00D93874">
              <w:tab/>
              <w:t>Net recurrent cost per dwelling</w:t>
            </w:r>
          </w:p>
        </w:tc>
      </w:tr>
      <w:tr w:rsidR="008C487D" w:rsidRPr="00D93874" w:rsidTr="00411AB8">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‘Net recurrent cost per dwelling’ is defined as the c</w:t>
            </w:r>
            <w:r w:rsidR="00411AB8" w:rsidRPr="00D93874">
              <w:t xml:space="preserve">ost of providing assistance per </w:t>
            </w:r>
            <w:r w:rsidRPr="00D93874">
              <w:t xml:space="preserve">dwelling — </w:t>
            </w:r>
            <w:r w:rsidRPr="00D93874">
              <w:rPr>
                <w:lang w:val="en-US"/>
              </w:rPr>
              <w:t>total recurrent expenses (including administration and operational costs), divided by the total number of dwellings.</w:t>
            </w:r>
          </w:p>
          <w:p w:rsidR="008C487D" w:rsidRPr="00D93874" w:rsidRDefault="008C487D" w:rsidP="00FF35FF">
            <w:pPr>
              <w:pStyle w:val="Box"/>
            </w:pPr>
            <w:r w:rsidRPr="00D93874">
              <w:t>Measures are reported for public housing, SOMIH, community housing and Indigenous community housing. Net recurrent cost per dwelling for public housing is reported, both including and excluding the user cost of capital. Reporting for SOMIH, community housing and Indigenous community housing excludes the user cost of capital.</w:t>
            </w:r>
          </w:p>
          <w:p w:rsidR="008C487D" w:rsidRPr="00D93874" w:rsidRDefault="008C487D" w:rsidP="00FF35FF">
            <w:pPr>
              <w:pStyle w:val="Box"/>
            </w:pPr>
            <w:r w:rsidRPr="00D93874">
              <w:t>The total number of dwellings for Indigenous community housing is the number of permanent dwellings.</w:t>
            </w:r>
          </w:p>
          <w:p w:rsidR="008C487D" w:rsidRPr="00D93874" w:rsidRDefault="008C487D" w:rsidP="00FF35FF">
            <w:pPr>
              <w:pStyle w:val="Box"/>
            </w:pPr>
            <w:r w:rsidRPr="00D93874">
              <w:t>Holding other factors equal, a low or de</w:t>
            </w:r>
            <w:r w:rsidR="00411AB8" w:rsidRPr="00D93874">
              <w:t xml:space="preserve">creasing net recurrent cost per </w:t>
            </w:r>
            <w:r w:rsidRPr="00D93874">
              <w:t>dwelling suggests an improvement in efficiency. It may also reflect fewer tenant support programs.</w:t>
            </w:r>
          </w:p>
          <w:p w:rsidR="008C487D" w:rsidRPr="00D93874" w:rsidRDefault="008C487D" w:rsidP="00FF35FF">
            <w:pPr>
              <w:pStyle w:val="Box"/>
            </w:pPr>
            <w:r w:rsidRPr="00D93874">
              <w:t>Cost per dwelling measures do not provide any information on the quality of service provided (for example, the standard of dwellings).</w:t>
            </w:r>
          </w:p>
          <w:p w:rsidR="008C487D" w:rsidRPr="00D93874" w:rsidRDefault="008C487D" w:rsidP="00FF35FF">
            <w:pPr>
              <w:pStyle w:val="Box"/>
            </w:pPr>
            <w:r w:rsidRPr="00D93874">
              <w:t>Data comparability and completeness vary for this indicator. Data reported are:</w:t>
            </w:r>
          </w:p>
          <w:p w:rsidR="008C487D" w:rsidRPr="00D93874" w:rsidRDefault="008C487D" w:rsidP="00B3570B">
            <w:pPr>
              <w:pStyle w:val="BoxListBullet"/>
            </w:pPr>
            <w:r w:rsidRPr="00D93874">
              <w:t>comparable (subject to caveats) within some jurisdictions over time but are not comparable across jurisdictions or over time for other jurisdictions (see caveats in attachment tables and DQI for specific jurisdictions)</w:t>
            </w:r>
          </w:p>
          <w:p w:rsidR="008C487D" w:rsidRPr="00D93874" w:rsidRDefault="008C487D" w:rsidP="00B3570B">
            <w:pPr>
              <w:pStyle w:val="BoxListBullet"/>
            </w:pPr>
            <w:r w:rsidRPr="00D93874">
              <w:t>are not comparable across public housing, SOMIH, community housing and ICH</w:t>
            </w:r>
          </w:p>
          <w:p w:rsidR="008C487D" w:rsidRPr="00D93874" w:rsidRDefault="008C487D" w:rsidP="00B3570B">
            <w:pPr>
              <w:pStyle w:val="BoxListBullet"/>
            </w:pPr>
            <w:r w:rsidRPr="00D93874">
              <w:t>complete for public housing and SOMIH for the current reporting period (subject to caveats). All required 2013–14 are available for all jurisdictions providing the service</w:t>
            </w:r>
          </w:p>
          <w:p w:rsidR="008C487D" w:rsidRPr="00D93874" w:rsidRDefault="008C487D" w:rsidP="00B3570B">
            <w:pPr>
              <w:pStyle w:val="BoxListBullet"/>
            </w:pPr>
            <w:r w:rsidRPr="00D93874">
              <w:t>incomplete for community housing for the most current repo</w:t>
            </w:r>
            <w:r w:rsidR="00165B2A">
              <w:t>rting period. All required 2012</w:t>
            </w:r>
            <w:r w:rsidR="00165B2A">
              <w:noBreakHyphen/>
            </w:r>
            <w:r w:rsidRPr="00D93874">
              <w:t xml:space="preserve">13 data are not available for the </w:t>
            </w:r>
            <w:r w:rsidR="00165B2A">
              <w:t>NT</w:t>
            </w:r>
          </w:p>
          <w:p w:rsidR="008C487D" w:rsidRPr="00D93874" w:rsidRDefault="008C487D" w:rsidP="00B3570B">
            <w:pPr>
              <w:pStyle w:val="BoxListBullet2"/>
            </w:pPr>
            <w:r w:rsidRPr="00D93874">
              <w:t>incomplete for Indigenous community housing for the current reporting period. All required data were not available for SA and the NT.</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411AB8">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411AB8">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rPr>
          <w:color w:val="000000" w:themeColor="text1"/>
        </w:rPr>
        <w:t xml:space="preserve">The </w:t>
      </w:r>
      <w:r w:rsidRPr="00D93874">
        <w:t>cost incurred by jurisdictions in providing social housing includes:</w:t>
      </w:r>
    </w:p>
    <w:p w:rsidR="008C487D" w:rsidRPr="00D93874" w:rsidRDefault="008C487D" w:rsidP="008C487D">
      <w:pPr>
        <w:pStyle w:val="ListBullet"/>
      </w:pPr>
      <w:r w:rsidRPr="00D93874">
        <w:t>administration costs (the cost of the administration offices of the property manager and tenancy manager)</w:t>
      </w:r>
    </w:p>
    <w:p w:rsidR="008C487D" w:rsidRPr="00D93874" w:rsidRDefault="008C487D" w:rsidP="008C487D">
      <w:pPr>
        <w:pStyle w:val="ListBullet"/>
      </w:pPr>
      <w:r w:rsidRPr="00D93874">
        <w:lastRenderedPageBreak/>
        <w:t xml:space="preserve">operating costs (the costs of maintaining the operation of the dwelling, including repairs and maintenance, rates, the costs of disposals, market rent paid and interest expenses) </w:t>
      </w:r>
    </w:p>
    <w:p w:rsidR="008C487D" w:rsidRPr="00D93874" w:rsidRDefault="008C487D" w:rsidP="008C487D">
      <w:pPr>
        <w:pStyle w:val="ListBullet"/>
      </w:pPr>
      <w:r w:rsidRPr="00D93874">
        <w:t>depreciation costs</w:t>
      </w:r>
    </w:p>
    <w:p w:rsidR="008C487D" w:rsidRPr="00D93874" w:rsidRDefault="008C487D" w:rsidP="008C487D">
      <w:pPr>
        <w:pStyle w:val="ListBullet"/>
      </w:pPr>
      <w:r w:rsidRPr="00D93874">
        <w:t>the user cost of capital (the cost of the funds tied up in the capital used to provide social housing). For this Report, information on the user cost of capital was only available for public housing.</w:t>
      </w:r>
    </w:p>
    <w:p w:rsidR="008C487D" w:rsidRPr="00D93874" w:rsidRDefault="008C487D" w:rsidP="008C487D">
      <w:pPr>
        <w:pStyle w:val="BodyText"/>
      </w:pPr>
      <w:r w:rsidRPr="00D93874">
        <w:t xml:space="preserve">Due to a high level of capital expenditure in housing, cost per dwelling is predominantly driven by the user cost of capital. There are different user cost of capital and service delivery models across jurisdictions, and user cost of capital data reported should be interpreted with caution. Information on the treatment of assets by housing agencies for each jurisdiction is presented in </w:t>
      </w:r>
      <w:r w:rsidR="00A44AAE" w:rsidRPr="00D93874">
        <w:t xml:space="preserve">2015 Report, table </w:t>
      </w:r>
      <w:r w:rsidRPr="00D93874">
        <w:t>17A.63.</w:t>
      </w:r>
    </w:p>
    <w:p w:rsidR="008C487D" w:rsidRPr="00D93874" w:rsidRDefault="008C487D" w:rsidP="008C487D">
      <w:pPr>
        <w:pStyle w:val="BodyText"/>
      </w:pPr>
      <w:r w:rsidRPr="00D93874">
        <w:t xml:space="preserve">Payroll tax is excluded from total recurrent cost for public housing to improve comparability across jurisdictions. (Chapter 1 </w:t>
      </w:r>
      <w:r w:rsidR="00590245" w:rsidRPr="00D93874">
        <w:t xml:space="preserve">in the 2015 Report, </w:t>
      </w:r>
      <w:r w:rsidRPr="00D93874">
        <w:t>elaborates on the reasons for excluding payroll tax from the cost calculations.)</w:t>
      </w:r>
    </w:p>
    <w:p w:rsidR="008C487D" w:rsidRPr="00D93874" w:rsidRDefault="008C487D" w:rsidP="008C487D">
      <w:pPr>
        <w:pStyle w:val="BodyText"/>
      </w:pPr>
      <w:r w:rsidRPr="00D93874">
        <w:t>Nationally, the net recurrent cost of providing assistance (excluding the cost of capital) per dwelling for SOMIH was $9988 in 2013–14 (figure 17.</w:t>
      </w:r>
      <w:r w:rsidR="00A44AAE" w:rsidRPr="00D93874">
        <w:t xml:space="preserve">5). Table </w:t>
      </w:r>
      <w:r w:rsidRPr="00D93874">
        <w:t>17A.20 contains data for the years 2004–05 to 2013–14. Capital cost data for SOMIH are not available for this Report.</w:t>
      </w:r>
    </w:p>
    <w:p w:rsidR="008C487D" w:rsidRPr="00D93874" w:rsidRDefault="008C487D" w:rsidP="008C487D">
      <w:pPr>
        <w:pStyle w:val="BodyText"/>
      </w:pPr>
      <w:r w:rsidRPr="00D93874">
        <w:t>As with other indicators, it is not appropriate to compare the net recurrent cost per dwelling for public housin</w:t>
      </w:r>
      <w:r w:rsidR="00A44AAE" w:rsidRPr="00D93874">
        <w:t>g with that for SOMIH, because:</w:t>
      </w:r>
    </w:p>
    <w:p w:rsidR="008C487D" w:rsidRPr="00D93874" w:rsidRDefault="008C487D" w:rsidP="008C487D">
      <w:pPr>
        <w:pStyle w:val="ListBullet"/>
      </w:pPr>
      <w:r w:rsidRPr="00D93874">
        <w:t>SOMIH dwellings are slightly more concentrated in regional and remote areas, where the cost of providing housing assistance is potentially greater</w:t>
      </w:r>
    </w:p>
    <w:p w:rsidR="008C487D" w:rsidRPr="00D93874" w:rsidRDefault="008C487D" w:rsidP="008C487D">
      <w:pPr>
        <w:pStyle w:val="ListBullet"/>
      </w:pPr>
      <w:r w:rsidRPr="00D93874">
        <w:t>the need to construct culturally appropriate housing (possibly requiring different amenities) can affect the cost per dwelling for SOMIH</w:t>
      </w:r>
    </w:p>
    <w:p w:rsidR="008C487D" w:rsidRPr="00D93874" w:rsidRDefault="008C487D" w:rsidP="008C487D">
      <w:pPr>
        <w:pStyle w:val="ListBullet"/>
      </w:pPr>
      <w:r w:rsidRPr="00D93874">
        <w:t>different cost structures can apply to the programs. For example, construction of dwellings under SOMIH can involve a skills development element to allow for training of Aboriginal and Torres Strait Islander apprentices in regional areas</w:t>
      </w:r>
    </w:p>
    <w:p w:rsidR="008C487D" w:rsidRPr="00D93874" w:rsidRDefault="008C487D" w:rsidP="008C487D">
      <w:pPr>
        <w:pStyle w:val="ListBullet"/>
      </w:pPr>
      <w:r w:rsidRPr="00D93874">
        <w:t>in jurisdictions where SOMIH is managed separately from public housing, there is greater scope for economies of scale in administration costs with public housing, which is a much larger program.</w:t>
      </w:r>
    </w:p>
    <w:p w:rsidR="007402C3" w:rsidRPr="00D93874" w:rsidRDefault="007402C3"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A44AAE">
        <w:tc>
          <w:tcPr>
            <w:tcW w:w="5000" w:type="pct"/>
            <w:tcBorders>
              <w:top w:val="single" w:sz="6" w:space="0" w:color="78A22F"/>
              <w:left w:val="nil"/>
              <w:bottom w:val="nil"/>
              <w:right w:val="nil"/>
            </w:tcBorders>
            <w:shd w:val="clear" w:color="auto" w:fill="auto"/>
          </w:tcPr>
          <w:p w:rsidR="008C487D" w:rsidRPr="00D93874" w:rsidRDefault="008C487D" w:rsidP="00A44AAE">
            <w:pPr>
              <w:pStyle w:val="FigureTitle"/>
            </w:pPr>
            <w:r w:rsidRPr="00D93874">
              <w:rPr>
                <w:b w:val="0"/>
              </w:rPr>
              <w:t>Figure 17.</w:t>
            </w:r>
            <w:r w:rsidR="00A44AAE" w:rsidRPr="00D93874">
              <w:rPr>
                <w:b w:val="0"/>
              </w:rPr>
              <w:t>5</w:t>
            </w:r>
            <w:r w:rsidRPr="00D93874">
              <w:tab/>
              <w:t>Net recurrent cos</w:t>
            </w:r>
            <w:r w:rsidR="00A44AAE" w:rsidRPr="00D93874">
              <w:t xml:space="preserve">t per dwelling — SOMIH </w:t>
            </w:r>
            <w:r w:rsidR="00A44AAE" w:rsidRPr="00D93874">
              <w:br/>
              <w:t xml:space="preserve">(2013–14 </w:t>
            </w:r>
            <w:r w:rsidRPr="00D93874">
              <w:t>dollars)</w:t>
            </w:r>
            <w:r w:rsidRPr="00D93874">
              <w:rPr>
                <w:rStyle w:val="NoteLabel"/>
                <w:b/>
              </w:rPr>
              <w:t>a, b, c</w:t>
            </w:r>
          </w:p>
        </w:tc>
      </w:tr>
      <w:tr w:rsidR="008C487D" w:rsidRPr="00D93874" w:rsidTr="00A44AAE">
        <w:tc>
          <w:tcPr>
            <w:tcW w:w="5000" w:type="pct"/>
            <w:tcBorders>
              <w:top w:val="nil"/>
              <w:left w:val="nil"/>
              <w:bottom w:val="nil"/>
              <w:right w:val="nil"/>
            </w:tcBorders>
            <w:shd w:val="clear" w:color="auto" w:fill="auto"/>
            <w:tcMar>
              <w:top w:w="28" w:type="dxa"/>
              <w:bottom w:w="28" w:type="dxa"/>
            </w:tcMar>
          </w:tcPr>
          <w:p w:rsidR="008C487D" w:rsidRPr="00D93874" w:rsidRDefault="008C487D" w:rsidP="00FF35FF">
            <w:pPr>
              <w:pStyle w:val="Figure"/>
              <w:rPr>
                <w:rFonts w:ascii="Arial" w:hAnsi="Arial" w:cs="Arial"/>
                <w:b/>
                <w:sz w:val="20"/>
              </w:rPr>
            </w:pPr>
            <w:r w:rsidRPr="00D93874">
              <w:rPr>
                <w:rFonts w:ascii="Arial" w:hAnsi="Arial" w:cs="Arial"/>
                <w:b/>
                <w:sz w:val="20"/>
              </w:rPr>
              <w:t>Excluding the cost of capital</w:t>
            </w:r>
          </w:p>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8C487D" w:rsidRPr="00D93874" w:rsidTr="00FF35FF">
              <w:tc>
                <w:tcPr>
                  <w:tcW w:w="5000" w:type="pct"/>
                  <w:tcBorders>
                    <w:top w:val="nil"/>
                    <w:bottom w:val="nil"/>
                  </w:tcBorders>
                </w:tcPr>
                <w:p w:rsidR="008C487D" w:rsidRPr="00D93874" w:rsidRDefault="008C487D" w:rsidP="00FF35FF">
                  <w:pPr>
                    <w:pStyle w:val="Figure"/>
                  </w:pPr>
                  <w:r w:rsidRPr="00D93874">
                    <w:rPr>
                      <w:noProof/>
                    </w:rPr>
                    <w:drawing>
                      <wp:inline distT="0" distB="0" distL="0" distR="0" wp14:anchorId="17B4BFAF" wp14:editId="0C2A6AA7">
                        <wp:extent cx="5391150" cy="2686050"/>
                        <wp:effectExtent l="0" t="0" r="0" b="0"/>
                        <wp:docPr id="18" name="Picture 18" descr="Figure 17.6 Net recurrent cost per dwelling — SOMIH (2013–14 dollars)&#10;&#10;Excluding the cost of ca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C487D" w:rsidRPr="00D93874" w:rsidRDefault="008C487D" w:rsidP="00FF35FF">
            <w:pPr>
              <w:pStyle w:val="Figure"/>
            </w:pPr>
          </w:p>
        </w:tc>
      </w:tr>
      <w:tr w:rsidR="008C487D" w:rsidRPr="00D93874" w:rsidTr="00A44AAE">
        <w:tc>
          <w:tcPr>
            <w:tcW w:w="5000" w:type="pct"/>
            <w:tcBorders>
              <w:top w:val="nil"/>
              <w:left w:val="nil"/>
              <w:bottom w:val="nil"/>
              <w:right w:val="nil"/>
            </w:tcBorders>
            <w:shd w:val="clear" w:color="auto" w:fill="auto"/>
          </w:tcPr>
          <w:p w:rsidR="008C487D" w:rsidRPr="00D93874" w:rsidRDefault="008C487D" w:rsidP="00FF35FF">
            <w:pPr>
              <w:pStyle w:val="Note"/>
            </w:pPr>
            <w:r w:rsidRPr="00D93874">
              <w:rPr>
                <w:rStyle w:val="NoteLabel"/>
              </w:rPr>
              <w:t>a</w:t>
            </w:r>
            <w:r w:rsidRPr="00D93874">
              <w:t xml:space="preserve"> Data may not be comparable across jurisdictions and over time and compari</w:t>
            </w:r>
            <w:r w:rsidR="00660CCE" w:rsidRPr="00D93874">
              <w:t xml:space="preserve">sons could be misleading. Table </w:t>
            </w:r>
            <w:r w:rsidRPr="00D93874">
              <w:t>17A.2</w:t>
            </w:r>
            <w:r w:rsidR="00E321B2" w:rsidRPr="00D93874">
              <w:t>0</w:t>
            </w:r>
            <w:r w:rsidRPr="00D93874">
              <w:t xml:space="preserve"> provides further information.</w:t>
            </w:r>
            <w:r w:rsidRPr="00D93874">
              <w:rPr>
                <w:b/>
              </w:rPr>
              <w:t xml:space="preserve"> </w:t>
            </w:r>
            <w:r w:rsidRPr="00D93874">
              <w:rPr>
                <w:rStyle w:val="NoteLabel"/>
              </w:rPr>
              <w:t>b</w:t>
            </w:r>
            <w:r w:rsidRPr="00D93874">
              <w:t xml:space="preserve"> Time series financial data are adjusted to 2013–14 dollars using the General Government Final Consumption Expenditure (GGFCE) chain price deflator </w:t>
            </w:r>
            <w:r w:rsidR="002005EF" w:rsidRPr="00D93874">
              <w:br/>
              <w:t xml:space="preserve">(2013–14 = 100) (table 2A.51). See 2015 Report, Chapter 2 (sections </w:t>
            </w:r>
            <w:r w:rsidRPr="00D93874">
              <w:t xml:space="preserve">2.5–6) for details. </w:t>
            </w:r>
            <w:r w:rsidRPr="00D93874">
              <w:rPr>
                <w:rStyle w:val="NoteLabel"/>
              </w:rPr>
              <w:t>c </w:t>
            </w:r>
            <w:r w:rsidRPr="00D93874">
              <w:t>There are no SOMIH data reported for WA from 2010–11 as SOMIH was transferred to other housing programs.</w:t>
            </w:r>
          </w:p>
        </w:tc>
      </w:tr>
      <w:tr w:rsidR="008C487D" w:rsidRPr="00D93874" w:rsidTr="00A44AAE">
        <w:tc>
          <w:tcPr>
            <w:tcW w:w="5000" w:type="pct"/>
            <w:tcBorders>
              <w:top w:val="nil"/>
              <w:left w:val="nil"/>
              <w:bottom w:val="nil"/>
              <w:right w:val="nil"/>
            </w:tcBorders>
            <w:shd w:val="clear" w:color="auto" w:fill="auto"/>
          </w:tcPr>
          <w:p w:rsidR="008C487D" w:rsidRPr="00D93874" w:rsidRDefault="008C487D" w:rsidP="00A44AAE">
            <w:pPr>
              <w:pStyle w:val="Source"/>
            </w:pPr>
            <w:r w:rsidRPr="00D93874">
              <w:rPr>
                <w:i/>
              </w:rPr>
              <w:t>Source</w:t>
            </w:r>
            <w:r w:rsidRPr="00D93874">
              <w:t>: State and Territory governments (unpubl</w:t>
            </w:r>
            <w:r w:rsidR="00A44AAE" w:rsidRPr="00D93874">
              <w:t>ished); tables 17A.20 and 2A.51</w:t>
            </w:r>
            <w:r w:rsidR="00A44AAE" w:rsidRPr="00D93874">
              <w:rPr>
                <w:rFonts w:cs="Arial"/>
                <w:szCs w:val="18"/>
              </w:rPr>
              <w:t xml:space="preserve">; 2015 Report, </w:t>
            </w:r>
            <w:r w:rsidR="00A44AAE" w:rsidRPr="00D93874">
              <w:rPr>
                <w:rFonts w:cs="Arial"/>
                <w:szCs w:val="18"/>
              </w:rPr>
              <w:br/>
              <w:t>figure 17.6, p. 1</w:t>
            </w:r>
            <w:r w:rsidR="00E321B2" w:rsidRPr="00D93874">
              <w:rPr>
                <w:rFonts w:cs="Arial"/>
                <w:szCs w:val="18"/>
              </w:rPr>
              <w:t>7</w:t>
            </w:r>
            <w:r w:rsidR="00A44AAE" w:rsidRPr="00D93874">
              <w:rPr>
                <w:rFonts w:cs="Arial"/>
                <w:szCs w:val="18"/>
              </w:rPr>
              <w:t>.28.</w:t>
            </w:r>
          </w:p>
        </w:tc>
      </w:tr>
      <w:tr w:rsidR="008C487D" w:rsidRPr="00D93874" w:rsidTr="00A44AAE">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A44AAE">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t>Data on net recurrent cost per dwelling for community and Indigenous community housing are reported with a one year lag to allow community housing providers an extra year to collate financial data. Capital cost data for community housing are not available for this Report.</w:t>
      </w:r>
    </w:p>
    <w:p w:rsidR="008C487D" w:rsidRPr="00D93874" w:rsidRDefault="008C487D" w:rsidP="008C487D">
      <w:pPr>
        <w:pStyle w:val="BodyText"/>
      </w:pPr>
      <w:r w:rsidRPr="00D93874">
        <w:t xml:space="preserve">In 2012–13, the net current costs per Indigenous community housing dwelling, for jurisdictions where the data were available, </w:t>
      </w:r>
      <w:r w:rsidRPr="00D93874">
        <w:rPr>
          <w:color w:val="000000" w:themeColor="text1"/>
        </w:rPr>
        <w:t xml:space="preserve">was $7750 (table </w:t>
      </w:r>
      <w:r w:rsidRPr="00D93874">
        <w:t>17.4).</w:t>
      </w:r>
    </w:p>
    <w:p w:rsidR="008C487D" w:rsidRPr="00D93874" w:rsidRDefault="008C487D" w:rsidP="008C487D">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8C487D" w:rsidRPr="00D93874" w:rsidTr="00A44AAE">
        <w:tc>
          <w:tcPr>
            <w:tcW w:w="5000" w:type="pct"/>
            <w:tcBorders>
              <w:top w:val="single" w:sz="6" w:space="0" w:color="78A22F" w:themeColor="accent1"/>
              <w:left w:val="nil"/>
              <w:bottom w:val="nil"/>
              <w:right w:val="nil"/>
            </w:tcBorders>
            <w:shd w:val="clear" w:color="auto" w:fill="auto"/>
          </w:tcPr>
          <w:p w:rsidR="008C487D" w:rsidRPr="00D93874" w:rsidRDefault="008C487D" w:rsidP="00FF35FF">
            <w:pPr>
              <w:pStyle w:val="TableTitle"/>
            </w:pPr>
            <w:r w:rsidRPr="00D93874">
              <w:rPr>
                <w:b w:val="0"/>
              </w:rPr>
              <w:t>Table 17.4</w:t>
            </w:r>
            <w:r w:rsidRPr="00D93874">
              <w:tab/>
              <w:t>Net recurrent cost per dwelling (excluding the cost of capital) — Indigenous community housing (2012–13 dollars)</w:t>
            </w:r>
            <w:r w:rsidRPr="00D93874">
              <w:rPr>
                <w:rStyle w:val="NoteLabel"/>
                <w:b/>
              </w:rPr>
              <w:t>a, b, c</w:t>
            </w:r>
          </w:p>
        </w:tc>
      </w:tr>
      <w:tr w:rsidR="008C487D" w:rsidRPr="00D93874" w:rsidTr="00A44AAE">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027"/>
              <w:gridCol w:w="806"/>
              <w:gridCol w:w="675"/>
              <w:gridCol w:w="674"/>
              <w:gridCol w:w="784"/>
              <w:gridCol w:w="674"/>
              <w:gridCol w:w="806"/>
              <w:gridCol w:w="806"/>
              <w:gridCol w:w="471"/>
              <w:gridCol w:w="1111"/>
              <w:gridCol w:w="670"/>
            </w:tblGrid>
            <w:tr w:rsidR="008C487D" w:rsidRPr="00D93874" w:rsidTr="006D7C98">
              <w:tc>
                <w:tcPr>
                  <w:tcW w:w="604" w:type="pct"/>
                  <w:tcBorders>
                    <w:top w:val="single" w:sz="4" w:space="0" w:color="BFBFBF" w:themeColor="background2"/>
                    <w:bottom w:val="single" w:sz="4" w:space="0" w:color="BFBFBF" w:themeColor="background2"/>
                  </w:tcBorders>
                  <w:shd w:val="clear" w:color="auto" w:fill="auto"/>
                  <w:tcMar>
                    <w:top w:w="28" w:type="dxa"/>
                  </w:tcMar>
                  <w:vAlign w:val="center"/>
                </w:tcPr>
                <w:p w:rsidR="008C487D" w:rsidRPr="00D93874" w:rsidRDefault="008C487D" w:rsidP="00FF35FF">
                  <w:pPr>
                    <w:pStyle w:val="TableColumnHeading"/>
                    <w:rPr>
                      <w:rFonts w:cs="Arial"/>
                      <w:sz w:val="20"/>
                    </w:rPr>
                  </w:pPr>
                </w:p>
              </w:tc>
              <w:tc>
                <w:tcPr>
                  <w:tcW w:w="474" w:type="pct"/>
                  <w:tcBorders>
                    <w:top w:val="single" w:sz="4" w:space="0" w:color="BFBFBF" w:themeColor="background2"/>
                    <w:bottom w:val="single" w:sz="4" w:space="0" w:color="BFBFBF" w:themeColor="background2"/>
                  </w:tcBorders>
                  <w:shd w:val="clear" w:color="auto" w:fill="auto"/>
                  <w:tcMar>
                    <w:top w:w="28" w:type="dxa"/>
                  </w:tcMar>
                  <w:vAlign w:val="center"/>
                </w:tcPr>
                <w:p w:rsidR="008C487D" w:rsidRPr="00D93874" w:rsidRDefault="008C487D" w:rsidP="00FF35FF">
                  <w:pPr>
                    <w:pStyle w:val="TableColumnHeading"/>
                    <w:rPr>
                      <w:rFonts w:cs="Arial"/>
                      <w:sz w:val="20"/>
                    </w:rPr>
                  </w:pPr>
                  <w:r w:rsidRPr="00D93874">
                    <w:rPr>
                      <w:rFonts w:cs="Arial"/>
                      <w:sz w:val="20"/>
                    </w:rPr>
                    <w:t>NSW</w:t>
                  </w:r>
                </w:p>
              </w:tc>
              <w:tc>
                <w:tcPr>
                  <w:tcW w:w="397"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Vic</w:t>
                  </w:r>
                </w:p>
              </w:tc>
              <w:tc>
                <w:tcPr>
                  <w:tcW w:w="396"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Qld</w:t>
                  </w:r>
                </w:p>
              </w:tc>
              <w:tc>
                <w:tcPr>
                  <w:tcW w:w="461"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WA</w:t>
                  </w:r>
                </w:p>
              </w:tc>
              <w:tc>
                <w:tcPr>
                  <w:tcW w:w="396"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SA</w:t>
                  </w:r>
                </w:p>
              </w:tc>
              <w:tc>
                <w:tcPr>
                  <w:tcW w:w="474"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Tas</w:t>
                  </w:r>
                </w:p>
              </w:tc>
              <w:tc>
                <w:tcPr>
                  <w:tcW w:w="474"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ACT</w:t>
                  </w:r>
                </w:p>
              </w:tc>
              <w:tc>
                <w:tcPr>
                  <w:tcW w:w="277"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rPr>
                      <w:rFonts w:cs="Arial"/>
                      <w:sz w:val="20"/>
                    </w:rPr>
                  </w:pPr>
                  <w:r w:rsidRPr="00D93874">
                    <w:rPr>
                      <w:rFonts w:cs="Arial"/>
                      <w:sz w:val="20"/>
                    </w:rPr>
                    <w:t>NT</w:t>
                  </w:r>
                </w:p>
              </w:tc>
              <w:tc>
                <w:tcPr>
                  <w:tcW w:w="653" w:type="pct"/>
                  <w:tcBorders>
                    <w:top w:val="single" w:sz="4" w:space="0" w:color="BFBFBF" w:themeColor="background2"/>
                    <w:bottom w:val="single" w:sz="4" w:space="0" w:color="BFBFBF" w:themeColor="background2"/>
                  </w:tcBorders>
                  <w:vAlign w:val="center"/>
                </w:tcPr>
                <w:p w:rsidR="008C487D" w:rsidRPr="00D93874" w:rsidRDefault="008C487D" w:rsidP="00FF35FF">
                  <w:pPr>
                    <w:pStyle w:val="TableColumnHeading"/>
                    <w:ind w:right="28"/>
                    <w:rPr>
                      <w:rFonts w:cs="Arial"/>
                      <w:sz w:val="20"/>
                    </w:rPr>
                  </w:pPr>
                  <w:r w:rsidRPr="00D93874">
                    <w:rPr>
                      <w:rFonts w:cs="Arial"/>
                      <w:sz w:val="20"/>
                    </w:rPr>
                    <w:t>Aus Gov</w:t>
                  </w:r>
                  <w:r w:rsidRPr="00D93874">
                    <w:rPr>
                      <w:rStyle w:val="NoteLabel"/>
                      <w:rFonts w:cs="Arial"/>
                      <w:i w:val="0"/>
                      <w:sz w:val="20"/>
                    </w:rPr>
                    <w:t>d</w:t>
                  </w:r>
                </w:p>
              </w:tc>
              <w:tc>
                <w:tcPr>
                  <w:tcW w:w="394" w:type="pct"/>
                  <w:tcBorders>
                    <w:top w:val="single" w:sz="4" w:space="0" w:color="BFBFBF" w:themeColor="background2"/>
                    <w:bottom w:val="single" w:sz="4" w:space="0" w:color="BFBFBF" w:themeColor="background2"/>
                  </w:tcBorders>
                  <w:shd w:val="clear" w:color="auto" w:fill="auto"/>
                  <w:tcMar>
                    <w:top w:w="28" w:type="dxa"/>
                  </w:tcMar>
                  <w:vAlign w:val="center"/>
                </w:tcPr>
                <w:p w:rsidR="008C487D" w:rsidRPr="00D93874" w:rsidRDefault="008C487D" w:rsidP="00FF35FF">
                  <w:pPr>
                    <w:pStyle w:val="TableColumnHeading"/>
                    <w:ind w:right="28"/>
                    <w:rPr>
                      <w:rFonts w:cs="Arial"/>
                      <w:sz w:val="20"/>
                    </w:rPr>
                  </w:pPr>
                  <w:r w:rsidRPr="00D93874">
                    <w:rPr>
                      <w:rFonts w:cs="Arial"/>
                      <w:sz w:val="20"/>
                    </w:rPr>
                    <w:t>Aust</w:t>
                  </w:r>
                </w:p>
              </w:tc>
            </w:tr>
            <w:tr w:rsidR="008C487D" w:rsidRPr="00D93874" w:rsidTr="006D7C98">
              <w:tc>
                <w:tcPr>
                  <w:tcW w:w="604" w:type="pct"/>
                  <w:tcBorders>
                    <w:top w:val="single" w:sz="4" w:space="0" w:color="BFBFBF" w:themeColor="background2"/>
                  </w:tcBorders>
                </w:tcPr>
                <w:p w:rsidR="008C487D" w:rsidRPr="00D93874" w:rsidRDefault="008C487D" w:rsidP="00FF35FF">
                  <w:pPr>
                    <w:pStyle w:val="TableBodyText"/>
                    <w:rPr>
                      <w:rFonts w:cs="Arial"/>
                      <w:sz w:val="20"/>
                    </w:rPr>
                  </w:pPr>
                </w:p>
              </w:tc>
              <w:tc>
                <w:tcPr>
                  <w:tcW w:w="474"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397"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396"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461"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396"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474"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474"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277"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653" w:type="pct"/>
                  <w:tcBorders>
                    <w:top w:val="single" w:sz="4" w:space="0" w:color="BFBFBF" w:themeColor="background2"/>
                  </w:tcBorders>
                  <w:vAlign w:val="center"/>
                </w:tcPr>
                <w:p w:rsidR="008C487D" w:rsidRPr="00D93874" w:rsidRDefault="008C487D" w:rsidP="00FF35FF">
                  <w:pPr>
                    <w:pStyle w:val="TableBodyText"/>
                    <w:rPr>
                      <w:rFonts w:cs="Arial"/>
                      <w:sz w:val="20"/>
                    </w:rPr>
                  </w:pPr>
                </w:p>
              </w:tc>
              <w:tc>
                <w:tcPr>
                  <w:tcW w:w="394" w:type="pct"/>
                  <w:tcBorders>
                    <w:top w:val="single" w:sz="4" w:space="0" w:color="BFBFBF" w:themeColor="background2"/>
                  </w:tcBorders>
                  <w:vAlign w:val="center"/>
                </w:tcPr>
                <w:p w:rsidR="008C487D" w:rsidRPr="00D93874" w:rsidRDefault="008C487D" w:rsidP="00FF35FF">
                  <w:pPr>
                    <w:pStyle w:val="TableBodyText"/>
                    <w:rPr>
                      <w:rFonts w:cs="Arial"/>
                      <w:sz w:val="20"/>
                    </w:rPr>
                  </w:pPr>
                </w:p>
              </w:tc>
            </w:tr>
            <w:tr w:rsidR="008C487D" w:rsidRPr="00D93874" w:rsidTr="00FF35FF">
              <w:tc>
                <w:tcPr>
                  <w:tcW w:w="604" w:type="pct"/>
                </w:tcPr>
                <w:p w:rsidR="008C487D" w:rsidRPr="00D93874" w:rsidRDefault="008C487D" w:rsidP="00B3570B">
                  <w:pPr>
                    <w:pStyle w:val="TableBodyText"/>
                    <w:jc w:val="left"/>
                  </w:pPr>
                  <w:r w:rsidRPr="00D93874">
                    <w:t>2008</w:t>
                  </w:r>
                  <w:r w:rsidR="00375FF2" w:rsidRPr="00D93874">
                    <w:t>–09</w:t>
                  </w:r>
                </w:p>
              </w:tc>
              <w:tc>
                <w:tcPr>
                  <w:tcW w:w="474" w:type="pct"/>
                  <w:vAlign w:val="center"/>
                </w:tcPr>
                <w:p w:rsidR="008C487D" w:rsidRPr="00D93874" w:rsidRDefault="008C487D" w:rsidP="00B3570B">
                  <w:pPr>
                    <w:pStyle w:val="TableBodyText"/>
                  </w:pPr>
                  <w:r w:rsidRPr="00D93874">
                    <w:t xml:space="preserve"> 6 666</w:t>
                  </w:r>
                </w:p>
              </w:tc>
              <w:tc>
                <w:tcPr>
                  <w:tcW w:w="397" w:type="pct"/>
                  <w:vAlign w:val="center"/>
                </w:tcPr>
                <w:p w:rsidR="008C487D" w:rsidRPr="00D93874" w:rsidRDefault="008C487D" w:rsidP="00B3570B">
                  <w:pPr>
                    <w:pStyle w:val="TableBodyText"/>
                  </w:pPr>
                  <w:r w:rsidRPr="00D93874">
                    <w:t xml:space="preserve"> 6 571</w:t>
                  </w:r>
                </w:p>
              </w:tc>
              <w:tc>
                <w:tcPr>
                  <w:tcW w:w="396" w:type="pct"/>
                  <w:vAlign w:val="center"/>
                </w:tcPr>
                <w:p w:rsidR="008C487D" w:rsidRPr="00D93874" w:rsidRDefault="008C487D" w:rsidP="00B3570B">
                  <w:pPr>
                    <w:pStyle w:val="TableBodyText"/>
                  </w:pPr>
                  <w:r w:rsidRPr="00D93874">
                    <w:t xml:space="preserve"> 4 126</w:t>
                  </w:r>
                </w:p>
              </w:tc>
              <w:tc>
                <w:tcPr>
                  <w:tcW w:w="461" w:type="pct"/>
                  <w:vAlign w:val="center"/>
                </w:tcPr>
                <w:p w:rsidR="008C487D" w:rsidRPr="00D93874" w:rsidRDefault="008C487D" w:rsidP="00B3570B">
                  <w:pPr>
                    <w:pStyle w:val="TableBodyText"/>
                  </w:pPr>
                  <w:r w:rsidRPr="00D93874">
                    <w:t xml:space="preserve"> 7 058</w:t>
                  </w:r>
                </w:p>
              </w:tc>
              <w:tc>
                <w:tcPr>
                  <w:tcW w:w="396" w:type="pct"/>
                  <w:vAlign w:val="center"/>
                </w:tcPr>
                <w:p w:rsidR="008C487D" w:rsidRPr="00D93874" w:rsidRDefault="008C487D" w:rsidP="00B3570B">
                  <w:pPr>
                    <w:pStyle w:val="TableBodyText"/>
                  </w:pPr>
                  <w:r w:rsidRPr="00D93874">
                    <w:t xml:space="preserve"> 3 648</w:t>
                  </w:r>
                </w:p>
              </w:tc>
              <w:tc>
                <w:tcPr>
                  <w:tcW w:w="474" w:type="pct"/>
                  <w:vAlign w:val="center"/>
                </w:tcPr>
                <w:p w:rsidR="008C487D" w:rsidRPr="00D93874" w:rsidRDefault="008C487D" w:rsidP="00B3570B">
                  <w:pPr>
                    <w:pStyle w:val="TableBodyText"/>
                  </w:pPr>
                  <w:r w:rsidRPr="00D93874">
                    <w:t>..</w:t>
                  </w:r>
                </w:p>
              </w:tc>
              <w:tc>
                <w:tcPr>
                  <w:tcW w:w="474" w:type="pct"/>
                  <w:vAlign w:val="center"/>
                </w:tcPr>
                <w:p w:rsidR="008C487D" w:rsidRPr="00D93874" w:rsidRDefault="008C487D" w:rsidP="00B3570B">
                  <w:pPr>
                    <w:pStyle w:val="TableBodyText"/>
                  </w:pPr>
                  <w:r w:rsidRPr="00D93874">
                    <w:t xml:space="preserve"> 11 234</w:t>
                  </w:r>
                </w:p>
              </w:tc>
              <w:tc>
                <w:tcPr>
                  <w:tcW w:w="277" w:type="pct"/>
                  <w:vAlign w:val="center"/>
                </w:tcPr>
                <w:p w:rsidR="008C487D" w:rsidRPr="00D93874" w:rsidRDefault="008C487D" w:rsidP="00B3570B">
                  <w:pPr>
                    <w:pStyle w:val="TableBodyText"/>
                  </w:pPr>
                  <w:r w:rsidRPr="00D93874">
                    <w:t>na</w:t>
                  </w:r>
                </w:p>
              </w:tc>
              <w:tc>
                <w:tcPr>
                  <w:tcW w:w="653" w:type="pct"/>
                  <w:vAlign w:val="center"/>
                </w:tcPr>
                <w:p w:rsidR="008C487D" w:rsidRPr="00D93874" w:rsidRDefault="008C487D" w:rsidP="00B3570B">
                  <w:pPr>
                    <w:pStyle w:val="TableBodyText"/>
                  </w:pPr>
                  <w:r w:rsidRPr="00D93874">
                    <w:t xml:space="preserve"> 8 353</w:t>
                  </w:r>
                </w:p>
              </w:tc>
              <w:tc>
                <w:tcPr>
                  <w:tcW w:w="394" w:type="pct"/>
                  <w:vAlign w:val="center"/>
                </w:tcPr>
                <w:p w:rsidR="008C487D" w:rsidRPr="00D93874" w:rsidRDefault="008C487D" w:rsidP="00B3570B">
                  <w:pPr>
                    <w:pStyle w:val="TableBodyText"/>
                  </w:pPr>
                  <w:r w:rsidRPr="00D93874">
                    <w:t xml:space="preserve"> 5 853</w:t>
                  </w:r>
                </w:p>
              </w:tc>
            </w:tr>
            <w:tr w:rsidR="008C487D" w:rsidRPr="00D93874" w:rsidTr="00FF35FF">
              <w:tc>
                <w:tcPr>
                  <w:tcW w:w="604" w:type="pct"/>
                  <w:shd w:val="clear" w:color="auto" w:fill="auto"/>
                </w:tcPr>
                <w:p w:rsidR="008C487D" w:rsidRPr="00D93874" w:rsidRDefault="008C487D" w:rsidP="00B3570B">
                  <w:pPr>
                    <w:pStyle w:val="TableBodyText"/>
                    <w:jc w:val="left"/>
                  </w:pPr>
                  <w:r w:rsidRPr="00D93874">
                    <w:t>2009</w:t>
                  </w:r>
                  <w:r w:rsidR="00375FF2" w:rsidRPr="00D93874">
                    <w:t>–10</w:t>
                  </w:r>
                </w:p>
              </w:tc>
              <w:tc>
                <w:tcPr>
                  <w:tcW w:w="474" w:type="pct"/>
                  <w:shd w:val="clear" w:color="auto" w:fill="auto"/>
                  <w:vAlign w:val="center"/>
                </w:tcPr>
                <w:p w:rsidR="008C487D" w:rsidRPr="00D93874" w:rsidRDefault="008C487D" w:rsidP="00B3570B">
                  <w:pPr>
                    <w:pStyle w:val="TableBodyText"/>
                  </w:pPr>
                  <w:r w:rsidRPr="00D93874">
                    <w:t xml:space="preserve"> 15 429</w:t>
                  </w:r>
                </w:p>
              </w:tc>
              <w:tc>
                <w:tcPr>
                  <w:tcW w:w="397" w:type="pct"/>
                  <w:vAlign w:val="center"/>
                </w:tcPr>
                <w:p w:rsidR="008C487D" w:rsidRPr="00D93874" w:rsidRDefault="008C487D" w:rsidP="00B3570B">
                  <w:pPr>
                    <w:pStyle w:val="TableBodyText"/>
                  </w:pPr>
                  <w:r w:rsidRPr="00D93874">
                    <w:t xml:space="preserve"> 9 751</w:t>
                  </w:r>
                </w:p>
              </w:tc>
              <w:tc>
                <w:tcPr>
                  <w:tcW w:w="396" w:type="pct"/>
                  <w:vAlign w:val="center"/>
                </w:tcPr>
                <w:p w:rsidR="008C487D" w:rsidRPr="00D93874" w:rsidRDefault="008C487D" w:rsidP="00B3570B">
                  <w:pPr>
                    <w:pStyle w:val="TableBodyText"/>
                  </w:pPr>
                  <w:r w:rsidRPr="00D93874">
                    <w:t xml:space="preserve"> 4 858</w:t>
                  </w:r>
                </w:p>
              </w:tc>
              <w:tc>
                <w:tcPr>
                  <w:tcW w:w="461" w:type="pct"/>
                  <w:vAlign w:val="center"/>
                </w:tcPr>
                <w:p w:rsidR="008C487D" w:rsidRPr="00D93874" w:rsidRDefault="008C487D" w:rsidP="00B3570B">
                  <w:pPr>
                    <w:pStyle w:val="TableBodyText"/>
                  </w:pPr>
                  <w:r w:rsidRPr="00D93874">
                    <w:t xml:space="preserve"> 7 375</w:t>
                  </w:r>
                </w:p>
              </w:tc>
              <w:tc>
                <w:tcPr>
                  <w:tcW w:w="396" w:type="pct"/>
                  <w:vAlign w:val="center"/>
                </w:tcPr>
                <w:p w:rsidR="008C487D" w:rsidRPr="00D93874" w:rsidRDefault="008C487D" w:rsidP="00B3570B">
                  <w:pPr>
                    <w:pStyle w:val="TableBodyText"/>
                  </w:pPr>
                  <w:r w:rsidRPr="00D93874">
                    <w:t xml:space="preserve"> 4 303</w:t>
                  </w:r>
                </w:p>
              </w:tc>
              <w:tc>
                <w:tcPr>
                  <w:tcW w:w="474" w:type="pct"/>
                  <w:vAlign w:val="center"/>
                </w:tcPr>
                <w:p w:rsidR="008C487D" w:rsidRPr="00D93874" w:rsidRDefault="008C487D" w:rsidP="00B3570B">
                  <w:pPr>
                    <w:pStyle w:val="TableBodyText"/>
                  </w:pPr>
                  <w:r w:rsidRPr="00D93874">
                    <w:t xml:space="preserve"> 11 726</w:t>
                  </w:r>
                </w:p>
              </w:tc>
              <w:tc>
                <w:tcPr>
                  <w:tcW w:w="474" w:type="pct"/>
                  <w:vAlign w:val="center"/>
                </w:tcPr>
                <w:p w:rsidR="008C487D" w:rsidRPr="00D93874" w:rsidRDefault="008C487D" w:rsidP="00B3570B">
                  <w:pPr>
                    <w:pStyle w:val="TableBodyText"/>
                  </w:pPr>
                  <w:r w:rsidRPr="00D93874">
                    <w:t>na</w:t>
                  </w:r>
                </w:p>
              </w:tc>
              <w:tc>
                <w:tcPr>
                  <w:tcW w:w="277" w:type="pct"/>
                  <w:vAlign w:val="center"/>
                </w:tcPr>
                <w:p w:rsidR="008C487D" w:rsidRPr="00D93874" w:rsidRDefault="008C487D" w:rsidP="00B3570B">
                  <w:pPr>
                    <w:pStyle w:val="TableBodyText"/>
                  </w:pPr>
                  <w:r w:rsidRPr="00D93874">
                    <w:t>na</w:t>
                  </w:r>
                </w:p>
              </w:tc>
              <w:tc>
                <w:tcPr>
                  <w:tcW w:w="653" w:type="pct"/>
                  <w:vAlign w:val="center"/>
                </w:tcPr>
                <w:p w:rsidR="008C487D" w:rsidRPr="00D93874" w:rsidRDefault="008C487D" w:rsidP="00B3570B">
                  <w:pPr>
                    <w:pStyle w:val="TableBodyText"/>
                  </w:pPr>
                  <w:r w:rsidRPr="00D93874">
                    <w:t>..</w:t>
                  </w:r>
                </w:p>
              </w:tc>
              <w:tc>
                <w:tcPr>
                  <w:tcW w:w="394" w:type="pct"/>
                  <w:shd w:val="clear" w:color="auto" w:fill="auto"/>
                  <w:vAlign w:val="center"/>
                </w:tcPr>
                <w:p w:rsidR="008C487D" w:rsidRPr="00D93874" w:rsidRDefault="008C487D" w:rsidP="00B3570B">
                  <w:pPr>
                    <w:pStyle w:val="TableBodyText"/>
                  </w:pPr>
                  <w:r w:rsidRPr="00D93874">
                    <w:t xml:space="preserve"> 8 125</w:t>
                  </w:r>
                </w:p>
              </w:tc>
            </w:tr>
            <w:tr w:rsidR="008C487D" w:rsidRPr="00D93874" w:rsidTr="00FF35FF">
              <w:tc>
                <w:tcPr>
                  <w:tcW w:w="604" w:type="pct"/>
                  <w:shd w:val="clear" w:color="auto" w:fill="auto"/>
                </w:tcPr>
                <w:p w:rsidR="008C487D" w:rsidRPr="00D93874" w:rsidRDefault="008C487D" w:rsidP="00B3570B">
                  <w:pPr>
                    <w:pStyle w:val="TableBodyText"/>
                    <w:jc w:val="left"/>
                  </w:pPr>
                  <w:r w:rsidRPr="00D93874">
                    <w:t>2010</w:t>
                  </w:r>
                  <w:r w:rsidR="00375FF2" w:rsidRPr="00D93874">
                    <w:t>–11</w:t>
                  </w:r>
                </w:p>
              </w:tc>
              <w:tc>
                <w:tcPr>
                  <w:tcW w:w="474" w:type="pct"/>
                  <w:shd w:val="clear" w:color="auto" w:fill="auto"/>
                  <w:vAlign w:val="center"/>
                </w:tcPr>
                <w:p w:rsidR="008C487D" w:rsidRPr="00D93874" w:rsidRDefault="008C487D" w:rsidP="00B3570B">
                  <w:pPr>
                    <w:pStyle w:val="TableBodyText"/>
                  </w:pPr>
                  <w:r w:rsidRPr="00D93874">
                    <w:t xml:space="preserve"> 10 996</w:t>
                  </w:r>
                </w:p>
              </w:tc>
              <w:tc>
                <w:tcPr>
                  <w:tcW w:w="397" w:type="pct"/>
                  <w:vAlign w:val="center"/>
                </w:tcPr>
                <w:p w:rsidR="008C487D" w:rsidRPr="00D93874" w:rsidRDefault="008C487D" w:rsidP="00B3570B">
                  <w:pPr>
                    <w:pStyle w:val="TableBodyText"/>
                  </w:pPr>
                  <w:r w:rsidRPr="00D93874">
                    <w:t xml:space="preserve"> 5 006</w:t>
                  </w:r>
                </w:p>
              </w:tc>
              <w:tc>
                <w:tcPr>
                  <w:tcW w:w="396" w:type="pct"/>
                  <w:vAlign w:val="center"/>
                </w:tcPr>
                <w:p w:rsidR="008C487D" w:rsidRPr="00D93874" w:rsidRDefault="008C487D" w:rsidP="00B3570B">
                  <w:pPr>
                    <w:pStyle w:val="TableBodyText"/>
                  </w:pPr>
                  <w:r w:rsidRPr="00D93874">
                    <w:t xml:space="preserve"> 5 715</w:t>
                  </w:r>
                </w:p>
              </w:tc>
              <w:tc>
                <w:tcPr>
                  <w:tcW w:w="461" w:type="pct"/>
                  <w:vAlign w:val="center"/>
                </w:tcPr>
                <w:p w:rsidR="008C487D" w:rsidRPr="00D93874" w:rsidRDefault="008C487D" w:rsidP="00B3570B">
                  <w:pPr>
                    <w:pStyle w:val="TableBodyText"/>
                  </w:pPr>
                  <w:r w:rsidRPr="00D93874">
                    <w:t xml:space="preserve"> 9 353</w:t>
                  </w:r>
                </w:p>
              </w:tc>
              <w:tc>
                <w:tcPr>
                  <w:tcW w:w="396" w:type="pct"/>
                  <w:vAlign w:val="center"/>
                </w:tcPr>
                <w:p w:rsidR="008C487D" w:rsidRPr="00D93874" w:rsidRDefault="008C487D" w:rsidP="00B3570B">
                  <w:pPr>
                    <w:pStyle w:val="TableBodyText"/>
                  </w:pPr>
                  <w:r w:rsidRPr="00D93874">
                    <w:t>na</w:t>
                  </w:r>
                </w:p>
              </w:tc>
              <w:tc>
                <w:tcPr>
                  <w:tcW w:w="474" w:type="pct"/>
                  <w:vAlign w:val="center"/>
                </w:tcPr>
                <w:p w:rsidR="008C487D" w:rsidRPr="00D93874" w:rsidRDefault="008C487D" w:rsidP="00B3570B">
                  <w:pPr>
                    <w:pStyle w:val="TableBodyText"/>
                  </w:pPr>
                  <w:r w:rsidRPr="00D93874">
                    <w:t xml:space="preserve"> 5 119</w:t>
                  </w:r>
                </w:p>
              </w:tc>
              <w:tc>
                <w:tcPr>
                  <w:tcW w:w="474" w:type="pct"/>
                  <w:vAlign w:val="center"/>
                </w:tcPr>
                <w:p w:rsidR="008C487D" w:rsidRPr="00D93874" w:rsidRDefault="008C487D" w:rsidP="00B3570B">
                  <w:pPr>
                    <w:pStyle w:val="TableBodyText"/>
                  </w:pPr>
                  <w:r w:rsidRPr="00D93874">
                    <w:t>na</w:t>
                  </w:r>
                </w:p>
              </w:tc>
              <w:tc>
                <w:tcPr>
                  <w:tcW w:w="277" w:type="pct"/>
                  <w:vAlign w:val="center"/>
                </w:tcPr>
                <w:p w:rsidR="008C487D" w:rsidRPr="00D93874" w:rsidRDefault="008C487D" w:rsidP="00B3570B">
                  <w:pPr>
                    <w:pStyle w:val="TableBodyText"/>
                  </w:pPr>
                  <w:r w:rsidRPr="00D93874">
                    <w:t>na</w:t>
                  </w:r>
                </w:p>
              </w:tc>
              <w:tc>
                <w:tcPr>
                  <w:tcW w:w="653" w:type="pct"/>
                  <w:vAlign w:val="center"/>
                </w:tcPr>
                <w:p w:rsidR="008C487D" w:rsidRPr="00D93874" w:rsidRDefault="008C487D" w:rsidP="00B3570B">
                  <w:pPr>
                    <w:pStyle w:val="TableBodyText"/>
                  </w:pPr>
                  <w:r w:rsidRPr="00D93874">
                    <w:t>..</w:t>
                  </w:r>
                </w:p>
              </w:tc>
              <w:tc>
                <w:tcPr>
                  <w:tcW w:w="394" w:type="pct"/>
                  <w:shd w:val="clear" w:color="auto" w:fill="auto"/>
                  <w:vAlign w:val="center"/>
                </w:tcPr>
                <w:p w:rsidR="008C487D" w:rsidRPr="00D93874" w:rsidRDefault="008C487D" w:rsidP="00B3570B">
                  <w:pPr>
                    <w:pStyle w:val="TableBodyText"/>
                  </w:pPr>
                  <w:r w:rsidRPr="00D93874">
                    <w:t xml:space="preserve"> 7 561</w:t>
                  </w:r>
                </w:p>
              </w:tc>
            </w:tr>
            <w:tr w:rsidR="008C487D" w:rsidRPr="00D93874" w:rsidTr="006D7C98">
              <w:tc>
                <w:tcPr>
                  <w:tcW w:w="604" w:type="pct"/>
                  <w:shd w:val="clear" w:color="auto" w:fill="auto"/>
                </w:tcPr>
                <w:p w:rsidR="008C487D" w:rsidRPr="00D93874" w:rsidRDefault="008C487D" w:rsidP="00B3570B">
                  <w:pPr>
                    <w:pStyle w:val="TableBodyText"/>
                    <w:jc w:val="left"/>
                  </w:pPr>
                  <w:r w:rsidRPr="00D93874">
                    <w:t>2011</w:t>
                  </w:r>
                  <w:r w:rsidR="00375FF2" w:rsidRPr="00D93874">
                    <w:t>–12</w:t>
                  </w:r>
                </w:p>
              </w:tc>
              <w:tc>
                <w:tcPr>
                  <w:tcW w:w="474" w:type="pct"/>
                  <w:shd w:val="clear" w:color="auto" w:fill="auto"/>
                  <w:vAlign w:val="center"/>
                </w:tcPr>
                <w:p w:rsidR="008C487D" w:rsidRPr="00D93874" w:rsidRDefault="008C487D" w:rsidP="00B3570B">
                  <w:pPr>
                    <w:pStyle w:val="TableBodyText"/>
                  </w:pPr>
                  <w:r w:rsidRPr="00D93874">
                    <w:t xml:space="preserve"> 10 015</w:t>
                  </w:r>
                </w:p>
              </w:tc>
              <w:tc>
                <w:tcPr>
                  <w:tcW w:w="397" w:type="pct"/>
                  <w:vAlign w:val="center"/>
                </w:tcPr>
                <w:p w:rsidR="008C487D" w:rsidRPr="00D93874" w:rsidRDefault="008C487D" w:rsidP="00B3570B">
                  <w:pPr>
                    <w:pStyle w:val="TableBodyText"/>
                  </w:pPr>
                  <w:r w:rsidRPr="00D93874">
                    <w:t xml:space="preserve"> 6 529</w:t>
                  </w:r>
                </w:p>
              </w:tc>
              <w:tc>
                <w:tcPr>
                  <w:tcW w:w="396" w:type="pct"/>
                  <w:vAlign w:val="center"/>
                </w:tcPr>
                <w:p w:rsidR="008C487D" w:rsidRPr="00D93874" w:rsidRDefault="008C487D" w:rsidP="00B3570B">
                  <w:pPr>
                    <w:pStyle w:val="TableBodyText"/>
                  </w:pPr>
                  <w:r w:rsidRPr="00D93874">
                    <w:t xml:space="preserve"> 6 478</w:t>
                  </w:r>
                </w:p>
              </w:tc>
              <w:tc>
                <w:tcPr>
                  <w:tcW w:w="461" w:type="pct"/>
                  <w:vAlign w:val="center"/>
                </w:tcPr>
                <w:p w:rsidR="008C487D" w:rsidRPr="00D93874" w:rsidRDefault="008C487D" w:rsidP="00B3570B">
                  <w:pPr>
                    <w:pStyle w:val="TableBodyText"/>
                  </w:pPr>
                  <w:r w:rsidRPr="00D93874">
                    <w:t xml:space="preserve"> 9 527</w:t>
                  </w:r>
                </w:p>
              </w:tc>
              <w:tc>
                <w:tcPr>
                  <w:tcW w:w="396" w:type="pct"/>
                  <w:vAlign w:val="center"/>
                </w:tcPr>
                <w:p w:rsidR="008C487D" w:rsidRPr="00D93874" w:rsidRDefault="008C487D" w:rsidP="00B3570B">
                  <w:pPr>
                    <w:pStyle w:val="TableBodyText"/>
                  </w:pPr>
                  <w:r w:rsidRPr="00D93874">
                    <w:t>na</w:t>
                  </w:r>
                </w:p>
              </w:tc>
              <w:tc>
                <w:tcPr>
                  <w:tcW w:w="474" w:type="pct"/>
                  <w:vAlign w:val="center"/>
                </w:tcPr>
                <w:p w:rsidR="008C487D" w:rsidRPr="00D93874" w:rsidRDefault="008C487D" w:rsidP="00B3570B">
                  <w:pPr>
                    <w:pStyle w:val="TableBodyText"/>
                  </w:pPr>
                  <w:r w:rsidRPr="00D93874">
                    <w:t xml:space="preserve"> 9 418</w:t>
                  </w:r>
                </w:p>
              </w:tc>
              <w:tc>
                <w:tcPr>
                  <w:tcW w:w="474" w:type="pct"/>
                  <w:vAlign w:val="center"/>
                </w:tcPr>
                <w:p w:rsidR="008C487D" w:rsidRPr="00D93874" w:rsidRDefault="008C487D" w:rsidP="00B3570B">
                  <w:pPr>
                    <w:pStyle w:val="TableBodyText"/>
                  </w:pPr>
                  <w:r w:rsidRPr="00D93874">
                    <w:t>na</w:t>
                  </w:r>
                </w:p>
              </w:tc>
              <w:tc>
                <w:tcPr>
                  <w:tcW w:w="277" w:type="pct"/>
                  <w:vAlign w:val="center"/>
                </w:tcPr>
                <w:p w:rsidR="008C487D" w:rsidRPr="00D93874" w:rsidRDefault="008C487D" w:rsidP="00B3570B">
                  <w:pPr>
                    <w:pStyle w:val="TableBodyText"/>
                  </w:pPr>
                  <w:r w:rsidRPr="00D93874">
                    <w:t>na</w:t>
                  </w:r>
                </w:p>
              </w:tc>
              <w:tc>
                <w:tcPr>
                  <w:tcW w:w="653" w:type="pct"/>
                  <w:vAlign w:val="center"/>
                </w:tcPr>
                <w:p w:rsidR="008C487D" w:rsidRPr="00D93874" w:rsidRDefault="008C487D" w:rsidP="00B3570B">
                  <w:pPr>
                    <w:pStyle w:val="TableBodyText"/>
                  </w:pPr>
                  <w:r w:rsidRPr="00D93874">
                    <w:t>..</w:t>
                  </w:r>
                </w:p>
              </w:tc>
              <w:tc>
                <w:tcPr>
                  <w:tcW w:w="394" w:type="pct"/>
                  <w:shd w:val="clear" w:color="auto" w:fill="auto"/>
                  <w:vAlign w:val="center"/>
                </w:tcPr>
                <w:p w:rsidR="008C487D" w:rsidRPr="00D93874" w:rsidRDefault="008C487D" w:rsidP="00B3570B">
                  <w:pPr>
                    <w:pStyle w:val="TableBodyText"/>
                  </w:pPr>
                  <w:r w:rsidRPr="00D93874">
                    <w:t xml:space="preserve"> 8 099</w:t>
                  </w:r>
                </w:p>
              </w:tc>
            </w:tr>
            <w:tr w:rsidR="008C487D" w:rsidRPr="00D93874" w:rsidTr="006D7C98">
              <w:tc>
                <w:tcPr>
                  <w:tcW w:w="604" w:type="pct"/>
                  <w:tcBorders>
                    <w:bottom w:val="single" w:sz="4" w:space="0" w:color="BFBFBF" w:themeColor="background2"/>
                  </w:tcBorders>
                  <w:shd w:val="clear" w:color="auto" w:fill="auto"/>
                </w:tcPr>
                <w:p w:rsidR="008C487D" w:rsidRPr="00D93874" w:rsidRDefault="008C487D" w:rsidP="00B3570B">
                  <w:pPr>
                    <w:pStyle w:val="TableBodyText"/>
                    <w:jc w:val="left"/>
                  </w:pPr>
                  <w:r w:rsidRPr="00D93874">
                    <w:t>2012</w:t>
                  </w:r>
                  <w:r w:rsidR="00375FF2" w:rsidRPr="00D93874">
                    <w:t>–13</w:t>
                  </w:r>
                </w:p>
              </w:tc>
              <w:tc>
                <w:tcPr>
                  <w:tcW w:w="474" w:type="pct"/>
                  <w:tcBorders>
                    <w:bottom w:val="single" w:sz="4" w:space="0" w:color="BFBFBF" w:themeColor="background2"/>
                  </w:tcBorders>
                  <w:shd w:val="clear" w:color="auto" w:fill="auto"/>
                  <w:vAlign w:val="center"/>
                </w:tcPr>
                <w:p w:rsidR="008C487D" w:rsidRPr="00D93874" w:rsidRDefault="008C487D" w:rsidP="00B3570B">
                  <w:pPr>
                    <w:pStyle w:val="TableBodyText"/>
                  </w:pPr>
                  <w:r w:rsidRPr="00D93874">
                    <w:t xml:space="preserve"> 7 860</w:t>
                  </w:r>
                </w:p>
              </w:tc>
              <w:tc>
                <w:tcPr>
                  <w:tcW w:w="397" w:type="pct"/>
                  <w:tcBorders>
                    <w:bottom w:val="single" w:sz="4" w:space="0" w:color="BFBFBF" w:themeColor="background2"/>
                  </w:tcBorders>
                  <w:vAlign w:val="center"/>
                </w:tcPr>
                <w:p w:rsidR="008C487D" w:rsidRPr="00D93874" w:rsidRDefault="008C487D" w:rsidP="00B3570B">
                  <w:pPr>
                    <w:pStyle w:val="TableBodyText"/>
                  </w:pPr>
                  <w:r w:rsidRPr="00D93874">
                    <w:t xml:space="preserve"> 7 689</w:t>
                  </w:r>
                </w:p>
              </w:tc>
              <w:tc>
                <w:tcPr>
                  <w:tcW w:w="396" w:type="pct"/>
                  <w:tcBorders>
                    <w:bottom w:val="single" w:sz="4" w:space="0" w:color="BFBFBF" w:themeColor="background2"/>
                  </w:tcBorders>
                  <w:vAlign w:val="center"/>
                </w:tcPr>
                <w:p w:rsidR="008C487D" w:rsidRPr="00D93874" w:rsidRDefault="008C487D" w:rsidP="00B3570B">
                  <w:pPr>
                    <w:pStyle w:val="TableBodyText"/>
                  </w:pPr>
                  <w:r w:rsidRPr="00D93874">
                    <w:t xml:space="preserve"> 6 211</w:t>
                  </w:r>
                </w:p>
              </w:tc>
              <w:tc>
                <w:tcPr>
                  <w:tcW w:w="461" w:type="pct"/>
                  <w:tcBorders>
                    <w:bottom w:val="single" w:sz="4" w:space="0" w:color="BFBFBF" w:themeColor="background2"/>
                  </w:tcBorders>
                  <w:vAlign w:val="center"/>
                </w:tcPr>
                <w:p w:rsidR="008C487D" w:rsidRPr="00D93874" w:rsidRDefault="008C487D" w:rsidP="00B3570B">
                  <w:pPr>
                    <w:pStyle w:val="TableBodyText"/>
                  </w:pPr>
                  <w:r w:rsidRPr="00D93874">
                    <w:t xml:space="preserve"> 10 464</w:t>
                  </w:r>
                </w:p>
              </w:tc>
              <w:tc>
                <w:tcPr>
                  <w:tcW w:w="396"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474" w:type="pct"/>
                  <w:tcBorders>
                    <w:bottom w:val="single" w:sz="4" w:space="0" w:color="BFBFBF" w:themeColor="background2"/>
                  </w:tcBorders>
                  <w:vAlign w:val="center"/>
                </w:tcPr>
                <w:p w:rsidR="008C487D" w:rsidRPr="00D93874" w:rsidRDefault="008C487D" w:rsidP="00B3570B">
                  <w:pPr>
                    <w:pStyle w:val="TableBodyText"/>
                  </w:pPr>
                  <w:r w:rsidRPr="00D93874">
                    <w:t xml:space="preserve"> 9 895</w:t>
                  </w:r>
                </w:p>
              </w:tc>
              <w:tc>
                <w:tcPr>
                  <w:tcW w:w="474"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277"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653"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394" w:type="pct"/>
                  <w:tcBorders>
                    <w:bottom w:val="single" w:sz="4" w:space="0" w:color="BFBFBF" w:themeColor="background2"/>
                  </w:tcBorders>
                  <w:shd w:val="clear" w:color="auto" w:fill="auto"/>
                  <w:vAlign w:val="center"/>
                </w:tcPr>
                <w:p w:rsidR="008C487D" w:rsidRPr="00D93874" w:rsidRDefault="008C487D" w:rsidP="00B3570B">
                  <w:pPr>
                    <w:pStyle w:val="TableBodyText"/>
                  </w:pPr>
                  <w:r w:rsidRPr="00D93874">
                    <w:t xml:space="preserve"> 7 750</w:t>
                  </w:r>
                </w:p>
              </w:tc>
            </w:tr>
          </w:tbl>
          <w:p w:rsidR="008C487D" w:rsidRPr="00D93874" w:rsidRDefault="008C487D" w:rsidP="00FF35FF">
            <w:pPr>
              <w:pStyle w:val="Box"/>
            </w:pPr>
          </w:p>
        </w:tc>
      </w:tr>
      <w:tr w:rsidR="008C487D" w:rsidRPr="00D93874" w:rsidTr="00A44AAE">
        <w:trPr>
          <w:cantSplit/>
        </w:trPr>
        <w:tc>
          <w:tcPr>
            <w:tcW w:w="5000" w:type="pct"/>
            <w:tcBorders>
              <w:top w:val="nil"/>
              <w:left w:val="nil"/>
              <w:bottom w:val="nil"/>
              <w:right w:val="nil"/>
            </w:tcBorders>
            <w:shd w:val="clear" w:color="auto" w:fill="auto"/>
          </w:tcPr>
          <w:p w:rsidR="008C487D" w:rsidRPr="00D93874" w:rsidRDefault="008C487D" w:rsidP="00793015">
            <w:pPr>
              <w:pStyle w:val="Note"/>
              <w:rPr>
                <w:i/>
              </w:rPr>
            </w:pPr>
            <w:r w:rsidRPr="00D93874">
              <w:rPr>
                <w:rStyle w:val="NoteLabel"/>
              </w:rPr>
              <w:t>a </w:t>
            </w:r>
            <w:r w:rsidRPr="00D93874">
              <w:t>Data may not be comparable across jurisdictions and over time and compari</w:t>
            </w:r>
            <w:r w:rsidR="00A44AAE" w:rsidRPr="00D93874">
              <w:t xml:space="preserve">sons could be misleading. Table </w:t>
            </w:r>
            <w:r w:rsidRPr="00D93874">
              <w:t>17A.2</w:t>
            </w:r>
            <w:r w:rsidR="000B5375" w:rsidRPr="00D93874">
              <w:t>2</w:t>
            </w:r>
            <w:r w:rsidRPr="00D93874">
              <w:t xml:space="preserve"> </w:t>
            </w:r>
            <w:r w:rsidR="00A44AAE" w:rsidRPr="00D93874">
              <w:t xml:space="preserve">in the 2015 Report, </w:t>
            </w:r>
            <w:r w:rsidRPr="00D93874">
              <w:t xml:space="preserve">provides further information. </w:t>
            </w:r>
            <w:r w:rsidRPr="00D93874">
              <w:rPr>
                <w:rStyle w:val="NoteLabel"/>
              </w:rPr>
              <w:t>b</w:t>
            </w:r>
            <w:r w:rsidRPr="00D93874">
              <w:t> Time series financial data are adjusted to 2012–13 dollars using the General Government Final Consumption Expenditure (GGFCE) chain pric</w:t>
            </w:r>
            <w:r w:rsidR="00A44AAE" w:rsidRPr="00D93874">
              <w:t xml:space="preserve">e deflator (2012–13=100) (table </w:t>
            </w:r>
            <w:r w:rsidRPr="00D93874">
              <w:t xml:space="preserve">2A.51). See </w:t>
            </w:r>
            <w:r w:rsidR="00A44AAE" w:rsidRPr="00D93874">
              <w:t xml:space="preserve">2015 Report, Chapter 2 (sections </w:t>
            </w:r>
            <w:r w:rsidRPr="00D93874">
              <w:t xml:space="preserve">2.5–6) for details. </w:t>
            </w:r>
            <w:r w:rsidRPr="00D93874">
              <w:rPr>
                <w:rStyle w:val="NoteLabel"/>
              </w:rPr>
              <w:t>c</w:t>
            </w:r>
            <w:r w:rsidRPr="00D93874">
              <w:t xml:space="preserve"> Results for this indicator are based on the total number of dwellings for which details were known (not the total number of dwellings). </w:t>
            </w:r>
            <w:r w:rsidRPr="00D93874">
              <w:rPr>
                <w:rStyle w:val="NoteLabel"/>
              </w:rPr>
              <w:t>d</w:t>
            </w:r>
            <w:r w:rsidRPr="00D93874">
              <w:rPr>
                <w:b/>
              </w:rPr>
              <w:t> </w:t>
            </w:r>
            <w:r w:rsidR="00793015" w:rsidRPr="00D93874">
              <w:t>Data for 2009–10 are based on organisations that received ICH funding during 2009–10 and are not comparable to data for earlier years that were based on funded and unfunded organisations.</w:t>
            </w:r>
            <w:r w:rsidR="00793015" w:rsidRPr="00D93874">
              <w:rPr>
                <w:b/>
              </w:rPr>
              <w:t xml:space="preserve"> </w:t>
            </w:r>
            <w:r w:rsidR="00793015" w:rsidRPr="00D93874">
              <w:rPr>
                <w:rStyle w:val="NoteLabel"/>
              </w:rPr>
              <w:t>e</w:t>
            </w:r>
            <w:r w:rsidR="00793015" w:rsidRPr="00D93874" w:rsidDel="00793015">
              <w:t xml:space="preserve"> </w:t>
            </w:r>
            <w:r w:rsidR="00793015" w:rsidRPr="00D93874">
              <w:t>Australian totals may not represent national totals because data were not available for all jurisdictions.</w:t>
            </w:r>
            <w:r w:rsidR="00793015" w:rsidRPr="00D93874" w:rsidDel="00793015">
              <w:t xml:space="preserve"> </w:t>
            </w:r>
            <w:r w:rsidRPr="00D93874">
              <w:t xml:space="preserve">. </w:t>
            </w:r>
            <w:r w:rsidRPr="00D93874">
              <w:rPr>
                <w:b/>
              </w:rPr>
              <w:t>na</w:t>
            </w:r>
            <w:r w:rsidRPr="00D93874">
              <w:t xml:space="preserve"> Not available. .. Not applicable.</w:t>
            </w:r>
          </w:p>
        </w:tc>
      </w:tr>
      <w:tr w:rsidR="008C487D" w:rsidRPr="00D93874" w:rsidTr="00A44AAE">
        <w:trPr>
          <w:cantSplit/>
        </w:trPr>
        <w:tc>
          <w:tcPr>
            <w:tcW w:w="5000" w:type="pct"/>
            <w:tcBorders>
              <w:top w:val="nil"/>
              <w:left w:val="nil"/>
              <w:bottom w:val="nil"/>
              <w:right w:val="nil"/>
            </w:tcBorders>
            <w:shd w:val="clear" w:color="auto" w:fill="auto"/>
          </w:tcPr>
          <w:p w:rsidR="008C487D" w:rsidRPr="00D93874" w:rsidRDefault="008C487D" w:rsidP="00A44AAE">
            <w:pPr>
              <w:pStyle w:val="Source"/>
            </w:pPr>
            <w:r w:rsidRPr="00D93874">
              <w:rPr>
                <w:i/>
              </w:rPr>
              <w:t>Source</w:t>
            </w:r>
            <w:r w:rsidRPr="00D93874">
              <w:t xml:space="preserve">: AIHW (unpublished) </w:t>
            </w:r>
            <w:r w:rsidRPr="00D93874">
              <w:rPr>
                <w:i/>
              </w:rPr>
              <w:t>National Housing Assistance Data Repository</w:t>
            </w:r>
            <w:r w:rsidR="00A44AAE" w:rsidRPr="00D93874">
              <w:t>; table 17A.22 and 2A.51</w:t>
            </w:r>
            <w:r w:rsidR="00A44AAE" w:rsidRPr="00D93874">
              <w:rPr>
                <w:rFonts w:cs="Arial"/>
                <w:szCs w:val="18"/>
              </w:rPr>
              <w:t xml:space="preserve">; </w:t>
            </w:r>
            <w:r w:rsidR="00A44AAE" w:rsidRPr="00D93874">
              <w:rPr>
                <w:rFonts w:cs="Arial"/>
                <w:szCs w:val="18"/>
              </w:rPr>
              <w:br/>
              <w:t>2015 Report, table 17.4, p. 17.30.</w:t>
            </w:r>
          </w:p>
        </w:tc>
      </w:tr>
      <w:tr w:rsidR="008C487D" w:rsidRPr="00D93874" w:rsidTr="00A44AAE">
        <w:trPr>
          <w:cantSplit/>
        </w:trPr>
        <w:tc>
          <w:tcPr>
            <w:tcW w:w="5000" w:type="pct"/>
            <w:tcBorders>
              <w:top w:val="nil"/>
              <w:left w:val="nil"/>
              <w:bottom w:val="single" w:sz="6" w:space="0" w:color="78A22F" w:themeColor="accent1"/>
              <w:right w:val="nil"/>
            </w:tcBorders>
            <w:shd w:val="clear" w:color="auto" w:fill="auto"/>
          </w:tcPr>
          <w:p w:rsidR="008C487D" w:rsidRPr="00D93874" w:rsidRDefault="008C487D" w:rsidP="00FF35FF">
            <w:pPr>
              <w:pStyle w:val="Box"/>
              <w:spacing w:before="0" w:line="120" w:lineRule="exact"/>
            </w:pPr>
          </w:p>
        </w:tc>
      </w:tr>
      <w:tr w:rsidR="008C487D" w:rsidRPr="00D93874" w:rsidTr="00A44AAE">
        <w:tc>
          <w:tcPr>
            <w:tcW w:w="5000" w:type="pct"/>
            <w:tcBorders>
              <w:top w:val="single" w:sz="6" w:space="0" w:color="78A22F" w:themeColor="accent1"/>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spacing w:before="360"/>
      </w:pPr>
      <w:r w:rsidRPr="00D93874">
        <w:t>Occupancy rate</w:t>
      </w:r>
    </w:p>
    <w:p w:rsidR="008C487D" w:rsidRPr="00D93874" w:rsidRDefault="008C487D" w:rsidP="008C487D">
      <w:pPr>
        <w:pStyle w:val="BodyText"/>
      </w:pPr>
      <w:r w:rsidRPr="00D93874">
        <w:t>‘Occupancy rate’ is an indicator of governments’ objective to ensure efficie</w:t>
      </w:r>
      <w:r w:rsidR="00A44AAE" w:rsidRPr="00D93874">
        <w:t>nt housing utilisation (box 17.8</w:t>
      </w:r>
      <w:r w:rsidRPr="00D93874">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A44AAE">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A44AAE">
            <w:pPr>
              <w:pStyle w:val="BoxTitle"/>
            </w:pPr>
            <w:r w:rsidRPr="00D93874">
              <w:rPr>
                <w:b w:val="0"/>
              </w:rPr>
              <w:t>Box 17.</w:t>
            </w:r>
            <w:r w:rsidR="00A44AAE" w:rsidRPr="00D93874">
              <w:rPr>
                <w:b w:val="0"/>
              </w:rPr>
              <w:t>8</w:t>
            </w:r>
            <w:r w:rsidRPr="00D93874">
              <w:tab/>
              <w:t>Occupancy rates</w:t>
            </w:r>
          </w:p>
        </w:tc>
      </w:tr>
      <w:tr w:rsidR="008C487D" w:rsidRPr="00D93874" w:rsidTr="00A44AAE">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‘Occupancy rate’ is defined as the proportion of dwellings occupied at 30 June. The term ‘occupied’ refers to rental housing stock occupied by tenants who have a tenancy agreement with the relevant housing authority (for public housing and SOMIH) or community housing organisation (for community housing and Indigenous community housing).</w:t>
            </w:r>
          </w:p>
          <w:p w:rsidR="008C487D" w:rsidRPr="00D93874" w:rsidRDefault="008C487D" w:rsidP="00FF35FF">
            <w:pPr>
              <w:pStyle w:val="Box"/>
            </w:pPr>
            <w:r w:rsidRPr="00D93874">
              <w:t>A high or increasing proportion suggests greater eff</w:t>
            </w:r>
            <w:r w:rsidR="00A44AAE" w:rsidRPr="00D93874">
              <w:t>iciency of housing utilisation.</w:t>
            </w:r>
          </w:p>
          <w:p w:rsidR="008C487D" w:rsidRPr="00D93874" w:rsidRDefault="008C487D" w:rsidP="00FF35FF">
            <w:pPr>
              <w:pStyle w:val="Box"/>
            </w:pPr>
            <w:r w:rsidRPr="00D93874">
              <w:t>Occupancy is influenced by both turnover and housing supply and demand.</w:t>
            </w:r>
          </w:p>
          <w:p w:rsidR="008C487D" w:rsidRPr="00D93874" w:rsidRDefault="008C487D" w:rsidP="00FF35FF">
            <w:pPr>
              <w:pStyle w:val="Box"/>
            </w:pPr>
            <w:r w:rsidRPr="00D93874">
              <w:t>Data for this indicator are reported for public housing, SOMIH, community housing and Indigenous community housing. Data comparability and completeness vary for this indicator. Data reported are:</w:t>
            </w:r>
          </w:p>
          <w:p w:rsidR="008C487D" w:rsidRPr="00D93874" w:rsidRDefault="008C487D" w:rsidP="00B3570B">
            <w:pPr>
              <w:pStyle w:val="BoxListBullet"/>
            </w:pPr>
            <w:r w:rsidRPr="00D93874">
              <w:t>comparable (subject to caveats) within some jurisdictions over time but are not comparable across jurisdictions or over time for other jurisdictions (see caveats in attachment tables and DQI for specific jurisdictions)</w:t>
            </w:r>
          </w:p>
          <w:p w:rsidR="008C487D" w:rsidRPr="00D93874" w:rsidRDefault="008C487D" w:rsidP="00B3570B">
            <w:pPr>
              <w:pStyle w:val="BoxListBullet"/>
            </w:pPr>
            <w:r w:rsidRPr="00D93874">
              <w:t>are not comparable across public housing, SOMIH, community housing and ICH</w:t>
            </w:r>
          </w:p>
          <w:p w:rsidR="008C487D" w:rsidRPr="00D93874" w:rsidRDefault="008C487D" w:rsidP="00B3570B">
            <w:pPr>
              <w:pStyle w:val="BoxListBullet"/>
            </w:pPr>
            <w:r w:rsidRPr="00D93874">
              <w:t>complete for public housing, SOMIH and community housing for the current reporting period (subject to caveats). All required 2013–14 data are available for all jurisdictions providing the service</w:t>
            </w:r>
          </w:p>
          <w:p w:rsidR="008C487D" w:rsidRPr="00D93874" w:rsidRDefault="008C487D" w:rsidP="00B3570B">
            <w:pPr>
              <w:pStyle w:val="BoxListBullet"/>
            </w:pPr>
            <w:r w:rsidRPr="00D93874">
              <w:t xml:space="preserve">incomplete for Indigenous community housing for the current reporting period. All required 2013–14 data were not available for the </w:t>
            </w:r>
            <w:r w:rsidR="000B5375" w:rsidRPr="00D93874">
              <w:t>NT.</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A44AAE">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A44AAE">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Default="008C487D" w:rsidP="008C487D">
      <w:pPr>
        <w:pStyle w:val="BodyText"/>
      </w:pPr>
      <w:r w:rsidRPr="00D93874">
        <w:t xml:space="preserve">Nationally at 30 </w:t>
      </w:r>
      <w:r w:rsidRPr="00D93874">
        <w:rPr>
          <w:color w:val="000000" w:themeColor="text1"/>
        </w:rPr>
        <w:t xml:space="preserve">June 2014, the proportion of total rental stock occupied was 96.8 per </w:t>
      </w:r>
      <w:r w:rsidRPr="00D93874">
        <w:t xml:space="preserve">cent for </w:t>
      </w:r>
      <w:proofErr w:type="spellStart"/>
      <w:r w:rsidRPr="00D93874">
        <w:t>SOMIH</w:t>
      </w:r>
      <w:proofErr w:type="spellEnd"/>
      <w:r w:rsidRPr="00D93874">
        <w:t xml:space="preserve"> (figure 17.</w:t>
      </w:r>
      <w:r w:rsidR="00674A89" w:rsidRPr="00D93874">
        <w:t>6</w:t>
      </w:r>
      <w:r w:rsidRPr="00D93874">
        <w:t>).</w:t>
      </w:r>
    </w:p>
    <w:p w:rsidR="00CB09F0" w:rsidRPr="00D93874" w:rsidRDefault="00CB09F0" w:rsidP="008C487D">
      <w:pPr>
        <w:pStyle w:val="BodyText"/>
      </w:pPr>
    </w:p>
    <w:p w:rsidR="008C487D" w:rsidRPr="00D93874" w:rsidRDefault="008C487D" w:rsidP="008C487D">
      <w:pPr>
        <w:pStyle w:val="BodyText"/>
      </w:pPr>
      <w:r w:rsidRPr="00D93874">
        <w:br w:type="page"/>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8C487D" w:rsidRPr="00D93874" w:rsidTr="0023012A">
        <w:tc>
          <w:tcPr>
            <w:tcW w:w="5000" w:type="pct"/>
            <w:tcBorders>
              <w:top w:val="single" w:sz="6" w:space="0" w:color="78A22F"/>
              <w:left w:val="nil"/>
              <w:bottom w:val="nil"/>
              <w:right w:val="nil"/>
            </w:tcBorders>
            <w:shd w:val="clear" w:color="auto" w:fill="auto"/>
          </w:tcPr>
          <w:p w:rsidR="008C487D" w:rsidRPr="00D93874" w:rsidRDefault="008C487D" w:rsidP="00674A89">
            <w:pPr>
              <w:pStyle w:val="FigureTitle"/>
            </w:pPr>
            <w:r w:rsidRPr="00D93874">
              <w:rPr>
                <w:b w:val="0"/>
              </w:rPr>
              <w:t>Figure 17.</w:t>
            </w:r>
            <w:r w:rsidR="00674A89" w:rsidRPr="00D93874">
              <w:rPr>
                <w:b w:val="0"/>
              </w:rPr>
              <w:t>6</w:t>
            </w:r>
            <w:r w:rsidRPr="00D93874">
              <w:tab/>
              <w:t>Occupancy rates</w:t>
            </w:r>
            <w:r w:rsidR="00674A89" w:rsidRPr="00D93874">
              <w:t xml:space="preserve"> — </w:t>
            </w:r>
            <w:proofErr w:type="spellStart"/>
            <w:r w:rsidR="00674A89" w:rsidRPr="00D93874">
              <w:t>SOMIH</w:t>
            </w:r>
            <w:proofErr w:type="spellEnd"/>
            <w:r w:rsidRPr="00D93874">
              <w:t>, at 30 June</w:t>
            </w:r>
            <w:r w:rsidRPr="00D93874">
              <w:rPr>
                <w:rStyle w:val="NoteLabel"/>
                <w:b/>
              </w:rPr>
              <w:t>a</w:t>
            </w:r>
            <w:r w:rsidR="00165B2A">
              <w:rPr>
                <w:rStyle w:val="NoteLabel"/>
                <w:b/>
              </w:rPr>
              <w:t>, b, c, d</w:t>
            </w:r>
          </w:p>
        </w:tc>
      </w:tr>
      <w:tr w:rsidR="008C487D" w:rsidRPr="00D93874" w:rsidTr="0023012A">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8C487D" w:rsidRPr="00D93874" w:rsidTr="00981EA4">
              <w:tc>
                <w:tcPr>
                  <w:tcW w:w="8504" w:type="dxa"/>
                  <w:tcBorders>
                    <w:top w:val="nil"/>
                    <w:bottom w:val="nil"/>
                  </w:tcBorders>
                </w:tcPr>
                <w:p w:rsidR="008C487D" w:rsidRPr="00D93874" w:rsidRDefault="008C487D" w:rsidP="00674A89">
                  <w:pPr>
                    <w:pStyle w:val="Figure"/>
                    <w:spacing w:before="60" w:after="60"/>
                  </w:pPr>
                  <w:r w:rsidRPr="00D93874">
                    <w:rPr>
                      <w:rFonts w:ascii="Arial" w:hAnsi="Arial" w:cs="Arial"/>
                      <w:b/>
                      <w:noProof/>
                      <w:sz w:val="20"/>
                    </w:rPr>
                    <w:drawing>
                      <wp:inline distT="0" distB="0" distL="0" distR="0" wp14:anchorId="524A467C" wp14:editId="067ED745">
                        <wp:extent cx="5229225" cy="2112160"/>
                        <wp:effectExtent l="0" t="0" r="0" b="2540"/>
                        <wp:docPr id="21" name="Picture 21" descr="Figure 17.8 Occupancy rates, at 30 June&#10;&#10;SOMIH&#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2671" cy="2113552"/>
                                </a:xfrm>
                                <a:prstGeom prst="rect">
                                  <a:avLst/>
                                </a:prstGeom>
                                <a:noFill/>
                                <a:ln>
                                  <a:noFill/>
                                </a:ln>
                              </pic:spPr>
                            </pic:pic>
                          </a:graphicData>
                        </a:graphic>
                      </wp:inline>
                    </w:drawing>
                  </w:r>
                  <w:r w:rsidR="00674A89" w:rsidRPr="00D93874">
                    <w:rPr>
                      <w:noProof/>
                    </w:rPr>
                    <w:t xml:space="preserve"> </w:t>
                  </w:r>
                  <w:r w:rsidR="00981EA4" w:rsidRPr="00D93874">
                    <w:rPr>
                      <w:noProof/>
                    </w:rPr>
                    <w:drawing>
                      <wp:inline distT="0" distB="0" distL="0" distR="0" wp14:anchorId="4B152BD6" wp14:editId="063F8C4F">
                        <wp:extent cx="5381625" cy="314325"/>
                        <wp:effectExtent l="0" t="0" r="0" b="0"/>
                        <wp:docPr id="2" name="Chart 2" descr="Figure 17.6 Occupancy rates - SOMIH, at 30 June&#10;&#10;Legend to Figur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8C487D" w:rsidRPr="00D93874" w:rsidRDefault="008C487D" w:rsidP="00FF35FF">
            <w:pPr>
              <w:pStyle w:val="Figure"/>
            </w:pPr>
          </w:p>
        </w:tc>
      </w:tr>
      <w:tr w:rsidR="008C487D" w:rsidRPr="00D93874" w:rsidTr="0023012A">
        <w:tc>
          <w:tcPr>
            <w:tcW w:w="5000" w:type="pct"/>
            <w:tcBorders>
              <w:top w:val="nil"/>
              <w:left w:val="nil"/>
              <w:bottom w:val="nil"/>
              <w:right w:val="nil"/>
            </w:tcBorders>
            <w:shd w:val="clear" w:color="auto" w:fill="auto"/>
          </w:tcPr>
          <w:p w:rsidR="008C487D" w:rsidRPr="00D93874" w:rsidRDefault="008C487D" w:rsidP="00FF35FF">
            <w:pPr>
              <w:pStyle w:val="Note"/>
            </w:pPr>
            <w:r w:rsidRPr="00D93874">
              <w:rPr>
                <w:rStyle w:val="NoteLabel"/>
              </w:rPr>
              <w:t>a</w:t>
            </w:r>
            <w:r w:rsidRPr="00D93874">
              <w:t xml:space="preserve"> Data may not be comparable across jurisdictions and over time and comparisons could</w:t>
            </w:r>
            <w:r w:rsidR="0023012A" w:rsidRPr="00D93874">
              <w:t xml:space="preserve"> be misleading. Table 17A.24</w:t>
            </w:r>
            <w:r w:rsidRPr="00D93874">
              <w:t xml:space="preserve"> provide further information.</w:t>
            </w:r>
            <w:r w:rsidRPr="00D93874">
              <w:rPr>
                <w:rStyle w:val="NoteLabel"/>
              </w:rPr>
              <w:t xml:space="preserve"> b</w:t>
            </w:r>
            <w:r w:rsidRPr="00D93874">
              <w:t xml:space="preserve"> There are no SOMIH da</w:t>
            </w:r>
            <w:r w:rsidR="0023012A" w:rsidRPr="00D93874">
              <w:t xml:space="preserve">ta reported for Victoria (from </w:t>
            </w:r>
            <w:r w:rsidRPr="00D93874">
              <w:t xml:space="preserve">2009–10) or WA (from 2010–11) as SOMIH was transferred to other housing programs. </w:t>
            </w:r>
            <w:r w:rsidRPr="00D93874">
              <w:rPr>
                <w:rStyle w:val="NoteLabel"/>
              </w:rPr>
              <w:t>c</w:t>
            </w:r>
            <w:r w:rsidRPr="00D93874">
              <w:t xml:space="preserve"> Occupancy rates in the NT are based on the assumption that all dwellings are occupied. </w:t>
            </w:r>
            <w:r w:rsidRPr="00D93874">
              <w:rPr>
                <w:rStyle w:val="NoteLabel"/>
              </w:rPr>
              <w:t>d</w:t>
            </w:r>
            <w:r w:rsidRPr="00D93874">
              <w:rPr>
                <w:b/>
              </w:rPr>
              <w:t> </w:t>
            </w:r>
            <w:r w:rsidRPr="00D93874">
              <w:t>National totals reflect data for those jurisdictions and/or organisations where data have been reported. Due to missing data, totals may not reflect the national community housing sector.</w:t>
            </w:r>
          </w:p>
        </w:tc>
      </w:tr>
      <w:tr w:rsidR="008C487D" w:rsidRPr="00D93874" w:rsidTr="0023012A">
        <w:tc>
          <w:tcPr>
            <w:tcW w:w="5000" w:type="pct"/>
            <w:tcBorders>
              <w:top w:val="nil"/>
              <w:left w:val="nil"/>
              <w:bottom w:val="nil"/>
              <w:right w:val="nil"/>
            </w:tcBorders>
            <w:shd w:val="clear" w:color="auto" w:fill="auto"/>
          </w:tcPr>
          <w:p w:rsidR="008C487D" w:rsidRPr="00D93874" w:rsidRDefault="008C487D" w:rsidP="0023012A">
            <w:pPr>
              <w:pStyle w:val="Source"/>
            </w:pPr>
            <w:r w:rsidRPr="00D93874">
              <w:rPr>
                <w:i/>
              </w:rPr>
              <w:t>Source</w:t>
            </w:r>
            <w:r w:rsidRPr="00D93874">
              <w:t xml:space="preserve">: AIHW (unpublished) </w:t>
            </w:r>
            <w:r w:rsidRPr="00D93874">
              <w:rPr>
                <w:i/>
              </w:rPr>
              <w:t>National Housing Assistance Data Repository</w:t>
            </w:r>
            <w:r w:rsidR="0023012A" w:rsidRPr="00D93874">
              <w:t>; table 17A.24</w:t>
            </w:r>
            <w:r w:rsidR="00674A89" w:rsidRPr="00D93874">
              <w:rPr>
                <w:rFonts w:cs="Arial"/>
                <w:szCs w:val="18"/>
              </w:rPr>
              <w:t xml:space="preserve">; 2015 Report, </w:t>
            </w:r>
            <w:r w:rsidR="00674A89" w:rsidRPr="00D93874">
              <w:rPr>
                <w:rFonts w:cs="Arial"/>
                <w:szCs w:val="18"/>
              </w:rPr>
              <w:br/>
              <w:t xml:space="preserve">figure 17.6, p. </w:t>
            </w:r>
            <w:r w:rsidR="00177684" w:rsidRPr="00D93874">
              <w:rPr>
                <w:rFonts w:cs="Arial"/>
                <w:szCs w:val="18"/>
              </w:rPr>
              <w:t>17</w:t>
            </w:r>
            <w:r w:rsidR="00674A89" w:rsidRPr="00D93874">
              <w:rPr>
                <w:rFonts w:cs="Arial"/>
                <w:szCs w:val="18"/>
              </w:rPr>
              <w:t>.</w:t>
            </w:r>
            <w:r w:rsidR="00177684" w:rsidRPr="00D93874">
              <w:rPr>
                <w:rFonts w:cs="Arial"/>
                <w:szCs w:val="18"/>
              </w:rPr>
              <w:t>32</w:t>
            </w:r>
            <w:r w:rsidR="00674A89" w:rsidRPr="00D93874">
              <w:rPr>
                <w:rFonts w:cs="Arial"/>
                <w:szCs w:val="18"/>
              </w:rPr>
              <w:t>.</w:t>
            </w:r>
          </w:p>
        </w:tc>
      </w:tr>
      <w:tr w:rsidR="008C487D" w:rsidRPr="00D93874" w:rsidTr="0023012A">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23012A">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tabs>
          <w:tab w:val="left" w:pos="1276"/>
        </w:tabs>
      </w:pPr>
      <w:r w:rsidRPr="00D93874">
        <w:rPr>
          <w:color w:val="000000" w:themeColor="text1"/>
        </w:rPr>
        <w:t xml:space="preserve">Nationally, 91.0 per cent </w:t>
      </w:r>
      <w:r w:rsidRPr="00D93874">
        <w:t>of Indigenous commu</w:t>
      </w:r>
      <w:r w:rsidR="0023012A" w:rsidRPr="00D93874">
        <w:t xml:space="preserve">nity housing was occupied at 30 June </w:t>
      </w:r>
      <w:r w:rsidRPr="00D93874">
        <w:t>2013, though this var</w:t>
      </w:r>
      <w:r w:rsidR="0023012A" w:rsidRPr="00D93874">
        <w:t xml:space="preserve">ied across jurisdictions (table </w:t>
      </w:r>
      <w:r w:rsidRPr="00D93874">
        <w:t>17.5). However, complete data were not available for all jurisdictions, and these figures may be an underestimate.</w:t>
      </w:r>
    </w:p>
    <w:p w:rsidR="008C487D" w:rsidRPr="00D93874" w:rsidRDefault="008C487D" w:rsidP="008C487D">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8C487D" w:rsidRPr="00D93874" w:rsidTr="0023012A">
        <w:tc>
          <w:tcPr>
            <w:tcW w:w="5000" w:type="pct"/>
            <w:tcBorders>
              <w:top w:val="single" w:sz="6" w:space="0" w:color="78A22F" w:themeColor="accent1"/>
              <w:left w:val="nil"/>
              <w:bottom w:val="nil"/>
              <w:right w:val="nil"/>
            </w:tcBorders>
            <w:shd w:val="clear" w:color="auto" w:fill="auto"/>
          </w:tcPr>
          <w:p w:rsidR="008C487D" w:rsidRPr="00D93874" w:rsidRDefault="008C487D" w:rsidP="00FF35FF">
            <w:pPr>
              <w:pStyle w:val="TableTitle"/>
            </w:pPr>
            <w:r w:rsidRPr="00D93874">
              <w:rPr>
                <w:b w:val="0"/>
              </w:rPr>
              <w:t>Table 17.5</w:t>
            </w:r>
            <w:r w:rsidRPr="00D93874">
              <w:tab/>
              <w:t>Occupancy rates for Indigenou</w:t>
            </w:r>
            <w:r w:rsidR="0023012A" w:rsidRPr="00D93874">
              <w:t xml:space="preserve">s community housing, at </w:t>
            </w:r>
            <w:r w:rsidR="0023012A" w:rsidRPr="00D93874">
              <w:br/>
              <w:t xml:space="preserve">30 June </w:t>
            </w:r>
            <w:r w:rsidRPr="00D93874">
              <w:t>(per cent)</w:t>
            </w:r>
            <w:r w:rsidRPr="00D93874">
              <w:rPr>
                <w:rStyle w:val="NoteLabel"/>
                <w:b/>
              </w:rPr>
              <w:t>a, b</w:t>
            </w:r>
          </w:p>
        </w:tc>
      </w:tr>
      <w:tr w:rsidR="008C487D" w:rsidRPr="00D93874" w:rsidTr="0023012A">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775"/>
              <w:gridCol w:w="777"/>
              <w:gridCol w:w="779"/>
              <w:gridCol w:w="776"/>
              <w:gridCol w:w="774"/>
              <w:gridCol w:w="774"/>
              <w:gridCol w:w="774"/>
              <w:gridCol w:w="774"/>
              <w:gridCol w:w="774"/>
              <w:gridCol w:w="774"/>
              <w:gridCol w:w="753"/>
            </w:tblGrid>
            <w:tr w:rsidR="008C487D" w:rsidRPr="00D93874" w:rsidTr="002F4222">
              <w:tc>
                <w:tcPr>
                  <w:tcW w:w="455"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jc w:val="left"/>
                  </w:pPr>
                </w:p>
              </w:tc>
              <w:tc>
                <w:tcPr>
                  <w:tcW w:w="457"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pPr>
                  <w:r w:rsidRPr="00D93874">
                    <w:t>NSW</w:t>
                  </w:r>
                </w:p>
              </w:tc>
              <w:tc>
                <w:tcPr>
                  <w:tcW w:w="458"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Vic</w:t>
                  </w:r>
                </w:p>
              </w:tc>
              <w:tc>
                <w:tcPr>
                  <w:tcW w:w="456"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Qld</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WA</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SA</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Tas</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ACT</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NT</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ind w:right="28"/>
                  </w:pPr>
                  <w:r w:rsidRPr="00D93874">
                    <w:t>Aus Gov</w:t>
                  </w:r>
                  <w:r w:rsidRPr="00D93874">
                    <w:rPr>
                      <w:rStyle w:val="NoteLabel"/>
                      <w:i w:val="0"/>
                    </w:rPr>
                    <w:t>c</w:t>
                  </w:r>
                </w:p>
              </w:tc>
              <w:tc>
                <w:tcPr>
                  <w:tcW w:w="443"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ind w:right="28"/>
                  </w:pPr>
                  <w:r w:rsidRPr="00D93874">
                    <w:t>Aust</w:t>
                  </w:r>
                </w:p>
              </w:tc>
            </w:tr>
            <w:tr w:rsidR="008C487D" w:rsidRPr="00D93874" w:rsidTr="002F4222">
              <w:tc>
                <w:tcPr>
                  <w:tcW w:w="455" w:type="pct"/>
                  <w:tcBorders>
                    <w:top w:val="single" w:sz="4" w:space="0" w:color="BFBFBF" w:themeColor="background2"/>
                  </w:tcBorders>
                </w:tcPr>
                <w:p w:rsidR="008C487D" w:rsidRPr="00D93874" w:rsidRDefault="008C487D" w:rsidP="00FF35FF">
                  <w:pPr>
                    <w:pStyle w:val="TableBodyText"/>
                    <w:spacing w:before="40"/>
                    <w:jc w:val="left"/>
                    <w:rPr>
                      <w:color w:val="000000" w:themeColor="text1"/>
                    </w:rPr>
                  </w:pPr>
                  <w:r w:rsidRPr="00D93874">
                    <w:rPr>
                      <w:color w:val="000000" w:themeColor="text1"/>
                    </w:rPr>
                    <w:t>2009</w:t>
                  </w:r>
                </w:p>
              </w:tc>
              <w:tc>
                <w:tcPr>
                  <w:tcW w:w="457" w:type="pct"/>
                  <w:tcBorders>
                    <w:top w:val="single" w:sz="4" w:space="0" w:color="BFBFBF" w:themeColor="background2"/>
                  </w:tcBorders>
                  <w:vAlign w:val="center"/>
                </w:tcPr>
                <w:p w:rsidR="008C487D" w:rsidRPr="00D93874" w:rsidRDefault="008C487D" w:rsidP="00B3570B">
                  <w:pPr>
                    <w:pStyle w:val="TableBodyText"/>
                  </w:pPr>
                  <w:r w:rsidRPr="00D93874">
                    <w:t xml:space="preserve">  99.2</w:t>
                  </w:r>
                </w:p>
              </w:tc>
              <w:tc>
                <w:tcPr>
                  <w:tcW w:w="458" w:type="pct"/>
                  <w:tcBorders>
                    <w:top w:val="single" w:sz="4" w:space="0" w:color="BFBFBF" w:themeColor="background2"/>
                  </w:tcBorders>
                  <w:vAlign w:val="center"/>
                </w:tcPr>
                <w:p w:rsidR="008C487D" w:rsidRPr="00D93874" w:rsidRDefault="008C487D" w:rsidP="00B3570B">
                  <w:pPr>
                    <w:pStyle w:val="TableBodyText"/>
                  </w:pPr>
                  <w:r w:rsidRPr="00D93874">
                    <w:t xml:space="preserve">  97.9</w:t>
                  </w:r>
                </w:p>
              </w:tc>
              <w:tc>
                <w:tcPr>
                  <w:tcW w:w="456" w:type="pct"/>
                  <w:tcBorders>
                    <w:top w:val="single" w:sz="4" w:space="0" w:color="BFBFBF" w:themeColor="background2"/>
                  </w:tcBorders>
                  <w:vAlign w:val="center"/>
                </w:tcPr>
                <w:p w:rsidR="008C487D" w:rsidRPr="00D93874" w:rsidRDefault="008C487D" w:rsidP="00B3570B">
                  <w:pPr>
                    <w:pStyle w:val="TableBodyText"/>
                  </w:pPr>
                  <w:r w:rsidRPr="00D93874">
                    <w:t xml:space="preserve">  96.8</w:t>
                  </w:r>
                </w:p>
              </w:tc>
              <w:tc>
                <w:tcPr>
                  <w:tcW w:w="455" w:type="pct"/>
                  <w:tcBorders>
                    <w:top w:val="single" w:sz="4" w:space="0" w:color="BFBFBF" w:themeColor="background2"/>
                  </w:tcBorders>
                  <w:vAlign w:val="center"/>
                </w:tcPr>
                <w:p w:rsidR="008C487D" w:rsidRPr="00D93874" w:rsidRDefault="008C487D" w:rsidP="00B3570B">
                  <w:pPr>
                    <w:pStyle w:val="TableBodyText"/>
                  </w:pPr>
                  <w:r w:rsidRPr="00D93874">
                    <w:t xml:space="preserve">  89.8</w:t>
                  </w:r>
                </w:p>
              </w:tc>
              <w:tc>
                <w:tcPr>
                  <w:tcW w:w="455" w:type="pct"/>
                  <w:tcBorders>
                    <w:top w:val="single" w:sz="4" w:space="0" w:color="BFBFBF" w:themeColor="background2"/>
                  </w:tcBorders>
                  <w:vAlign w:val="center"/>
                </w:tcPr>
                <w:p w:rsidR="008C487D" w:rsidRPr="00D93874" w:rsidRDefault="008C487D" w:rsidP="00B3570B">
                  <w:pPr>
                    <w:pStyle w:val="TableBodyText"/>
                  </w:pPr>
                  <w:r w:rsidRPr="00D93874">
                    <w:t xml:space="preserve">  87.7</w:t>
                  </w:r>
                </w:p>
              </w:tc>
              <w:tc>
                <w:tcPr>
                  <w:tcW w:w="455" w:type="pct"/>
                  <w:tcBorders>
                    <w:top w:val="single" w:sz="4" w:space="0" w:color="BFBFBF" w:themeColor="background2"/>
                  </w:tcBorders>
                  <w:vAlign w:val="center"/>
                </w:tcPr>
                <w:p w:rsidR="008C487D" w:rsidRPr="00D93874" w:rsidRDefault="008C487D" w:rsidP="00B3570B">
                  <w:pPr>
                    <w:pStyle w:val="TableBodyText"/>
                  </w:pPr>
                  <w:r w:rsidRPr="00D93874">
                    <w:t>..</w:t>
                  </w:r>
                </w:p>
              </w:tc>
              <w:tc>
                <w:tcPr>
                  <w:tcW w:w="455" w:type="pct"/>
                  <w:tcBorders>
                    <w:top w:val="single" w:sz="4" w:space="0" w:color="BFBFBF" w:themeColor="background2"/>
                  </w:tcBorders>
                  <w:vAlign w:val="center"/>
                </w:tcPr>
                <w:p w:rsidR="008C487D" w:rsidRPr="00D93874" w:rsidRDefault="008C487D" w:rsidP="00B3570B">
                  <w:pPr>
                    <w:pStyle w:val="TableBodyText"/>
                  </w:pPr>
                  <w:r w:rsidRPr="00D93874">
                    <w:t xml:space="preserve">  100.0</w:t>
                  </w:r>
                </w:p>
              </w:tc>
              <w:tc>
                <w:tcPr>
                  <w:tcW w:w="455" w:type="pct"/>
                  <w:tcBorders>
                    <w:top w:val="single" w:sz="4" w:space="0" w:color="BFBFBF" w:themeColor="background2"/>
                  </w:tcBorders>
                  <w:vAlign w:val="center"/>
                </w:tcPr>
                <w:p w:rsidR="008C487D" w:rsidRPr="00D93874" w:rsidRDefault="008C487D" w:rsidP="00B3570B">
                  <w:pPr>
                    <w:pStyle w:val="TableBodyText"/>
                  </w:pPr>
                  <w:r w:rsidRPr="00D93874">
                    <w:t>na</w:t>
                  </w:r>
                </w:p>
              </w:tc>
              <w:tc>
                <w:tcPr>
                  <w:tcW w:w="455" w:type="pct"/>
                  <w:tcBorders>
                    <w:top w:val="single" w:sz="4" w:space="0" w:color="BFBFBF" w:themeColor="background2"/>
                  </w:tcBorders>
                  <w:vAlign w:val="center"/>
                </w:tcPr>
                <w:p w:rsidR="008C487D" w:rsidRPr="00D93874" w:rsidRDefault="008C487D" w:rsidP="00B3570B">
                  <w:pPr>
                    <w:pStyle w:val="TableBodyText"/>
                  </w:pPr>
                  <w:r w:rsidRPr="00D93874">
                    <w:t xml:space="preserve">  95.3</w:t>
                  </w:r>
                </w:p>
              </w:tc>
              <w:tc>
                <w:tcPr>
                  <w:tcW w:w="443" w:type="pct"/>
                  <w:tcBorders>
                    <w:top w:val="single" w:sz="4" w:space="0" w:color="BFBFBF" w:themeColor="background2"/>
                  </w:tcBorders>
                  <w:vAlign w:val="center"/>
                </w:tcPr>
                <w:p w:rsidR="008C487D" w:rsidRPr="00D93874" w:rsidRDefault="008C487D" w:rsidP="00B3570B">
                  <w:pPr>
                    <w:pStyle w:val="TableBodyText"/>
                  </w:pPr>
                  <w:r w:rsidRPr="00D93874">
                    <w:t xml:space="preserve">  96.5</w:t>
                  </w:r>
                </w:p>
              </w:tc>
            </w:tr>
            <w:tr w:rsidR="008C487D" w:rsidRPr="00D93874" w:rsidTr="00FF35FF">
              <w:tc>
                <w:tcPr>
                  <w:tcW w:w="455" w:type="pct"/>
                  <w:shd w:val="clear" w:color="auto" w:fill="auto"/>
                </w:tcPr>
                <w:p w:rsidR="008C487D" w:rsidRPr="00D93874" w:rsidRDefault="008C487D" w:rsidP="00FF35FF">
                  <w:pPr>
                    <w:pStyle w:val="TableBodyText"/>
                    <w:spacing w:before="40"/>
                    <w:jc w:val="left"/>
                    <w:rPr>
                      <w:color w:val="000000" w:themeColor="text1"/>
                    </w:rPr>
                  </w:pPr>
                  <w:r w:rsidRPr="00D93874">
                    <w:rPr>
                      <w:color w:val="000000" w:themeColor="text1"/>
                    </w:rPr>
                    <w:t>2010</w:t>
                  </w:r>
                </w:p>
              </w:tc>
              <w:tc>
                <w:tcPr>
                  <w:tcW w:w="457" w:type="pct"/>
                  <w:shd w:val="clear" w:color="auto" w:fill="auto"/>
                  <w:vAlign w:val="center"/>
                </w:tcPr>
                <w:p w:rsidR="008C487D" w:rsidRPr="00D93874" w:rsidRDefault="008C487D" w:rsidP="00B3570B">
                  <w:pPr>
                    <w:pStyle w:val="TableBodyText"/>
                  </w:pPr>
                  <w:r w:rsidRPr="00D93874">
                    <w:t xml:space="preserve">  97.0</w:t>
                  </w:r>
                </w:p>
              </w:tc>
              <w:tc>
                <w:tcPr>
                  <w:tcW w:w="458" w:type="pct"/>
                  <w:vAlign w:val="center"/>
                </w:tcPr>
                <w:p w:rsidR="008C487D" w:rsidRPr="00D93874" w:rsidRDefault="008C487D" w:rsidP="00B3570B">
                  <w:pPr>
                    <w:pStyle w:val="TableBodyText"/>
                  </w:pPr>
                  <w:r w:rsidRPr="00D93874">
                    <w:t xml:space="preserve">  95.7</w:t>
                  </w:r>
                </w:p>
              </w:tc>
              <w:tc>
                <w:tcPr>
                  <w:tcW w:w="456" w:type="pct"/>
                  <w:vAlign w:val="center"/>
                </w:tcPr>
                <w:p w:rsidR="008C487D" w:rsidRPr="00D93874" w:rsidRDefault="008C487D" w:rsidP="00B3570B">
                  <w:pPr>
                    <w:pStyle w:val="TableBodyText"/>
                  </w:pPr>
                  <w:r w:rsidRPr="00D93874">
                    <w:t xml:space="preserve">  96.4</w:t>
                  </w:r>
                </w:p>
              </w:tc>
              <w:tc>
                <w:tcPr>
                  <w:tcW w:w="455" w:type="pct"/>
                  <w:vAlign w:val="center"/>
                </w:tcPr>
                <w:p w:rsidR="008C487D" w:rsidRPr="00D93874" w:rsidRDefault="008C487D" w:rsidP="00B3570B">
                  <w:pPr>
                    <w:pStyle w:val="TableBodyText"/>
                  </w:pPr>
                  <w:r w:rsidRPr="00D93874">
                    <w:t xml:space="preserve">  73.7</w:t>
                  </w:r>
                </w:p>
              </w:tc>
              <w:tc>
                <w:tcPr>
                  <w:tcW w:w="455" w:type="pct"/>
                  <w:vAlign w:val="center"/>
                </w:tcPr>
                <w:p w:rsidR="008C487D" w:rsidRPr="00D93874" w:rsidRDefault="008C487D" w:rsidP="00B3570B">
                  <w:pPr>
                    <w:pStyle w:val="TableBodyText"/>
                  </w:pPr>
                  <w:r w:rsidRPr="00D93874">
                    <w:t xml:space="preserve">  87.8</w:t>
                  </w:r>
                </w:p>
              </w:tc>
              <w:tc>
                <w:tcPr>
                  <w:tcW w:w="455" w:type="pct"/>
                  <w:vAlign w:val="center"/>
                </w:tcPr>
                <w:p w:rsidR="008C487D" w:rsidRPr="00D93874" w:rsidRDefault="008C487D" w:rsidP="00B3570B">
                  <w:pPr>
                    <w:pStyle w:val="TableBodyText"/>
                  </w:pPr>
                  <w:r w:rsidRPr="00D93874">
                    <w:t xml:space="preserve">  90.2</w:t>
                  </w:r>
                </w:p>
              </w:tc>
              <w:tc>
                <w:tcPr>
                  <w:tcW w:w="455" w:type="pct"/>
                  <w:vAlign w:val="center"/>
                </w:tcPr>
                <w:p w:rsidR="008C487D" w:rsidRPr="00D93874" w:rsidRDefault="008C487D" w:rsidP="00B3570B">
                  <w:pPr>
                    <w:pStyle w:val="TableBodyText"/>
                  </w:pPr>
                  <w:r w:rsidRPr="00D93874">
                    <w:t>na</w:t>
                  </w:r>
                </w:p>
              </w:tc>
              <w:tc>
                <w:tcPr>
                  <w:tcW w:w="455" w:type="pct"/>
                  <w:vAlign w:val="center"/>
                </w:tcPr>
                <w:p w:rsidR="008C487D" w:rsidRPr="00D93874" w:rsidRDefault="008C487D" w:rsidP="00B3570B">
                  <w:pPr>
                    <w:pStyle w:val="TableBodyText"/>
                  </w:pPr>
                  <w:r w:rsidRPr="00D93874">
                    <w:t>na</w:t>
                  </w:r>
                </w:p>
              </w:tc>
              <w:tc>
                <w:tcPr>
                  <w:tcW w:w="455" w:type="pct"/>
                  <w:vAlign w:val="center"/>
                </w:tcPr>
                <w:p w:rsidR="008C487D" w:rsidRPr="00D93874" w:rsidRDefault="008C487D" w:rsidP="00B3570B">
                  <w:pPr>
                    <w:pStyle w:val="TableBodyText"/>
                  </w:pPr>
                  <w:r w:rsidRPr="00D93874">
                    <w:t>..</w:t>
                  </w:r>
                </w:p>
              </w:tc>
              <w:tc>
                <w:tcPr>
                  <w:tcW w:w="443" w:type="pct"/>
                  <w:shd w:val="clear" w:color="auto" w:fill="auto"/>
                  <w:vAlign w:val="center"/>
                </w:tcPr>
                <w:p w:rsidR="008C487D" w:rsidRPr="00D93874" w:rsidRDefault="008C487D" w:rsidP="00B3570B">
                  <w:pPr>
                    <w:pStyle w:val="TableBodyText"/>
                  </w:pPr>
                  <w:r w:rsidRPr="00D93874">
                    <w:t xml:space="preserve">  90.8</w:t>
                  </w:r>
                </w:p>
              </w:tc>
            </w:tr>
            <w:tr w:rsidR="008C487D" w:rsidRPr="00D93874" w:rsidTr="00FF35FF">
              <w:tc>
                <w:tcPr>
                  <w:tcW w:w="455" w:type="pct"/>
                  <w:shd w:val="clear" w:color="auto" w:fill="auto"/>
                </w:tcPr>
                <w:p w:rsidR="008C487D" w:rsidRPr="00D93874" w:rsidRDefault="008C487D" w:rsidP="00FF35FF">
                  <w:pPr>
                    <w:pStyle w:val="TableBodyText"/>
                    <w:spacing w:before="40"/>
                    <w:jc w:val="left"/>
                    <w:rPr>
                      <w:color w:val="000000" w:themeColor="text1"/>
                    </w:rPr>
                  </w:pPr>
                  <w:r w:rsidRPr="00D93874">
                    <w:rPr>
                      <w:color w:val="000000" w:themeColor="text1"/>
                    </w:rPr>
                    <w:t>2011</w:t>
                  </w:r>
                </w:p>
              </w:tc>
              <w:tc>
                <w:tcPr>
                  <w:tcW w:w="457" w:type="pct"/>
                  <w:shd w:val="clear" w:color="auto" w:fill="auto"/>
                  <w:vAlign w:val="center"/>
                </w:tcPr>
                <w:p w:rsidR="008C487D" w:rsidRPr="00D93874" w:rsidRDefault="008C487D" w:rsidP="00B3570B">
                  <w:pPr>
                    <w:pStyle w:val="TableBodyText"/>
                  </w:pPr>
                  <w:r w:rsidRPr="00D93874">
                    <w:t xml:space="preserve">  96.2</w:t>
                  </w:r>
                </w:p>
              </w:tc>
              <w:tc>
                <w:tcPr>
                  <w:tcW w:w="458" w:type="pct"/>
                  <w:vAlign w:val="center"/>
                </w:tcPr>
                <w:p w:rsidR="008C487D" w:rsidRPr="00D93874" w:rsidRDefault="008C487D" w:rsidP="00B3570B">
                  <w:pPr>
                    <w:pStyle w:val="TableBodyText"/>
                  </w:pPr>
                  <w:r w:rsidRPr="00D93874">
                    <w:t xml:space="preserve">  95.4</w:t>
                  </w:r>
                </w:p>
              </w:tc>
              <w:tc>
                <w:tcPr>
                  <w:tcW w:w="456" w:type="pct"/>
                  <w:vAlign w:val="center"/>
                </w:tcPr>
                <w:p w:rsidR="008C487D" w:rsidRPr="00D93874" w:rsidRDefault="008C487D" w:rsidP="00B3570B">
                  <w:pPr>
                    <w:pStyle w:val="TableBodyText"/>
                  </w:pPr>
                  <w:r w:rsidRPr="00D93874">
                    <w:t xml:space="preserve">  97.0</w:t>
                  </w:r>
                </w:p>
              </w:tc>
              <w:tc>
                <w:tcPr>
                  <w:tcW w:w="455" w:type="pct"/>
                  <w:vAlign w:val="center"/>
                </w:tcPr>
                <w:p w:rsidR="008C487D" w:rsidRPr="00D93874" w:rsidRDefault="008C487D" w:rsidP="00B3570B">
                  <w:pPr>
                    <w:pStyle w:val="TableBodyText"/>
                  </w:pPr>
                  <w:r w:rsidRPr="00D93874">
                    <w:t xml:space="preserve">  79.8</w:t>
                  </w:r>
                </w:p>
              </w:tc>
              <w:tc>
                <w:tcPr>
                  <w:tcW w:w="455" w:type="pct"/>
                  <w:vAlign w:val="center"/>
                </w:tcPr>
                <w:p w:rsidR="008C487D" w:rsidRPr="00D93874" w:rsidRDefault="008C487D" w:rsidP="00B3570B">
                  <w:pPr>
                    <w:pStyle w:val="TableBodyText"/>
                  </w:pPr>
                  <w:r w:rsidRPr="00D93874">
                    <w:t xml:space="preserve">  78.8</w:t>
                  </w:r>
                </w:p>
              </w:tc>
              <w:tc>
                <w:tcPr>
                  <w:tcW w:w="455" w:type="pct"/>
                  <w:vAlign w:val="center"/>
                </w:tcPr>
                <w:p w:rsidR="008C487D" w:rsidRPr="00D93874" w:rsidRDefault="008C487D" w:rsidP="00B3570B">
                  <w:pPr>
                    <w:pStyle w:val="TableBodyText"/>
                  </w:pPr>
                  <w:r w:rsidRPr="00D93874">
                    <w:t xml:space="preserve">  89.8</w:t>
                  </w:r>
                </w:p>
              </w:tc>
              <w:tc>
                <w:tcPr>
                  <w:tcW w:w="455" w:type="pct"/>
                  <w:vAlign w:val="center"/>
                </w:tcPr>
                <w:p w:rsidR="008C487D" w:rsidRPr="00D93874" w:rsidRDefault="008C487D" w:rsidP="00B3570B">
                  <w:pPr>
                    <w:pStyle w:val="TableBodyText"/>
                  </w:pPr>
                  <w:r w:rsidRPr="00D93874">
                    <w:t>na</w:t>
                  </w:r>
                </w:p>
              </w:tc>
              <w:tc>
                <w:tcPr>
                  <w:tcW w:w="455" w:type="pct"/>
                  <w:vAlign w:val="center"/>
                </w:tcPr>
                <w:p w:rsidR="008C487D" w:rsidRPr="00D93874" w:rsidRDefault="008C487D" w:rsidP="00B3570B">
                  <w:pPr>
                    <w:pStyle w:val="TableBodyText"/>
                  </w:pPr>
                  <w:r w:rsidRPr="00D93874">
                    <w:t>na</w:t>
                  </w:r>
                </w:p>
              </w:tc>
              <w:tc>
                <w:tcPr>
                  <w:tcW w:w="455" w:type="pct"/>
                  <w:vAlign w:val="center"/>
                </w:tcPr>
                <w:p w:rsidR="008C487D" w:rsidRPr="00D93874" w:rsidRDefault="008C487D" w:rsidP="00B3570B">
                  <w:pPr>
                    <w:pStyle w:val="TableBodyText"/>
                  </w:pPr>
                  <w:r w:rsidRPr="00D93874">
                    <w:t>..</w:t>
                  </w:r>
                </w:p>
              </w:tc>
              <w:tc>
                <w:tcPr>
                  <w:tcW w:w="443" w:type="pct"/>
                  <w:shd w:val="clear" w:color="auto" w:fill="auto"/>
                  <w:vAlign w:val="center"/>
                </w:tcPr>
                <w:p w:rsidR="008C487D" w:rsidRPr="00D93874" w:rsidRDefault="008C487D" w:rsidP="00B3570B">
                  <w:pPr>
                    <w:pStyle w:val="TableBodyText"/>
                  </w:pPr>
                  <w:r w:rsidRPr="00D93874">
                    <w:t xml:space="preserve">  91.6</w:t>
                  </w:r>
                </w:p>
              </w:tc>
            </w:tr>
            <w:tr w:rsidR="008C487D" w:rsidRPr="00D93874" w:rsidTr="002F4222">
              <w:tc>
                <w:tcPr>
                  <w:tcW w:w="455" w:type="pct"/>
                  <w:shd w:val="clear" w:color="auto" w:fill="auto"/>
                </w:tcPr>
                <w:p w:rsidR="008C487D" w:rsidRPr="00D93874" w:rsidRDefault="008C487D" w:rsidP="00FF35FF">
                  <w:pPr>
                    <w:pStyle w:val="TableBodyText"/>
                    <w:spacing w:before="40"/>
                    <w:jc w:val="left"/>
                    <w:rPr>
                      <w:color w:val="000000" w:themeColor="text1"/>
                    </w:rPr>
                  </w:pPr>
                  <w:r w:rsidRPr="00D93874">
                    <w:rPr>
                      <w:color w:val="000000" w:themeColor="text1"/>
                    </w:rPr>
                    <w:t>2012</w:t>
                  </w:r>
                </w:p>
              </w:tc>
              <w:tc>
                <w:tcPr>
                  <w:tcW w:w="457" w:type="pct"/>
                  <w:shd w:val="clear" w:color="auto" w:fill="auto"/>
                  <w:vAlign w:val="center"/>
                </w:tcPr>
                <w:p w:rsidR="008C487D" w:rsidRPr="00D93874" w:rsidRDefault="008C487D" w:rsidP="00B3570B">
                  <w:pPr>
                    <w:pStyle w:val="TableBodyText"/>
                  </w:pPr>
                  <w:r w:rsidRPr="00D93874">
                    <w:t xml:space="preserve">  95.8</w:t>
                  </w:r>
                </w:p>
              </w:tc>
              <w:tc>
                <w:tcPr>
                  <w:tcW w:w="458" w:type="pct"/>
                  <w:vAlign w:val="center"/>
                </w:tcPr>
                <w:p w:rsidR="008C487D" w:rsidRPr="00D93874" w:rsidRDefault="008C487D" w:rsidP="00B3570B">
                  <w:pPr>
                    <w:pStyle w:val="TableBodyText"/>
                  </w:pPr>
                  <w:r w:rsidRPr="00D93874">
                    <w:t xml:space="preserve">  97.4</w:t>
                  </w:r>
                </w:p>
              </w:tc>
              <w:tc>
                <w:tcPr>
                  <w:tcW w:w="456" w:type="pct"/>
                  <w:vAlign w:val="center"/>
                </w:tcPr>
                <w:p w:rsidR="008C487D" w:rsidRPr="00D93874" w:rsidRDefault="008C487D" w:rsidP="00B3570B">
                  <w:pPr>
                    <w:pStyle w:val="TableBodyText"/>
                  </w:pPr>
                  <w:r w:rsidRPr="00D93874">
                    <w:t xml:space="preserve">  94.8</w:t>
                  </w:r>
                </w:p>
              </w:tc>
              <w:tc>
                <w:tcPr>
                  <w:tcW w:w="455" w:type="pct"/>
                  <w:vAlign w:val="center"/>
                </w:tcPr>
                <w:p w:rsidR="008C487D" w:rsidRPr="00D93874" w:rsidRDefault="008C487D" w:rsidP="00B3570B">
                  <w:pPr>
                    <w:pStyle w:val="TableBodyText"/>
                  </w:pPr>
                  <w:r w:rsidRPr="00D93874">
                    <w:t xml:space="preserve">  82.5</w:t>
                  </w:r>
                </w:p>
              </w:tc>
              <w:tc>
                <w:tcPr>
                  <w:tcW w:w="455" w:type="pct"/>
                  <w:vAlign w:val="center"/>
                </w:tcPr>
                <w:p w:rsidR="008C487D" w:rsidRPr="00D93874" w:rsidRDefault="008C487D" w:rsidP="00B3570B">
                  <w:pPr>
                    <w:pStyle w:val="TableBodyText"/>
                  </w:pPr>
                  <w:r w:rsidRPr="00D93874">
                    <w:t xml:space="preserve">  89.4</w:t>
                  </w:r>
                </w:p>
              </w:tc>
              <w:tc>
                <w:tcPr>
                  <w:tcW w:w="455" w:type="pct"/>
                  <w:vAlign w:val="center"/>
                </w:tcPr>
                <w:p w:rsidR="008C487D" w:rsidRPr="00D93874" w:rsidRDefault="008C487D" w:rsidP="00B3570B">
                  <w:pPr>
                    <w:pStyle w:val="TableBodyText"/>
                  </w:pPr>
                  <w:r w:rsidRPr="00D93874">
                    <w:t xml:space="preserve">  92.1</w:t>
                  </w:r>
                </w:p>
              </w:tc>
              <w:tc>
                <w:tcPr>
                  <w:tcW w:w="455" w:type="pct"/>
                  <w:vAlign w:val="center"/>
                </w:tcPr>
                <w:p w:rsidR="008C487D" w:rsidRPr="00D93874" w:rsidRDefault="008C487D" w:rsidP="00B3570B">
                  <w:pPr>
                    <w:pStyle w:val="TableBodyText"/>
                  </w:pPr>
                  <w:r w:rsidRPr="00D93874">
                    <w:t>na</w:t>
                  </w:r>
                </w:p>
              </w:tc>
              <w:tc>
                <w:tcPr>
                  <w:tcW w:w="455" w:type="pct"/>
                  <w:vAlign w:val="center"/>
                </w:tcPr>
                <w:p w:rsidR="008C487D" w:rsidRPr="00D93874" w:rsidRDefault="008C487D" w:rsidP="00B3570B">
                  <w:pPr>
                    <w:pStyle w:val="TableBodyText"/>
                  </w:pPr>
                  <w:r w:rsidRPr="00D93874">
                    <w:t>na</w:t>
                  </w:r>
                </w:p>
              </w:tc>
              <w:tc>
                <w:tcPr>
                  <w:tcW w:w="455" w:type="pct"/>
                  <w:vAlign w:val="center"/>
                </w:tcPr>
                <w:p w:rsidR="008C487D" w:rsidRPr="00D93874" w:rsidRDefault="008C487D" w:rsidP="00B3570B">
                  <w:pPr>
                    <w:pStyle w:val="TableBodyText"/>
                  </w:pPr>
                  <w:r w:rsidRPr="00D93874">
                    <w:t>..</w:t>
                  </w:r>
                </w:p>
              </w:tc>
              <w:tc>
                <w:tcPr>
                  <w:tcW w:w="443" w:type="pct"/>
                  <w:shd w:val="clear" w:color="auto" w:fill="auto"/>
                  <w:vAlign w:val="center"/>
                </w:tcPr>
                <w:p w:rsidR="008C487D" w:rsidRPr="00D93874" w:rsidRDefault="008C487D" w:rsidP="00B3570B">
                  <w:pPr>
                    <w:pStyle w:val="TableBodyText"/>
                  </w:pPr>
                  <w:r w:rsidRPr="00D93874">
                    <w:t xml:space="preserve">  92.1</w:t>
                  </w:r>
                </w:p>
              </w:tc>
            </w:tr>
            <w:tr w:rsidR="008C487D" w:rsidRPr="00D93874" w:rsidTr="002F4222">
              <w:tc>
                <w:tcPr>
                  <w:tcW w:w="455" w:type="pct"/>
                  <w:tcBorders>
                    <w:bottom w:val="single" w:sz="4" w:space="0" w:color="BFBFBF" w:themeColor="background2"/>
                  </w:tcBorders>
                  <w:shd w:val="clear" w:color="auto" w:fill="auto"/>
                </w:tcPr>
                <w:p w:rsidR="008C487D" w:rsidRPr="00D93874" w:rsidRDefault="008C487D" w:rsidP="00FF35FF">
                  <w:pPr>
                    <w:pStyle w:val="TableBodyText"/>
                    <w:spacing w:before="40"/>
                    <w:jc w:val="left"/>
                    <w:rPr>
                      <w:color w:val="000000" w:themeColor="text1"/>
                    </w:rPr>
                  </w:pPr>
                  <w:r w:rsidRPr="00D93874">
                    <w:rPr>
                      <w:color w:val="000000" w:themeColor="text1"/>
                    </w:rPr>
                    <w:t>2013</w:t>
                  </w:r>
                </w:p>
              </w:tc>
              <w:tc>
                <w:tcPr>
                  <w:tcW w:w="457" w:type="pct"/>
                  <w:tcBorders>
                    <w:bottom w:val="single" w:sz="4" w:space="0" w:color="BFBFBF" w:themeColor="background2"/>
                  </w:tcBorders>
                  <w:shd w:val="clear" w:color="auto" w:fill="auto"/>
                  <w:vAlign w:val="center"/>
                </w:tcPr>
                <w:p w:rsidR="008C487D" w:rsidRPr="00D93874" w:rsidRDefault="008C487D" w:rsidP="00B3570B">
                  <w:pPr>
                    <w:pStyle w:val="TableBodyText"/>
                  </w:pPr>
                  <w:r w:rsidRPr="00D93874">
                    <w:t xml:space="preserve">  96.9</w:t>
                  </w:r>
                </w:p>
              </w:tc>
              <w:tc>
                <w:tcPr>
                  <w:tcW w:w="458" w:type="pct"/>
                  <w:tcBorders>
                    <w:bottom w:val="single" w:sz="4" w:space="0" w:color="BFBFBF" w:themeColor="background2"/>
                  </w:tcBorders>
                  <w:vAlign w:val="center"/>
                </w:tcPr>
                <w:p w:rsidR="008C487D" w:rsidRPr="00D93874" w:rsidRDefault="008C487D" w:rsidP="00B3570B">
                  <w:pPr>
                    <w:pStyle w:val="TableBodyText"/>
                  </w:pPr>
                  <w:r w:rsidRPr="00D93874">
                    <w:t xml:space="preserve">  97.9</w:t>
                  </w:r>
                </w:p>
              </w:tc>
              <w:tc>
                <w:tcPr>
                  <w:tcW w:w="456" w:type="pct"/>
                  <w:tcBorders>
                    <w:bottom w:val="single" w:sz="4" w:space="0" w:color="BFBFBF" w:themeColor="background2"/>
                  </w:tcBorders>
                  <w:vAlign w:val="center"/>
                </w:tcPr>
                <w:p w:rsidR="008C487D" w:rsidRPr="00D93874" w:rsidRDefault="008C487D" w:rsidP="00B3570B">
                  <w:pPr>
                    <w:pStyle w:val="TableBodyText"/>
                  </w:pPr>
                  <w:r w:rsidRPr="00D93874">
                    <w:t xml:space="preserve">  90.8</w:t>
                  </w:r>
                </w:p>
              </w:tc>
              <w:tc>
                <w:tcPr>
                  <w:tcW w:w="455" w:type="pct"/>
                  <w:tcBorders>
                    <w:bottom w:val="single" w:sz="4" w:space="0" w:color="BFBFBF" w:themeColor="background2"/>
                  </w:tcBorders>
                  <w:vAlign w:val="center"/>
                </w:tcPr>
                <w:p w:rsidR="008C487D" w:rsidRPr="00D93874" w:rsidRDefault="008C487D" w:rsidP="00B3570B">
                  <w:pPr>
                    <w:pStyle w:val="TableBodyText"/>
                  </w:pPr>
                  <w:r w:rsidRPr="00D93874">
                    <w:t xml:space="preserve">  87.5</w:t>
                  </w:r>
                </w:p>
              </w:tc>
              <w:tc>
                <w:tcPr>
                  <w:tcW w:w="455" w:type="pct"/>
                  <w:tcBorders>
                    <w:bottom w:val="single" w:sz="4" w:space="0" w:color="BFBFBF" w:themeColor="background2"/>
                  </w:tcBorders>
                  <w:vAlign w:val="center"/>
                </w:tcPr>
                <w:p w:rsidR="008C487D" w:rsidRPr="00D93874" w:rsidRDefault="008C487D" w:rsidP="00B3570B">
                  <w:pPr>
                    <w:pStyle w:val="TableBodyText"/>
                  </w:pPr>
                  <w:r w:rsidRPr="00D93874">
                    <w:t xml:space="preserve">  74.8</w:t>
                  </w:r>
                </w:p>
              </w:tc>
              <w:tc>
                <w:tcPr>
                  <w:tcW w:w="455" w:type="pct"/>
                  <w:tcBorders>
                    <w:bottom w:val="single" w:sz="4" w:space="0" w:color="BFBFBF" w:themeColor="background2"/>
                  </w:tcBorders>
                  <w:vAlign w:val="center"/>
                </w:tcPr>
                <w:p w:rsidR="008C487D" w:rsidRPr="00D93874" w:rsidRDefault="008C487D" w:rsidP="00B3570B">
                  <w:pPr>
                    <w:pStyle w:val="TableBodyText"/>
                  </w:pPr>
                  <w:r w:rsidRPr="00D93874">
                    <w:t xml:space="preserve">  91.9</w:t>
                  </w:r>
                </w:p>
              </w:tc>
              <w:tc>
                <w:tcPr>
                  <w:tcW w:w="455"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455"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455"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443" w:type="pct"/>
                  <w:tcBorders>
                    <w:bottom w:val="single" w:sz="4" w:space="0" w:color="BFBFBF" w:themeColor="background2"/>
                  </w:tcBorders>
                  <w:shd w:val="clear" w:color="auto" w:fill="auto"/>
                  <w:vAlign w:val="center"/>
                </w:tcPr>
                <w:p w:rsidR="008C487D" w:rsidRPr="00D93874" w:rsidRDefault="008C487D" w:rsidP="00B3570B">
                  <w:pPr>
                    <w:pStyle w:val="TableBodyText"/>
                  </w:pPr>
                  <w:r w:rsidRPr="00D93874">
                    <w:t xml:space="preserve">  91.0</w:t>
                  </w:r>
                </w:p>
              </w:tc>
            </w:tr>
          </w:tbl>
          <w:p w:rsidR="008C487D" w:rsidRPr="00D93874" w:rsidRDefault="008C487D" w:rsidP="00FF35FF">
            <w:pPr>
              <w:pStyle w:val="Box"/>
            </w:pPr>
          </w:p>
        </w:tc>
      </w:tr>
      <w:tr w:rsidR="008C487D" w:rsidRPr="00D93874" w:rsidTr="0023012A">
        <w:trPr>
          <w:cantSplit/>
        </w:trPr>
        <w:tc>
          <w:tcPr>
            <w:tcW w:w="5000" w:type="pct"/>
            <w:tcBorders>
              <w:top w:val="nil"/>
              <w:left w:val="nil"/>
              <w:bottom w:val="nil"/>
              <w:right w:val="nil"/>
            </w:tcBorders>
            <w:shd w:val="clear" w:color="auto" w:fill="auto"/>
          </w:tcPr>
          <w:p w:rsidR="008C487D" w:rsidRPr="00D93874" w:rsidRDefault="008C487D" w:rsidP="001A7663">
            <w:pPr>
              <w:pStyle w:val="Note"/>
              <w:rPr>
                <w:i/>
              </w:rPr>
            </w:pPr>
            <w:r w:rsidRPr="00D93874">
              <w:rPr>
                <w:rStyle w:val="NoteLabel"/>
              </w:rPr>
              <w:t>a</w:t>
            </w:r>
            <w:r w:rsidRPr="00D93874">
              <w:t xml:space="preserve"> Data may not be comparable across jurisdictions and over time and compari</w:t>
            </w:r>
            <w:r w:rsidR="0023012A" w:rsidRPr="00D93874">
              <w:t xml:space="preserve">sons could be misleading. </w:t>
            </w:r>
            <w:r w:rsidR="0023012A" w:rsidRPr="00D93874">
              <w:br/>
              <w:t xml:space="preserve">Table </w:t>
            </w:r>
            <w:r w:rsidRPr="00D93874">
              <w:t>17A.2</w:t>
            </w:r>
            <w:r w:rsidR="001A7663" w:rsidRPr="00D93874">
              <w:t>6</w:t>
            </w:r>
            <w:r w:rsidR="0023012A" w:rsidRPr="00D93874">
              <w:t xml:space="preserve"> </w:t>
            </w:r>
            <w:r w:rsidRPr="00D93874">
              <w:t xml:space="preserve">provides further information. </w:t>
            </w:r>
            <w:r w:rsidRPr="00D93874">
              <w:rPr>
                <w:rStyle w:val="NoteLabel"/>
              </w:rPr>
              <w:t>b</w:t>
            </w:r>
            <w:r w:rsidRPr="00D93874">
              <w:t xml:space="preserve"> Results for this indicator are based on those dwellings for which occupancy status was known. </w:t>
            </w:r>
            <w:r w:rsidRPr="00D93874">
              <w:rPr>
                <w:rStyle w:val="NoteLabel"/>
              </w:rPr>
              <w:t>c</w:t>
            </w:r>
            <w:r w:rsidRPr="00D93874">
              <w:rPr>
                <w:b/>
              </w:rPr>
              <w:t> </w:t>
            </w:r>
            <w:r w:rsidRPr="00D93874">
              <w:t xml:space="preserve">Includes data from Victoria, Queensland and Tasmania not published separately, and includes dwellings managed by funded and unfunded organisations responding to the FaHCSIA survey. </w:t>
            </w:r>
            <w:r w:rsidRPr="00D93874">
              <w:rPr>
                <w:b/>
              </w:rPr>
              <w:t>na</w:t>
            </w:r>
            <w:r w:rsidRPr="00D93874">
              <w:t xml:space="preserve"> Not available. .. Not applicable.</w:t>
            </w:r>
          </w:p>
        </w:tc>
      </w:tr>
      <w:tr w:rsidR="008C487D" w:rsidRPr="00D93874" w:rsidTr="0023012A">
        <w:trPr>
          <w:cantSplit/>
        </w:trPr>
        <w:tc>
          <w:tcPr>
            <w:tcW w:w="5000" w:type="pct"/>
            <w:tcBorders>
              <w:top w:val="nil"/>
              <w:left w:val="nil"/>
              <w:bottom w:val="nil"/>
              <w:right w:val="nil"/>
            </w:tcBorders>
            <w:shd w:val="clear" w:color="auto" w:fill="auto"/>
          </w:tcPr>
          <w:p w:rsidR="008C487D" w:rsidRPr="00D93874" w:rsidRDefault="008C487D" w:rsidP="0023012A">
            <w:pPr>
              <w:pStyle w:val="Source"/>
            </w:pPr>
            <w:r w:rsidRPr="00D93874">
              <w:rPr>
                <w:i/>
              </w:rPr>
              <w:t>Source</w:t>
            </w:r>
            <w:r w:rsidRPr="00D93874">
              <w:t xml:space="preserve">: AIHW (unpublished) </w:t>
            </w:r>
            <w:r w:rsidRPr="00D93874">
              <w:rPr>
                <w:i/>
              </w:rPr>
              <w:t>National Housing Assistance Data Repository</w:t>
            </w:r>
            <w:r w:rsidR="0023012A" w:rsidRPr="00D93874">
              <w:t>; table 17A.26</w:t>
            </w:r>
            <w:r w:rsidR="0023012A" w:rsidRPr="00D93874">
              <w:rPr>
                <w:rFonts w:cs="Arial"/>
                <w:szCs w:val="18"/>
              </w:rPr>
              <w:t xml:space="preserve">; 2015 Report, </w:t>
            </w:r>
            <w:r w:rsidR="0023012A" w:rsidRPr="00D93874">
              <w:rPr>
                <w:rFonts w:cs="Arial"/>
                <w:szCs w:val="18"/>
              </w:rPr>
              <w:br/>
              <w:t>table 17.5, p. 17.33.</w:t>
            </w:r>
          </w:p>
        </w:tc>
      </w:tr>
      <w:tr w:rsidR="008C487D" w:rsidRPr="00D93874" w:rsidTr="0023012A">
        <w:trPr>
          <w:cantSplit/>
        </w:trPr>
        <w:tc>
          <w:tcPr>
            <w:tcW w:w="5000" w:type="pct"/>
            <w:tcBorders>
              <w:top w:val="nil"/>
              <w:left w:val="nil"/>
              <w:bottom w:val="single" w:sz="6" w:space="0" w:color="78A22F" w:themeColor="accent1"/>
              <w:right w:val="nil"/>
            </w:tcBorders>
            <w:shd w:val="clear" w:color="auto" w:fill="auto"/>
          </w:tcPr>
          <w:p w:rsidR="008C487D" w:rsidRPr="00D93874" w:rsidRDefault="008C487D" w:rsidP="00FF35FF">
            <w:pPr>
              <w:pStyle w:val="Box"/>
              <w:spacing w:before="0" w:line="120" w:lineRule="exact"/>
            </w:pPr>
          </w:p>
        </w:tc>
      </w:tr>
      <w:tr w:rsidR="008C487D" w:rsidRPr="00D93874" w:rsidTr="0023012A">
        <w:tc>
          <w:tcPr>
            <w:tcW w:w="5000" w:type="pct"/>
            <w:tcBorders>
              <w:top w:val="single" w:sz="6" w:space="0" w:color="78A22F" w:themeColor="accent1"/>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pPr>
      <w:r w:rsidRPr="00D93874">
        <w:lastRenderedPageBreak/>
        <w:t>Turnaround time</w:t>
      </w:r>
    </w:p>
    <w:p w:rsidR="008C487D" w:rsidRPr="00D93874" w:rsidRDefault="008C487D" w:rsidP="008C487D">
      <w:pPr>
        <w:pStyle w:val="BodyText"/>
        <w:spacing w:after="240"/>
      </w:pPr>
      <w:r w:rsidRPr="00D93874">
        <w:t>‘Turnaround time’ is an indicator of governments’ objective to undertake efficient and cost effective management (box 17.</w:t>
      </w:r>
      <w:r w:rsidR="0023012A" w:rsidRPr="00D93874">
        <w:t>9</w:t>
      </w:r>
      <w:r w:rsidRPr="00D93874">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23012A">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23012A">
            <w:pPr>
              <w:pStyle w:val="BoxTitle"/>
            </w:pPr>
            <w:r w:rsidRPr="00D93874">
              <w:rPr>
                <w:b w:val="0"/>
              </w:rPr>
              <w:t>Box 17.</w:t>
            </w:r>
            <w:r w:rsidR="0023012A" w:rsidRPr="00D93874">
              <w:rPr>
                <w:b w:val="0"/>
              </w:rPr>
              <w:t>9</w:t>
            </w:r>
            <w:r w:rsidRPr="00D93874">
              <w:tab/>
              <w:t>Turnaround time</w:t>
            </w:r>
          </w:p>
        </w:tc>
      </w:tr>
      <w:tr w:rsidR="008C487D" w:rsidRPr="00D93874" w:rsidTr="0023012A">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‘Turnaround time’ is defined as the average time taken for vacant stock, that is available to rent through normal processes, to be occupied.</w:t>
            </w:r>
          </w:p>
          <w:p w:rsidR="008C487D" w:rsidRPr="00D93874" w:rsidRDefault="008C487D" w:rsidP="00FF35FF">
            <w:pPr>
              <w:pStyle w:val="Box"/>
            </w:pPr>
            <w:r w:rsidRPr="00D93874">
              <w:t>A low or decreasing turnaround time suggests efficient housing allocation.</w:t>
            </w:r>
          </w:p>
          <w:p w:rsidR="008C487D" w:rsidRPr="00D93874" w:rsidRDefault="008C487D" w:rsidP="00FF35FF">
            <w:pPr>
              <w:pStyle w:val="Box"/>
              <w:rPr>
                <w:color w:val="000000" w:themeColor="text1"/>
              </w:rPr>
            </w:pPr>
            <w:r w:rsidRPr="00D93874">
              <w:rPr>
                <w:color w:val="000000" w:themeColor="text1"/>
              </w:rPr>
              <w:t>The indicator includes vacancies for dwellings that:</w:t>
            </w:r>
          </w:p>
          <w:p w:rsidR="008C487D" w:rsidRPr="00D93874" w:rsidRDefault="008C487D" w:rsidP="00FF35FF">
            <w:pPr>
              <w:pStyle w:val="BoxListBullet"/>
            </w:pPr>
            <w:r w:rsidRPr="00D93874">
              <w:t>are available to rent through normal processes, including dwellings that are undergoing normal maintenance</w:t>
            </w:r>
          </w:p>
          <w:p w:rsidR="008C487D" w:rsidRPr="00D93874" w:rsidRDefault="008C487D" w:rsidP="00FF35FF">
            <w:pPr>
              <w:pStyle w:val="BoxListBullet"/>
            </w:pPr>
            <w:r w:rsidRPr="00D93874">
              <w:t>are newly constructed or purchased from when the certificate of occupancy was completed or the keys were received</w:t>
            </w:r>
          </w:p>
          <w:p w:rsidR="008C487D" w:rsidRPr="00D93874" w:rsidRDefault="008C487D" w:rsidP="00FF35FF">
            <w:pPr>
              <w:pStyle w:val="BoxListBullet"/>
            </w:pPr>
            <w:r w:rsidRPr="00D93874">
              <w:t>have undergone major redevelopment work from when the certificate of occupancy was completed or the keys were received</w:t>
            </w:r>
          </w:p>
          <w:p w:rsidR="008C487D" w:rsidRPr="00D93874" w:rsidRDefault="008C487D" w:rsidP="00FF35FF">
            <w:pPr>
              <w:pStyle w:val="BoxListBullet"/>
            </w:pPr>
            <w:r w:rsidRPr="00D93874">
              <w:t>are considered hard-to-let.</w:t>
            </w:r>
          </w:p>
          <w:p w:rsidR="008C487D" w:rsidRPr="00D93874" w:rsidRDefault="008C487D" w:rsidP="00FF35FF">
            <w:pPr>
              <w:pStyle w:val="Box"/>
              <w:rPr>
                <w:color w:val="000000" w:themeColor="text1"/>
              </w:rPr>
            </w:pPr>
            <w:r w:rsidRPr="00D93874">
              <w:rPr>
                <w:color w:val="000000" w:themeColor="text1"/>
              </w:rPr>
              <w:t>There are differences across jurisdictions in how vacancies are reported that limit data comparability across jurisdictions.</w:t>
            </w:r>
          </w:p>
          <w:p w:rsidR="008C487D" w:rsidRPr="00D93874" w:rsidRDefault="008C487D" w:rsidP="00FF35FF">
            <w:pPr>
              <w:pStyle w:val="Box"/>
              <w:rPr>
                <w:color w:val="000000" w:themeColor="text1"/>
              </w:rPr>
            </w:pPr>
            <w:r w:rsidRPr="00D93874">
              <w:rPr>
                <w:color w:val="000000" w:themeColor="text1"/>
              </w:rPr>
              <w:t>This indicator is sensitive to jurisdictional differences e.g. in stock profiles, policies on the maintenance of properties after they have been vacated, eligibility criteria and stock allocation policies, capital works and disability modification programs, and legislation e.g. covering abandoned goods policies.</w:t>
            </w:r>
          </w:p>
          <w:p w:rsidR="008C487D" w:rsidRPr="00D93874" w:rsidRDefault="008C487D" w:rsidP="00FF35FF">
            <w:pPr>
              <w:pStyle w:val="Box"/>
            </w:pPr>
            <w:r w:rsidRPr="00D93874">
              <w:t>Data for this indicator are reported for public housing and SOMIH. Data reported are:</w:t>
            </w:r>
          </w:p>
          <w:p w:rsidR="008C487D" w:rsidRPr="00D93874" w:rsidRDefault="008C487D" w:rsidP="00FF35FF">
            <w:pPr>
              <w:pStyle w:val="BoxListBullet"/>
            </w:pPr>
            <w:r w:rsidRPr="00D93874">
              <w:t>comparable (subject to caveats) within some jurisdictions over time but are not comparable across jurisdictions or over time for other jurisdictions (see caveats in attachment tables and DQI for specific jurisdictions)</w:t>
            </w:r>
          </w:p>
          <w:p w:rsidR="008C487D" w:rsidRPr="00D93874" w:rsidRDefault="008C487D" w:rsidP="00FF35FF">
            <w:pPr>
              <w:pStyle w:val="BoxListBullet"/>
            </w:pPr>
            <w:r w:rsidRPr="00D93874">
              <w:t>are not comparable across public housing and SOMIH</w:t>
            </w:r>
          </w:p>
          <w:p w:rsidR="008C487D" w:rsidRPr="00D93874" w:rsidRDefault="008C487D" w:rsidP="00FF35FF">
            <w:pPr>
              <w:pStyle w:val="BoxListBullet"/>
            </w:pPr>
            <w:r w:rsidRPr="00D93874">
              <w:t>complete for SOMIH for the current reporting period (subject</w:t>
            </w:r>
            <w:r w:rsidR="000E4832">
              <w:t xml:space="preserve"> to caveats). All required 2013</w:t>
            </w:r>
            <w:r w:rsidR="000E4832">
              <w:noBreakHyphen/>
            </w:r>
            <w:r w:rsidRPr="00D93874">
              <w:t>14 data are available for all jurisdictions providing the service</w:t>
            </w:r>
          </w:p>
          <w:p w:rsidR="008C487D" w:rsidRPr="00D93874" w:rsidRDefault="008C487D" w:rsidP="00FF35FF">
            <w:pPr>
              <w:pStyle w:val="BoxListBullet"/>
            </w:pPr>
            <w:r w:rsidRPr="00D93874">
              <w:t xml:space="preserve">incomplete for public housing. All required 2013–14 data were not available for </w:t>
            </w:r>
            <w:r w:rsidR="00965E99" w:rsidRPr="00D93874">
              <w:t>SA.</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23012A">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23012A">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984569">
      <w:pPr>
        <w:pStyle w:val="BodyText"/>
      </w:pPr>
      <w:r w:rsidRPr="00D93874">
        <w:t xml:space="preserve">The average turnaround time for vacant SOMIH stock varied across jurisdictions </w:t>
      </w:r>
      <w:r w:rsidRPr="00D93874">
        <w:rPr>
          <w:color w:val="000000" w:themeColor="text1"/>
        </w:rPr>
        <w:t>in 2013</w:t>
      </w:r>
      <w:r w:rsidR="0023012A" w:rsidRPr="00D93874">
        <w:rPr>
          <w:color w:val="000000" w:themeColor="text1"/>
        </w:rPr>
        <w:noBreakHyphen/>
      </w:r>
      <w:r w:rsidRPr="00D93874">
        <w:rPr>
          <w:color w:val="000000" w:themeColor="text1"/>
        </w:rPr>
        <w:t>14 (figure 17.</w:t>
      </w:r>
      <w:r w:rsidR="0023012A" w:rsidRPr="00D93874">
        <w:rPr>
          <w:color w:val="000000" w:themeColor="text1"/>
        </w:rPr>
        <w:t>7</w:t>
      </w:r>
      <w:r w:rsidR="00B3570B" w:rsidRPr="00D93874">
        <w:rPr>
          <w:color w:val="000000" w:themeColor="text1"/>
        </w:rPr>
        <w:t>).</w:t>
      </w:r>
      <w:r w:rsidRPr="00D93874">
        <w:br w:type="page"/>
      </w:r>
    </w:p>
    <w:tbl>
      <w:tblPr>
        <w:tblW w:w="4852"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04"/>
      </w:tblGrid>
      <w:tr w:rsidR="008C487D" w:rsidRPr="00D93874" w:rsidTr="0023012A">
        <w:tc>
          <w:tcPr>
            <w:tcW w:w="5000" w:type="pct"/>
            <w:tcBorders>
              <w:top w:val="single" w:sz="6" w:space="0" w:color="78A22F"/>
              <w:left w:val="nil"/>
              <w:bottom w:val="nil"/>
              <w:right w:val="nil"/>
            </w:tcBorders>
            <w:shd w:val="clear" w:color="auto" w:fill="auto"/>
          </w:tcPr>
          <w:p w:rsidR="008C487D" w:rsidRPr="00D93874" w:rsidRDefault="008C487D" w:rsidP="0023012A">
            <w:pPr>
              <w:pStyle w:val="FigureTitle"/>
            </w:pPr>
            <w:r w:rsidRPr="00D93874">
              <w:rPr>
                <w:b w:val="0"/>
              </w:rPr>
              <w:lastRenderedPageBreak/>
              <w:t>Figure 17.</w:t>
            </w:r>
            <w:r w:rsidR="0023012A" w:rsidRPr="00D93874">
              <w:rPr>
                <w:b w:val="0"/>
              </w:rPr>
              <w:t>7</w:t>
            </w:r>
            <w:r w:rsidRPr="00D93874">
              <w:tab/>
              <w:t>Average turnaround time</w:t>
            </w:r>
            <w:r w:rsidR="0023012A" w:rsidRPr="00D93874">
              <w:t xml:space="preserve"> — SOMIH</w:t>
            </w:r>
          </w:p>
        </w:tc>
      </w:tr>
      <w:tr w:rsidR="008C487D" w:rsidRPr="00D93874" w:rsidTr="0023012A">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20"/>
            </w:tblGrid>
            <w:tr w:rsidR="008C487D" w:rsidRPr="00D93874" w:rsidTr="00FF35FF">
              <w:tc>
                <w:tcPr>
                  <w:tcW w:w="5000" w:type="pct"/>
                  <w:tcBorders>
                    <w:top w:val="nil"/>
                    <w:bottom w:val="nil"/>
                  </w:tcBorders>
                </w:tcPr>
                <w:p w:rsidR="008C487D" w:rsidRPr="00D93874" w:rsidRDefault="008C487D" w:rsidP="00FF35FF">
                  <w:pPr>
                    <w:pStyle w:val="Figure"/>
                  </w:pPr>
                  <w:r w:rsidRPr="00D93874">
                    <w:rPr>
                      <w:noProof/>
                    </w:rPr>
                    <w:drawing>
                      <wp:inline distT="0" distB="0" distL="0" distR="0" wp14:anchorId="4EF664D3" wp14:editId="5D86E059">
                        <wp:extent cx="5400675" cy="2162175"/>
                        <wp:effectExtent l="0" t="0" r="9525" b="9525"/>
                        <wp:docPr id="24" name="Picture 24" descr="Figure 17.9 Average turnaround time &#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2162175"/>
                                </a:xfrm>
                                <a:prstGeom prst="rect">
                                  <a:avLst/>
                                </a:prstGeom>
                                <a:noFill/>
                                <a:ln>
                                  <a:noFill/>
                                </a:ln>
                              </pic:spPr>
                            </pic:pic>
                          </a:graphicData>
                        </a:graphic>
                      </wp:inline>
                    </w:drawing>
                  </w:r>
                  <w:r w:rsidRPr="00D93874">
                    <w:rPr>
                      <w:noProof/>
                    </w:rPr>
                    <w:drawing>
                      <wp:inline distT="0" distB="0" distL="0" distR="0" wp14:anchorId="1A598D2D" wp14:editId="7889BED3">
                        <wp:extent cx="5143500" cy="228600"/>
                        <wp:effectExtent l="0" t="0" r="0" b="0"/>
                        <wp:docPr id="25" name="Picture 25" descr="Figure 17.9 Average turnaround time &#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3500" cy="228600"/>
                                </a:xfrm>
                                <a:prstGeom prst="rect">
                                  <a:avLst/>
                                </a:prstGeom>
                                <a:noFill/>
                                <a:ln>
                                  <a:noFill/>
                                </a:ln>
                              </pic:spPr>
                            </pic:pic>
                          </a:graphicData>
                        </a:graphic>
                      </wp:inline>
                    </w:drawing>
                  </w:r>
                </w:p>
              </w:tc>
            </w:tr>
          </w:tbl>
          <w:p w:rsidR="008C487D" w:rsidRPr="00D93874" w:rsidRDefault="008C487D" w:rsidP="00FF35FF">
            <w:pPr>
              <w:pStyle w:val="Figure"/>
            </w:pPr>
          </w:p>
        </w:tc>
      </w:tr>
      <w:tr w:rsidR="008C487D" w:rsidRPr="00D93874" w:rsidTr="0023012A">
        <w:tc>
          <w:tcPr>
            <w:tcW w:w="5000" w:type="pct"/>
            <w:tcBorders>
              <w:top w:val="nil"/>
              <w:left w:val="nil"/>
              <w:bottom w:val="nil"/>
              <w:right w:val="nil"/>
            </w:tcBorders>
            <w:shd w:val="clear" w:color="auto" w:fill="auto"/>
          </w:tcPr>
          <w:p w:rsidR="008C487D" w:rsidRPr="00D93874" w:rsidRDefault="008C487D" w:rsidP="00FF35FF">
            <w:pPr>
              <w:pStyle w:val="Note"/>
            </w:pPr>
            <w:r w:rsidRPr="00D93874">
              <w:rPr>
                <w:rStyle w:val="NoteLabel"/>
              </w:rPr>
              <w:t>a</w:t>
            </w:r>
            <w:r w:rsidRPr="00D93874">
              <w:t xml:space="preserve"> Data for the NT and Australia total for 2012–13 are unavailable. </w:t>
            </w:r>
            <w:r w:rsidRPr="00D93874">
              <w:rPr>
                <w:rStyle w:val="NoteLabel"/>
              </w:rPr>
              <w:t>b</w:t>
            </w:r>
            <w:r w:rsidRPr="00D93874">
              <w:t xml:space="preserve"> Data for SA and Australia total for </w:t>
            </w:r>
            <w:r w:rsidRPr="00D93874">
              <w:br/>
              <w:t xml:space="preserve">2013–14 are unavailable. </w:t>
            </w:r>
            <w:r w:rsidRPr="00D93874">
              <w:rPr>
                <w:rStyle w:val="NoteLabel"/>
              </w:rPr>
              <w:t>c</w:t>
            </w:r>
            <w:r w:rsidRPr="00D93874">
              <w:t> There are no SOMIH data reported for WA from 2010–11 as SOMIH was transferred to other housing programs.</w:t>
            </w:r>
          </w:p>
        </w:tc>
      </w:tr>
      <w:tr w:rsidR="008C487D" w:rsidRPr="00D93874" w:rsidTr="0023012A">
        <w:tc>
          <w:tcPr>
            <w:tcW w:w="5000" w:type="pct"/>
            <w:tcBorders>
              <w:top w:val="nil"/>
              <w:left w:val="nil"/>
              <w:bottom w:val="nil"/>
              <w:right w:val="nil"/>
            </w:tcBorders>
            <w:shd w:val="clear" w:color="auto" w:fill="auto"/>
          </w:tcPr>
          <w:p w:rsidR="008C487D" w:rsidRPr="00D93874" w:rsidRDefault="008C487D" w:rsidP="0023012A">
            <w:pPr>
              <w:pStyle w:val="Source"/>
            </w:pPr>
            <w:r w:rsidRPr="00D93874">
              <w:rPr>
                <w:i/>
              </w:rPr>
              <w:t>Source</w:t>
            </w:r>
            <w:r w:rsidRPr="00D93874">
              <w:t xml:space="preserve">: AIHW (unpublished) </w:t>
            </w:r>
            <w:r w:rsidRPr="00D93874">
              <w:rPr>
                <w:i/>
              </w:rPr>
              <w:t>National Housing Assistance Data Repository</w:t>
            </w:r>
            <w:r w:rsidR="0023012A" w:rsidRPr="00D93874">
              <w:t>; table 17A.28</w:t>
            </w:r>
            <w:r w:rsidR="0023012A" w:rsidRPr="00D93874">
              <w:rPr>
                <w:rFonts w:cs="Arial"/>
                <w:szCs w:val="18"/>
              </w:rPr>
              <w:t>; 2015 Report, figure 17.9, p. 17.35.</w:t>
            </w:r>
          </w:p>
        </w:tc>
      </w:tr>
      <w:tr w:rsidR="008C487D" w:rsidRPr="00D93874" w:rsidTr="0023012A">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23012A">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spacing w:before="360"/>
      </w:pPr>
      <w:r w:rsidRPr="00D93874">
        <w:t>Rent collection rate</w:t>
      </w:r>
    </w:p>
    <w:p w:rsidR="008C487D" w:rsidRPr="00D93874" w:rsidRDefault="008C487D" w:rsidP="008C487D">
      <w:pPr>
        <w:pStyle w:val="BodyText"/>
        <w:spacing w:after="240"/>
      </w:pPr>
      <w:r w:rsidRPr="00D93874">
        <w:t>‘Rent collection rate’ is an indicator of governments’ objective to undertake efficient and cost effective management of social housing (box 17.1</w:t>
      </w:r>
      <w:r w:rsidR="0023012A" w:rsidRPr="00D93874">
        <w:t>0</w:t>
      </w:r>
      <w:r w:rsidRPr="00D93874">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23012A">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23012A">
            <w:pPr>
              <w:pStyle w:val="BoxTitle"/>
            </w:pPr>
            <w:r w:rsidRPr="00D93874">
              <w:rPr>
                <w:b w:val="0"/>
              </w:rPr>
              <w:t>Box 17.1</w:t>
            </w:r>
            <w:r w:rsidR="0023012A" w:rsidRPr="00D93874">
              <w:rPr>
                <w:b w:val="0"/>
              </w:rPr>
              <w:t>0</w:t>
            </w:r>
            <w:r w:rsidRPr="00D93874">
              <w:tab/>
              <w:t>Rent collection rate</w:t>
            </w:r>
          </w:p>
        </w:tc>
      </w:tr>
      <w:tr w:rsidR="008C487D" w:rsidRPr="00D93874" w:rsidTr="0023012A">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‘Rent collection rate’ is defined as the total rent collected as a percentage of the total rent charged.</w:t>
            </w:r>
          </w:p>
          <w:p w:rsidR="008C487D" w:rsidRPr="00D93874" w:rsidRDefault="008C487D" w:rsidP="00FF35FF">
            <w:pPr>
              <w:pStyle w:val="Box"/>
            </w:pPr>
            <w:r w:rsidRPr="00D93874">
              <w:t>A high or increasing percentage suggests higher efficiency in collecting rent. All jurisdictions aim to maximise the rent collected as a percentage of the rent charged.</w:t>
            </w:r>
          </w:p>
          <w:p w:rsidR="008C487D" w:rsidRPr="00D93874" w:rsidRDefault="008C487D" w:rsidP="00FF35FF">
            <w:pPr>
              <w:pStyle w:val="Box"/>
            </w:pPr>
            <w:r w:rsidRPr="00D93874">
              <w:t>Differences in recognition policies, write–off practices, the treatment of disputed amounts, and the treatment of payment arrangements can affect the comparability of reported results. Payment arrangements for rent in some jurisdictions mean that rent collected over a 12 month period can be higher than rent charged over that period.</w:t>
            </w:r>
          </w:p>
          <w:p w:rsidR="008C487D" w:rsidRPr="00D93874" w:rsidRDefault="008C487D" w:rsidP="00FF35FF">
            <w:pPr>
              <w:pStyle w:val="Box"/>
            </w:pPr>
            <w:r w:rsidRPr="00D93874">
              <w:t>Data for this indicator are reported for public housing, SOMIH, community housing and Indigenous community housing.</w:t>
            </w:r>
          </w:p>
          <w:p w:rsidR="008C487D" w:rsidRPr="00D93874" w:rsidRDefault="008C487D" w:rsidP="00FF35FF">
            <w:pPr>
              <w:pStyle w:val="Box"/>
            </w:pPr>
            <w:r w:rsidRPr="00D93874">
              <w:t>Data comparability and completeness vary for this indicator. Data reported are:</w:t>
            </w:r>
          </w:p>
          <w:p w:rsidR="008C487D" w:rsidRPr="00D93874" w:rsidRDefault="008C487D" w:rsidP="00B3570B">
            <w:pPr>
              <w:pStyle w:val="BoxListBullet"/>
            </w:pPr>
            <w:r w:rsidRPr="00D93874">
              <w:t>comparable (subject to caveats) within some jurisdictions over time but are not comparable across jurisdictions or over time for other jurisdictions (see caveats in attachment tables and DQI for specific jurisdictions)</w:t>
            </w:r>
          </w:p>
          <w:p w:rsidR="008C487D" w:rsidRPr="00D93874" w:rsidRDefault="008C487D" w:rsidP="00B3570B">
            <w:pPr>
              <w:pStyle w:val="BoxListBullet"/>
            </w:pPr>
            <w:r w:rsidRPr="00D93874">
              <w:t>are not comparable across public housing, SOMIH, community housing and ICH</w:t>
            </w:r>
          </w:p>
          <w:p w:rsidR="008C487D" w:rsidRPr="00D93874" w:rsidRDefault="008C487D" w:rsidP="00B3570B">
            <w:pPr>
              <w:pStyle w:val="BoxListBullet"/>
            </w:pPr>
            <w:r w:rsidRPr="00D93874">
              <w:t>complete for public housing and SOMIH for the current reporting period (subject to caveats). All required 2013–14 data are available for all jurisdictions providing the service</w:t>
            </w:r>
          </w:p>
          <w:p w:rsidR="008C487D" w:rsidRPr="00D93874" w:rsidRDefault="008C487D" w:rsidP="00B3570B">
            <w:pPr>
              <w:pStyle w:val="BoxListBullet"/>
            </w:pPr>
            <w:r w:rsidRPr="00D93874">
              <w:t xml:space="preserve">incomplete for community housing and ICH for the current reporting period. All required </w:t>
            </w:r>
            <w:r w:rsidRPr="00D93874">
              <w:br/>
              <w:t>2013–14 data were not available for the following jurisdictions providing the service:</w:t>
            </w:r>
          </w:p>
          <w:p w:rsidR="008C487D" w:rsidRPr="00D93874" w:rsidRDefault="008C487D" w:rsidP="00B3570B">
            <w:pPr>
              <w:pStyle w:val="BoxListBullet"/>
              <w:rPr>
                <w:szCs w:val="24"/>
              </w:rPr>
            </w:pPr>
            <w:r w:rsidRPr="00D93874">
              <w:t>the NT (community housing) and SA (ICH).</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23012A">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23012A">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spacing w:before="360" w:after="240"/>
      </w:pPr>
      <w:r w:rsidRPr="00D93874">
        <w:rPr>
          <w:color w:val="000000" w:themeColor="text1"/>
        </w:rPr>
        <w:t>In 2013–</w:t>
      </w:r>
      <w:r w:rsidRPr="00D93874">
        <w:t xml:space="preserve">14, the national rent </w:t>
      </w:r>
      <w:r w:rsidRPr="00D93874">
        <w:rPr>
          <w:color w:val="000000" w:themeColor="text1"/>
        </w:rPr>
        <w:t>collection rate was 100.1</w:t>
      </w:r>
      <w:r w:rsidR="00DF458A" w:rsidRPr="00D93874">
        <w:rPr>
          <w:color w:val="000000" w:themeColor="text1"/>
        </w:rPr>
        <w:t xml:space="preserve"> </w:t>
      </w:r>
      <w:r w:rsidRPr="00D93874">
        <w:rPr>
          <w:color w:val="000000" w:themeColor="text1"/>
        </w:rPr>
        <w:t>per cent for SOMIH. In 2012–13, t</w:t>
      </w:r>
      <w:r w:rsidRPr="00D93874">
        <w:t xml:space="preserve">he national rent collection rate was </w:t>
      </w:r>
      <w:r w:rsidRPr="00D93874">
        <w:rPr>
          <w:color w:val="000000" w:themeColor="text1"/>
        </w:rPr>
        <w:t xml:space="preserve">92.7 per </w:t>
      </w:r>
      <w:r w:rsidRPr="00D93874">
        <w:t xml:space="preserve">cent for Indigenous community housing </w:t>
      </w:r>
      <w:r w:rsidR="00DF458A" w:rsidRPr="00D93874">
        <w:br/>
      </w:r>
      <w:r w:rsidRPr="00D93874">
        <w:t>(table 17.6). However, complete data for ICH were not available for all jurisdictions, and these data may be an underestimate.</w:t>
      </w:r>
    </w:p>
    <w:p w:rsidR="008C487D" w:rsidRPr="00D93874" w:rsidRDefault="008C487D" w:rsidP="008C487D">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8"/>
      </w:tblGrid>
      <w:tr w:rsidR="008C487D" w:rsidRPr="00D93874" w:rsidTr="00DF458A">
        <w:tc>
          <w:tcPr>
            <w:tcW w:w="5000" w:type="pct"/>
            <w:tcBorders>
              <w:top w:val="single" w:sz="6" w:space="0" w:color="78A22F" w:themeColor="accent1"/>
              <w:left w:val="nil"/>
              <w:bottom w:val="nil"/>
              <w:right w:val="nil"/>
            </w:tcBorders>
            <w:shd w:val="clear" w:color="auto" w:fill="auto"/>
          </w:tcPr>
          <w:p w:rsidR="008C487D" w:rsidRPr="00D93874" w:rsidRDefault="008C487D" w:rsidP="00FF35FF">
            <w:pPr>
              <w:pStyle w:val="TableTitle"/>
            </w:pPr>
            <w:r w:rsidRPr="00D93874">
              <w:rPr>
                <w:b w:val="0"/>
              </w:rPr>
              <w:t>Table 17.6</w:t>
            </w:r>
            <w:r w:rsidRPr="00D93874">
              <w:tab/>
              <w:t>Rent collection rate (per cent)</w:t>
            </w:r>
            <w:r w:rsidRPr="00D93874">
              <w:rPr>
                <w:rStyle w:val="NoteLabel"/>
                <w:b/>
              </w:rPr>
              <w:t>a, b</w:t>
            </w:r>
          </w:p>
        </w:tc>
      </w:tr>
      <w:tr w:rsidR="008C487D" w:rsidRPr="00D93874" w:rsidTr="00DF458A">
        <w:trPr>
          <w:cantSplit/>
        </w:trPr>
        <w:tc>
          <w:tcPr>
            <w:tcW w:w="5000" w:type="pct"/>
            <w:tcBorders>
              <w:top w:val="nil"/>
              <w:left w:val="nil"/>
              <w:bottom w:val="nil"/>
              <w:right w:val="nil"/>
            </w:tcBorders>
            <w:shd w:val="clear" w:color="auto" w:fill="auto"/>
          </w:tcPr>
          <w:tbl>
            <w:tblPr>
              <w:tblW w:w="8647" w:type="dxa"/>
              <w:tblLayout w:type="fixed"/>
              <w:tblCellMar>
                <w:top w:w="28" w:type="dxa"/>
                <w:left w:w="0" w:type="dxa"/>
                <w:right w:w="0" w:type="dxa"/>
              </w:tblCellMar>
              <w:tblLook w:val="0000" w:firstRow="0" w:lastRow="0" w:firstColumn="0" w:lastColumn="0" w:noHBand="0" w:noVBand="0"/>
            </w:tblPr>
            <w:tblGrid>
              <w:gridCol w:w="1701"/>
              <w:gridCol w:w="711"/>
              <w:gridCol w:w="711"/>
              <w:gridCol w:w="707"/>
              <w:gridCol w:w="707"/>
              <w:gridCol w:w="709"/>
              <w:gridCol w:w="586"/>
              <w:gridCol w:w="721"/>
              <w:gridCol w:w="695"/>
              <w:gridCol w:w="14"/>
              <w:gridCol w:w="534"/>
              <w:gridCol w:w="33"/>
              <w:gridCol w:w="759"/>
              <w:gridCol w:w="14"/>
              <w:gridCol w:w="45"/>
            </w:tblGrid>
            <w:tr w:rsidR="00B3570B" w:rsidRPr="00D93874" w:rsidTr="002F4222">
              <w:tc>
                <w:tcPr>
                  <w:tcW w:w="983"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jc w:val="left"/>
                    <w:rPr>
                      <w:rFonts w:cs="Arial"/>
                      <w:sz w:val="20"/>
                    </w:rPr>
                  </w:pPr>
                </w:p>
              </w:tc>
              <w:tc>
                <w:tcPr>
                  <w:tcW w:w="411"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rPr>
                      <w:rFonts w:cs="Arial"/>
                      <w:sz w:val="20"/>
                    </w:rPr>
                  </w:pPr>
                  <w:r w:rsidRPr="00D93874">
                    <w:rPr>
                      <w:rFonts w:cs="Arial"/>
                      <w:sz w:val="20"/>
                    </w:rPr>
                    <w:t>NSW</w:t>
                  </w:r>
                </w:p>
              </w:tc>
              <w:tc>
                <w:tcPr>
                  <w:tcW w:w="41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Vic</w:t>
                  </w:r>
                </w:p>
              </w:tc>
              <w:tc>
                <w:tcPr>
                  <w:tcW w:w="409"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Qld</w:t>
                  </w:r>
                </w:p>
              </w:tc>
              <w:tc>
                <w:tcPr>
                  <w:tcW w:w="409"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WA</w:t>
                  </w:r>
                </w:p>
              </w:tc>
              <w:tc>
                <w:tcPr>
                  <w:tcW w:w="410"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SA</w:t>
                  </w:r>
                </w:p>
              </w:tc>
              <w:tc>
                <w:tcPr>
                  <w:tcW w:w="339"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Tas</w:t>
                  </w:r>
                </w:p>
              </w:tc>
              <w:tc>
                <w:tcPr>
                  <w:tcW w:w="417"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ACT</w:t>
                  </w:r>
                </w:p>
              </w:tc>
              <w:tc>
                <w:tcPr>
                  <w:tcW w:w="410" w:type="pct"/>
                  <w:gridSpan w:val="2"/>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NT</w:t>
                  </w:r>
                </w:p>
              </w:tc>
              <w:tc>
                <w:tcPr>
                  <w:tcW w:w="309"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rFonts w:cs="Arial"/>
                      <w:sz w:val="20"/>
                    </w:rPr>
                  </w:pPr>
                  <w:r w:rsidRPr="00D93874">
                    <w:rPr>
                      <w:rFonts w:cs="Arial"/>
                      <w:sz w:val="20"/>
                    </w:rPr>
                    <w:t>Aus Gov</w:t>
                  </w:r>
                </w:p>
              </w:tc>
              <w:tc>
                <w:tcPr>
                  <w:tcW w:w="492" w:type="pct"/>
                  <w:gridSpan w:val="4"/>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rPr>
                      <w:rFonts w:cs="Arial"/>
                      <w:sz w:val="20"/>
                    </w:rPr>
                  </w:pPr>
                  <w:r w:rsidRPr="00D93874">
                    <w:rPr>
                      <w:rFonts w:cs="Arial"/>
                      <w:sz w:val="20"/>
                    </w:rPr>
                    <w:t>Aust</w:t>
                  </w:r>
                </w:p>
              </w:tc>
            </w:tr>
            <w:tr w:rsidR="008C487D" w:rsidRPr="00D93874" w:rsidTr="00F2651F">
              <w:trPr>
                <w:gridAfter w:val="14"/>
                <w:wAfter w:w="4017" w:type="pct"/>
              </w:trPr>
              <w:tc>
                <w:tcPr>
                  <w:tcW w:w="983" w:type="pct"/>
                  <w:vAlign w:val="bottom"/>
                </w:tcPr>
                <w:p w:rsidR="008C487D" w:rsidRPr="00D93874" w:rsidRDefault="008C487D" w:rsidP="00FF35FF">
                  <w:pPr>
                    <w:pStyle w:val="TableBodyText"/>
                    <w:jc w:val="left"/>
                    <w:rPr>
                      <w:rFonts w:cs="Arial"/>
                      <w:szCs w:val="18"/>
                    </w:rPr>
                  </w:pPr>
                  <w:r w:rsidRPr="00D93874">
                    <w:rPr>
                      <w:rStyle w:val="TableColumnHeadingChar"/>
                      <w:rFonts w:cs="Arial"/>
                      <w:szCs w:val="18"/>
                    </w:rPr>
                    <w:t>SOMIH</w:t>
                  </w:r>
                  <w:r w:rsidRPr="00D93874">
                    <w:rPr>
                      <w:rStyle w:val="NoteLabel"/>
                    </w:rPr>
                    <w:t>c</w:t>
                  </w:r>
                </w:p>
              </w:tc>
            </w:tr>
            <w:tr w:rsidR="00F2651F" w:rsidRPr="00D93874" w:rsidTr="00F2651F">
              <w:trPr>
                <w:gridAfter w:val="1"/>
                <w:wAfter w:w="26" w:type="pct"/>
              </w:trPr>
              <w:tc>
                <w:tcPr>
                  <w:tcW w:w="983" w:type="pct"/>
                  <w:vAlign w:val="bottom"/>
                </w:tcPr>
                <w:p w:rsidR="008C487D" w:rsidRPr="00D93874" w:rsidRDefault="008C487D" w:rsidP="00FF35FF">
                  <w:pPr>
                    <w:pStyle w:val="TableBodyText"/>
                    <w:jc w:val="center"/>
                    <w:rPr>
                      <w:rFonts w:cs="Arial"/>
                      <w:color w:val="000000"/>
                      <w:szCs w:val="18"/>
                    </w:rPr>
                  </w:pPr>
                  <w:r w:rsidRPr="00D93874">
                    <w:rPr>
                      <w:rFonts w:cs="Arial"/>
                      <w:color w:val="000000"/>
                      <w:szCs w:val="18"/>
                    </w:rPr>
                    <w:t>2009–10</w:t>
                  </w:r>
                </w:p>
              </w:tc>
              <w:tc>
                <w:tcPr>
                  <w:tcW w:w="411" w:type="pct"/>
                  <w:vAlign w:val="center"/>
                </w:tcPr>
                <w:p w:rsidR="008C487D" w:rsidRPr="00D93874" w:rsidRDefault="008C487D" w:rsidP="00B3570B">
                  <w:pPr>
                    <w:pStyle w:val="TableBodyText"/>
                  </w:pPr>
                  <w:r w:rsidRPr="00D93874">
                    <w:t>101.5</w:t>
                  </w:r>
                </w:p>
              </w:tc>
              <w:tc>
                <w:tcPr>
                  <w:tcW w:w="411" w:type="pct"/>
                  <w:vAlign w:val="center"/>
                </w:tcPr>
                <w:p w:rsidR="008C487D" w:rsidRPr="00D93874" w:rsidRDefault="008C487D" w:rsidP="00B3570B">
                  <w:pPr>
                    <w:pStyle w:val="TableBodyText"/>
                  </w:pPr>
                  <w:r w:rsidRPr="00D93874">
                    <w:t>..</w:t>
                  </w:r>
                </w:p>
              </w:tc>
              <w:tc>
                <w:tcPr>
                  <w:tcW w:w="409" w:type="pct"/>
                  <w:vAlign w:val="center"/>
                </w:tcPr>
                <w:p w:rsidR="008C487D" w:rsidRPr="00D93874" w:rsidRDefault="008C487D" w:rsidP="00B3570B">
                  <w:pPr>
                    <w:pStyle w:val="TableBodyText"/>
                  </w:pPr>
                  <w:r w:rsidRPr="00D93874">
                    <w:t>101.5</w:t>
                  </w:r>
                </w:p>
              </w:tc>
              <w:tc>
                <w:tcPr>
                  <w:tcW w:w="409" w:type="pct"/>
                  <w:vAlign w:val="center"/>
                </w:tcPr>
                <w:p w:rsidR="008C487D" w:rsidRPr="00D93874" w:rsidRDefault="008C487D" w:rsidP="00B3570B">
                  <w:pPr>
                    <w:pStyle w:val="TableBodyText"/>
                  </w:pPr>
                  <w:r w:rsidRPr="00D93874">
                    <w:t>104.5</w:t>
                  </w:r>
                </w:p>
              </w:tc>
              <w:tc>
                <w:tcPr>
                  <w:tcW w:w="410" w:type="pct"/>
                  <w:vAlign w:val="center"/>
                </w:tcPr>
                <w:p w:rsidR="008C487D" w:rsidRPr="00D93874" w:rsidRDefault="008C487D" w:rsidP="00B3570B">
                  <w:pPr>
                    <w:pStyle w:val="TableBodyText"/>
                  </w:pPr>
                  <w:r w:rsidRPr="00D93874">
                    <w:t>100.7</w:t>
                  </w:r>
                </w:p>
              </w:tc>
              <w:tc>
                <w:tcPr>
                  <w:tcW w:w="339" w:type="pct"/>
                  <w:vAlign w:val="center"/>
                </w:tcPr>
                <w:p w:rsidR="008C487D" w:rsidRPr="00D93874" w:rsidRDefault="008C487D" w:rsidP="00B3570B">
                  <w:pPr>
                    <w:pStyle w:val="TableBodyText"/>
                  </w:pPr>
                  <w:r w:rsidRPr="00D93874">
                    <w:t>101.7</w:t>
                  </w:r>
                </w:p>
              </w:tc>
              <w:tc>
                <w:tcPr>
                  <w:tcW w:w="417" w:type="pct"/>
                  <w:vAlign w:val="center"/>
                </w:tcPr>
                <w:p w:rsidR="008C487D" w:rsidRPr="00D93874" w:rsidRDefault="008C487D" w:rsidP="00B3570B">
                  <w:pPr>
                    <w:pStyle w:val="TableBodyText"/>
                  </w:pPr>
                  <w:r w:rsidRPr="00D93874">
                    <w:t>..</w:t>
                  </w:r>
                </w:p>
              </w:tc>
              <w:tc>
                <w:tcPr>
                  <w:tcW w:w="410" w:type="pct"/>
                  <w:gridSpan w:val="2"/>
                  <w:vAlign w:val="center"/>
                </w:tcPr>
                <w:p w:rsidR="008C487D" w:rsidRPr="00D93874" w:rsidRDefault="008C487D" w:rsidP="00B3570B">
                  <w:pPr>
                    <w:pStyle w:val="TableBodyText"/>
                  </w:pPr>
                  <w:r w:rsidRPr="00D93874">
                    <w:t>..</w:t>
                  </w:r>
                </w:p>
              </w:tc>
              <w:tc>
                <w:tcPr>
                  <w:tcW w:w="328" w:type="pct"/>
                  <w:gridSpan w:val="2"/>
                  <w:vAlign w:val="center"/>
                </w:tcPr>
                <w:p w:rsidR="008C487D" w:rsidRPr="00D93874" w:rsidRDefault="008C487D" w:rsidP="00B3570B">
                  <w:pPr>
                    <w:pStyle w:val="TableBodyText"/>
                  </w:pPr>
                  <w:r w:rsidRPr="00D93874">
                    <w:t>..</w:t>
                  </w:r>
                </w:p>
              </w:tc>
              <w:tc>
                <w:tcPr>
                  <w:tcW w:w="447" w:type="pct"/>
                  <w:gridSpan w:val="2"/>
                  <w:vAlign w:val="center"/>
                </w:tcPr>
                <w:p w:rsidR="008C487D" w:rsidRPr="00D93874" w:rsidRDefault="008C487D" w:rsidP="00B3570B">
                  <w:pPr>
                    <w:pStyle w:val="TableBodyText"/>
                  </w:pPr>
                  <w:r w:rsidRPr="00D93874">
                    <w:t>99.7</w:t>
                  </w:r>
                </w:p>
              </w:tc>
            </w:tr>
            <w:tr w:rsidR="00F2651F" w:rsidRPr="00D93874" w:rsidTr="00F2651F">
              <w:trPr>
                <w:gridAfter w:val="1"/>
                <w:wAfter w:w="26" w:type="pct"/>
              </w:trPr>
              <w:tc>
                <w:tcPr>
                  <w:tcW w:w="983" w:type="pct"/>
                  <w:vAlign w:val="bottom"/>
                </w:tcPr>
                <w:p w:rsidR="008C487D" w:rsidRPr="00D93874" w:rsidRDefault="008C487D" w:rsidP="00FF35FF">
                  <w:pPr>
                    <w:pStyle w:val="TableBodyText"/>
                    <w:jc w:val="center"/>
                    <w:rPr>
                      <w:rFonts w:cs="Arial"/>
                      <w:color w:val="000000"/>
                      <w:szCs w:val="18"/>
                    </w:rPr>
                  </w:pPr>
                  <w:r w:rsidRPr="00D93874">
                    <w:rPr>
                      <w:rFonts w:cs="Arial"/>
                      <w:color w:val="000000"/>
                      <w:szCs w:val="18"/>
                    </w:rPr>
                    <w:t>2010–11</w:t>
                  </w:r>
                </w:p>
              </w:tc>
              <w:tc>
                <w:tcPr>
                  <w:tcW w:w="411" w:type="pct"/>
                  <w:vAlign w:val="center"/>
                </w:tcPr>
                <w:p w:rsidR="008C487D" w:rsidRPr="00D93874" w:rsidRDefault="008C487D" w:rsidP="00B3570B">
                  <w:pPr>
                    <w:pStyle w:val="TableBodyText"/>
                  </w:pPr>
                  <w:r w:rsidRPr="00D93874">
                    <w:t>104.0</w:t>
                  </w:r>
                </w:p>
              </w:tc>
              <w:tc>
                <w:tcPr>
                  <w:tcW w:w="411" w:type="pct"/>
                  <w:vAlign w:val="center"/>
                </w:tcPr>
                <w:p w:rsidR="008C487D" w:rsidRPr="00D93874" w:rsidRDefault="008C487D" w:rsidP="00B3570B">
                  <w:pPr>
                    <w:pStyle w:val="TableBodyText"/>
                  </w:pPr>
                  <w:r w:rsidRPr="00D93874">
                    <w:t>..</w:t>
                  </w:r>
                </w:p>
              </w:tc>
              <w:tc>
                <w:tcPr>
                  <w:tcW w:w="409" w:type="pct"/>
                  <w:vAlign w:val="center"/>
                </w:tcPr>
                <w:p w:rsidR="008C487D" w:rsidRPr="00D93874" w:rsidRDefault="008C487D" w:rsidP="00B3570B">
                  <w:pPr>
                    <w:pStyle w:val="TableBodyText"/>
                  </w:pPr>
                  <w:r w:rsidRPr="00D93874">
                    <w:t>99.3</w:t>
                  </w:r>
                </w:p>
              </w:tc>
              <w:tc>
                <w:tcPr>
                  <w:tcW w:w="409" w:type="pct"/>
                  <w:vAlign w:val="center"/>
                </w:tcPr>
                <w:p w:rsidR="008C487D" w:rsidRPr="00D93874" w:rsidRDefault="008C487D" w:rsidP="00B3570B">
                  <w:pPr>
                    <w:pStyle w:val="TableBodyText"/>
                  </w:pPr>
                  <w:r w:rsidRPr="00D93874">
                    <w:t>..</w:t>
                  </w:r>
                </w:p>
              </w:tc>
              <w:tc>
                <w:tcPr>
                  <w:tcW w:w="410" w:type="pct"/>
                  <w:vAlign w:val="center"/>
                </w:tcPr>
                <w:p w:rsidR="008C487D" w:rsidRPr="00D93874" w:rsidRDefault="008C487D" w:rsidP="00B3570B">
                  <w:pPr>
                    <w:pStyle w:val="TableBodyText"/>
                  </w:pPr>
                  <w:r w:rsidRPr="00D93874">
                    <w:t>99.9</w:t>
                  </w:r>
                </w:p>
              </w:tc>
              <w:tc>
                <w:tcPr>
                  <w:tcW w:w="339" w:type="pct"/>
                  <w:vAlign w:val="center"/>
                </w:tcPr>
                <w:p w:rsidR="008C487D" w:rsidRPr="00D93874" w:rsidRDefault="008C487D" w:rsidP="00B3570B">
                  <w:pPr>
                    <w:pStyle w:val="TableBodyText"/>
                  </w:pPr>
                  <w:r w:rsidRPr="00D93874">
                    <w:t>99.0</w:t>
                  </w:r>
                </w:p>
              </w:tc>
              <w:tc>
                <w:tcPr>
                  <w:tcW w:w="417" w:type="pct"/>
                  <w:vAlign w:val="center"/>
                </w:tcPr>
                <w:p w:rsidR="008C487D" w:rsidRPr="00D93874" w:rsidRDefault="008C487D" w:rsidP="00B3570B">
                  <w:pPr>
                    <w:pStyle w:val="TableBodyText"/>
                  </w:pPr>
                  <w:r w:rsidRPr="00D93874">
                    <w:t>..</w:t>
                  </w:r>
                </w:p>
              </w:tc>
              <w:tc>
                <w:tcPr>
                  <w:tcW w:w="410" w:type="pct"/>
                  <w:gridSpan w:val="2"/>
                  <w:vAlign w:val="center"/>
                </w:tcPr>
                <w:p w:rsidR="008C487D" w:rsidRPr="00D93874" w:rsidRDefault="008C487D" w:rsidP="00B3570B">
                  <w:pPr>
                    <w:pStyle w:val="TableBodyText"/>
                  </w:pPr>
                  <w:r w:rsidRPr="00D93874">
                    <w:t>..</w:t>
                  </w:r>
                </w:p>
              </w:tc>
              <w:tc>
                <w:tcPr>
                  <w:tcW w:w="328" w:type="pct"/>
                  <w:gridSpan w:val="2"/>
                  <w:vAlign w:val="center"/>
                </w:tcPr>
                <w:p w:rsidR="008C487D" w:rsidRPr="00D93874" w:rsidRDefault="008C487D" w:rsidP="00B3570B">
                  <w:pPr>
                    <w:pStyle w:val="TableBodyText"/>
                  </w:pPr>
                  <w:r w:rsidRPr="00D93874">
                    <w:t>..</w:t>
                  </w:r>
                </w:p>
              </w:tc>
              <w:tc>
                <w:tcPr>
                  <w:tcW w:w="447" w:type="pct"/>
                  <w:gridSpan w:val="2"/>
                  <w:vAlign w:val="center"/>
                </w:tcPr>
                <w:p w:rsidR="008C487D" w:rsidRPr="00D93874" w:rsidRDefault="008C487D" w:rsidP="00B3570B">
                  <w:pPr>
                    <w:pStyle w:val="TableBodyText"/>
                  </w:pPr>
                  <w:r w:rsidRPr="00D93874">
                    <w:t>101.7</w:t>
                  </w:r>
                </w:p>
              </w:tc>
            </w:tr>
            <w:tr w:rsidR="00F2651F" w:rsidRPr="00D93874" w:rsidTr="00F2651F">
              <w:trPr>
                <w:gridAfter w:val="1"/>
                <w:wAfter w:w="26" w:type="pct"/>
              </w:trPr>
              <w:tc>
                <w:tcPr>
                  <w:tcW w:w="983" w:type="pct"/>
                  <w:vAlign w:val="bottom"/>
                </w:tcPr>
                <w:p w:rsidR="008C487D" w:rsidRPr="00D93874" w:rsidRDefault="008C487D" w:rsidP="00FF35FF">
                  <w:pPr>
                    <w:pStyle w:val="TableBodyText"/>
                    <w:jc w:val="center"/>
                    <w:rPr>
                      <w:rFonts w:cs="Arial"/>
                      <w:color w:val="000000"/>
                      <w:szCs w:val="18"/>
                    </w:rPr>
                  </w:pPr>
                  <w:r w:rsidRPr="00D93874">
                    <w:rPr>
                      <w:rFonts w:cs="Arial"/>
                      <w:color w:val="000000"/>
                      <w:szCs w:val="18"/>
                    </w:rPr>
                    <w:t>2011–12</w:t>
                  </w:r>
                </w:p>
              </w:tc>
              <w:tc>
                <w:tcPr>
                  <w:tcW w:w="411" w:type="pct"/>
                  <w:vAlign w:val="center"/>
                </w:tcPr>
                <w:p w:rsidR="008C487D" w:rsidRPr="00D93874" w:rsidRDefault="008C487D" w:rsidP="00B3570B">
                  <w:pPr>
                    <w:pStyle w:val="TableBodyText"/>
                  </w:pPr>
                  <w:r w:rsidRPr="00D93874">
                    <w:t>100.0</w:t>
                  </w:r>
                </w:p>
              </w:tc>
              <w:tc>
                <w:tcPr>
                  <w:tcW w:w="411" w:type="pct"/>
                  <w:vAlign w:val="center"/>
                </w:tcPr>
                <w:p w:rsidR="008C487D" w:rsidRPr="00D93874" w:rsidRDefault="008C487D" w:rsidP="00B3570B">
                  <w:pPr>
                    <w:pStyle w:val="TableBodyText"/>
                  </w:pPr>
                  <w:r w:rsidRPr="00D93874">
                    <w:t>..</w:t>
                  </w:r>
                </w:p>
              </w:tc>
              <w:tc>
                <w:tcPr>
                  <w:tcW w:w="409" w:type="pct"/>
                  <w:vAlign w:val="center"/>
                </w:tcPr>
                <w:p w:rsidR="008C487D" w:rsidRPr="00D93874" w:rsidRDefault="008C487D" w:rsidP="00B3570B">
                  <w:pPr>
                    <w:pStyle w:val="TableBodyText"/>
                  </w:pPr>
                  <w:r w:rsidRPr="00D93874">
                    <w:t>100.6</w:t>
                  </w:r>
                </w:p>
              </w:tc>
              <w:tc>
                <w:tcPr>
                  <w:tcW w:w="409" w:type="pct"/>
                  <w:vAlign w:val="center"/>
                </w:tcPr>
                <w:p w:rsidR="008C487D" w:rsidRPr="00D93874" w:rsidRDefault="008C487D" w:rsidP="00B3570B">
                  <w:pPr>
                    <w:pStyle w:val="TableBodyText"/>
                  </w:pPr>
                  <w:r w:rsidRPr="00D93874">
                    <w:t>..</w:t>
                  </w:r>
                </w:p>
              </w:tc>
              <w:tc>
                <w:tcPr>
                  <w:tcW w:w="410" w:type="pct"/>
                  <w:vAlign w:val="center"/>
                </w:tcPr>
                <w:p w:rsidR="008C487D" w:rsidRPr="00D93874" w:rsidRDefault="008C487D" w:rsidP="00B3570B">
                  <w:pPr>
                    <w:pStyle w:val="TableBodyText"/>
                  </w:pPr>
                  <w:r w:rsidRPr="00D93874">
                    <w:t>100.7</w:t>
                  </w:r>
                </w:p>
              </w:tc>
              <w:tc>
                <w:tcPr>
                  <w:tcW w:w="339" w:type="pct"/>
                  <w:vAlign w:val="center"/>
                </w:tcPr>
                <w:p w:rsidR="008C487D" w:rsidRPr="00D93874" w:rsidRDefault="008C487D" w:rsidP="00B3570B">
                  <w:pPr>
                    <w:pStyle w:val="TableBodyText"/>
                  </w:pPr>
                  <w:r w:rsidRPr="00D93874">
                    <w:t>98.6</w:t>
                  </w:r>
                </w:p>
              </w:tc>
              <w:tc>
                <w:tcPr>
                  <w:tcW w:w="417" w:type="pct"/>
                  <w:vAlign w:val="center"/>
                </w:tcPr>
                <w:p w:rsidR="008C487D" w:rsidRPr="00D93874" w:rsidRDefault="008C487D" w:rsidP="00B3570B">
                  <w:pPr>
                    <w:pStyle w:val="TableBodyText"/>
                  </w:pPr>
                  <w:r w:rsidRPr="00D93874">
                    <w:t>..</w:t>
                  </w:r>
                </w:p>
              </w:tc>
              <w:tc>
                <w:tcPr>
                  <w:tcW w:w="410" w:type="pct"/>
                  <w:gridSpan w:val="2"/>
                  <w:vAlign w:val="center"/>
                </w:tcPr>
                <w:p w:rsidR="008C487D" w:rsidRPr="00D93874" w:rsidRDefault="008C487D" w:rsidP="00B3570B">
                  <w:pPr>
                    <w:pStyle w:val="TableBodyText"/>
                  </w:pPr>
                  <w:r w:rsidRPr="00D93874">
                    <w:t>..</w:t>
                  </w:r>
                </w:p>
              </w:tc>
              <w:tc>
                <w:tcPr>
                  <w:tcW w:w="328" w:type="pct"/>
                  <w:gridSpan w:val="2"/>
                  <w:vAlign w:val="center"/>
                </w:tcPr>
                <w:p w:rsidR="008C487D" w:rsidRPr="00D93874" w:rsidRDefault="008C487D" w:rsidP="00B3570B">
                  <w:pPr>
                    <w:pStyle w:val="TableBodyText"/>
                  </w:pPr>
                  <w:r w:rsidRPr="00D93874">
                    <w:t>..</w:t>
                  </w:r>
                </w:p>
              </w:tc>
              <w:tc>
                <w:tcPr>
                  <w:tcW w:w="447" w:type="pct"/>
                  <w:gridSpan w:val="2"/>
                  <w:vAlign w:val="center"/>
                </w:tcPr>
                <w:p w:rsidR="008C487D" w:rsidRPr="00D93874" w:rsidRDefault="008C487D" w:rsidP="00B3570B">
                  <w:pPr>
                    <w:pStyle w:val="TableBodyText"/>
                  </w:pPr>
                  <w:r w:rsidRPr="00D93874">
                    <w:t>100.5</w:t>
                  </w:r>
                </w:p>
              </w:tc>
            </w:tr>
            <w:tr w:rsidR="00F2651F" w:rsidRPr="00D93874" w:rsidTr="00F2651F">
              <w:trPr>
                <w:gridAfter w:val="1"/>
                <w:wAfter w:w="26" w:type="pct"/>
              </w:trPr>
              <w:tc>
                <w:tcPr>
                  <w:tcW w:w="983" w:type="pct"/>
                  <w:vAlign w:val="bottom"/>
                </w:tcPr>
                <w:p w:rsidR="008C487D" w:rsidRPr="00D93874" w:rsidRDefault="008C487D" w:rsidP="00FF35FF">
                  <w:pPr>
                    <w:pStyle w:val="TableBodyText"/>
                    <w:jc w:val="center"/>
                    <w:rPr>
                      <w:rFonts w:cs="Arial"/>
                      <w:color w:val="000000"/>
                      <w:szCs w:val="18"/>
                    </w:rPr>
                  </w:pPr>
                  <w:r w:rsidRPr="00D93874">
                    <w:rPr>
                      <w:rFonts w:cs="Arial"/>
                      <w:color w:val="000000"/>
                      <w:szCs w:val="18"/>
                    </w:rPr>
                    <w:t>2012–13</w:t>
                  </w:r>
                </w:p>
              </w:tc>
              <w:tc>
                <w:tcPr>
                  <w:tcW w:w="411" w:type="pct"/>
                  <w:vAlign w:val="center"/>
                </w:tcPr>
                <w:p w:rsidR="008C487D" w:rsidRPr="00D93874" w:rsidRDefault="008C487D" w:rsidP="00B3570B">
                  <w:pPr>
                    <w:pStyle w:val="TableBodyText"/>
                  </w:pPr>
                  <w:r w:rsidRPr="00D93874">
                    <w:t>101.0</w:t>
                  </w:r>
                </w:p>
              </w:tc>
              <w:tc>
                <w:tcPr>
                  <w:tcW w:w="411" w:type="pct"/>
                  <w:vAlign w:val="center"/>
                </w:tcPr>
                <w:p w:rsidR="008C487D" w:rsidRPr="00D93874" w:rsidRDefault="008C487D" w:rsidP="00B3570B">
                  <w:pPr>
                    <w:pStyle w:val="TableBodyText"/>
                  </w:pPr>
                  <w:r w:rsidRPr="00D93874">
                    <w:t>..</w:t>
                  </w:r>
                </w:p>
              </w:tc>
              <w:tc>
                <w:tcPr>
                  <w:tcW w:w="409" w:type="pct"/>
                  <w:vAlign w:val="center"/>
                </w:tcPr>
                <w:p w:rsidR="008C487D" w:rsidRPr="00D93874" w:rsidRDefault="008C487D" w:rsidP="00B3570B">
                  <w:pPr>
                    <w:pStyle w:val="TableBodyText"/>
                  </w:pPr>
                  <w:r w:rsidRPr="00D93874">
                    <w:t>99.8</w:t>
                  </w:r>
                </w:p>
              </w:tc>
              <w:tc>
                <w:tcPr>
                  <w:tcW w:w="409" w:type="pct"/>
                  <w:vAlign w:val="center"/>
                </w:tcPr>
                <w:p w:rsidR="008C487D" w:rsidRPr="00D93874" w:rsidRDefault="008C487D" w:rsidP="00B3570B">
                  <w:pPr>
                    <w:pStyle w:val="TableBodyText"/>
                  </w:pPr>
                  <w:r w:rsidRPr="00D93874">
                    <w:t>..</w:t>
                  </w:r>
                </w:p>
              </w:tc>
              <w:tc>
                <w:tcPr>
                  <w:tcW w:w="410" w:type="pct"/>
                  <w:vAlign w:val="center"/>
                </w:tcPr>
                <w:p w:rsidR="008C487D" w:rsidRPr="00D93874" w:rsidRDefault="008C487D" w:rsidP="00B3570B">
                  <w:pPr>
                    <w:pStyle w:val="TableBodyText"/>
                  </w:pPr>
                  <w:r w:rsidRPr="00D93874">
                    <w:t>101.5</w:t>
                  </w:r>
                </w:p>
              </w:tc>
              <w:tc>
                <w:tcPr>
                  <w:tcW w:w="339" w:type="pct"/>
                  <w:vAlign w:val="center"/>
                </w:tcPr>
                <w:p w:rsidR="008C487D" w:rsidRPr="00D93874" w:rsidRDefault="008C487D" w:rsidP="00B3570B">
                  <w:pPr>
                    <w:pStyle w:val="TableBodyText"/>
                  </w:pPr>
                  <w:r w:rsidRPr="00D93874">
                    <w:t>98.4</w:t>
                  </w:r>
                </w:p>
              </w:tc>
              <w:tc>
                <w:tcPr>
                  <w:tcW w:w="417" w:type="pct"/>
                  <w:vAlign w:val="center"/>
                </w:tcPr>
                <w:p w:rsidR="008C487D" w:rsidRPr="00D93874" w:rsidRDefault="008C487D" w:rsidP="00B3570B">
                  <w:pPr>
                    <w:pStyle w:val="TableBodyText"/>
                  </w:pPr>
                  <w:r w:rsidRPr="00D93874">
                    <w:t>..</w:t>
                  </w:r>
                </w:p>
              </w:tc>
              <w:tc>
                <w:tcPr>
                  <w:tcW w:w="410" w:type="pct"/>
                  <w:gridSpan w:val="2"/>
                  <w:vAlign w:val="center"/>
                </w:tcPr>
                <w:p w:rsidR="008C487D" w:rsidRPr="00D93874" w:rsidRDefault="008C487D" w:rsidP="00B3570B">
                  <w:pPr>
                    <w:pStyle w:val="TableBodyText"/>
                  </w:pPr>
                  <w:r w:rsidRPr="00D93874">
                    <w:t>..</w:t>
                  </w:r>
                </w:p>
              </w:tc>
              <w:tc>
                <w:tcPr>
                  <w:tcW w:w="328" w:type="pct"/>
                  <w:gridSpan w:val="2"/>
                  <w:vAlign w:val="center"/>
                </w:tcPr>
                <w:p w:rsidR="008C487D" w:rsidRPr="00D93874" w:rsidRDefault="008C487D" w:rsidP="00B3570B">
                  <w:pPr>
                    <w:pStyle w:val="TableBodyText"/>
                  </w:pPr>
                  <w:r w:rsidRPr="00D93874">
                    <w:t>..</w:t>
                  </w:r>
                </w:p>
              </w:tc>
              <w:tc>
                <w:tcPr>
                  <w:tcW w:w="447" w:type="pct"/>
                  <w:gridSpan w:val="2"/>
                  <w:vAlign w:val="center"/>
                </w:tcPr>
                <w:p w:rsidR="008C487D" w:rsidRPr="00D93874" w:rsidRDefault="008C487D" w:rsidP="00B3570B">
                  <w:pPr>
                    <w:pStyle w:val="TableBodyText"/>
                  </w:pPr>
                  <w:r w:rsidRPr="00D93874">
                    <w:t>99.6</w:t>
                  </w:r>
                </w:p>
              </w:tc>
            </w:tr>
            <w:tr w:rsidR="00F2651F" w:rsidRPr="00D93874" w:rsidTr="00F2651F">
              <w:trPr>
                <w:gridAfter w:val="1"/>
                <w:wAfter w:w="26" w:type="pct"/>
              </w:trPr>
              <w:tc>
                <w:tcPr>
                  <w:tcW w:w="983" w:type="pct"/>
                  <w:vAlign w:val="bottom"/>
                </w:tcPr>
                <w:p w:rsidR="008C487D" w:rsidRPr="00D93874" w:rsidRDefault="008C487D" w:rsidP="00FF35FF">
                  <w:pPr>
                    <w:pStyle w:val="TableBodyText"/>
                    <w:jc w:val="center"/>
                    <w:rPr>
                      <w:rFonts w:cs="Arial"/>
                      <w:color w:val="000000"/>
                      <w:szCs w:val="18"/>
                    </w:rPr>
                  </w:pPr>
                  <w:r w:rsidRPr="00D93874">
                    <w:rPr>
                      <w:rFonts w:cs="Arial"/>
                      <w:color w:val="000000"/>
                      <w:szCs w:val="18"/>
                    </w:rPr>
                    <w:t>2013–14</w:t>
                  </w:r>
                </w:p>
              </w:tc>
              <w:tc>
                <w:tcPr>
                  <w:tcW w:w="411" w:type="pct"/>
                  <w:vAlign w:val="center"/>
                </w:tcPr>
                <w:p w:rsidR="008C487D" w:rsidRPr="00D93874" w:rsidRDefault="008C487D" w:rsidP="00B3570B">
                  <w:pPr>
                    <w:pStyle w:val="TableBodyText"/>
                  </w:pPr>
                  <w:r w:rsidRPr="00D93874">
                    <w:t>99.2</w:t>
                  </w:r>
                </w:p>
              </w:tc>
              <w:tc>
                <w:tcPr>
                  <w:tcW w:w="411" w:type="pct"/>
                  <w:vAlign w:val="center"/>
                </w:tcPr>
                <w:p w:rsidR="008C487D" w:rsidRPr="00D93874" w:rsidRDefault="008C487D" w:rsidP="00B3570B">
                  <w:pPr>
                    <w:pStyle w:val="TableBodyText"/>
                  </w:pPr>
                  <w:r w:rsidRPr="00D93874">
                    <w:t>..</w:t>
                  </w:r>
                </w:p>
              </w:tc>
              <w:tc>
                <w:tcPr>
                  <w:tcW w:w="409" w:type="pct"/>
                  <w:vAlign w:val="center"/>
                </w:tcPr>
                <w:p w:rsidR="008C487D" w:rsidRPr="00D93874" w:rsidRDefault="008C487D" w:rsidP="00B3570B">
                  <w:pPr>
                    <w:pStyle w:val="TableBodyText"/>
                  </w:pPr>
                  <w:r w:rsidRPr="00D93874">
                    <w:t>102.6</w:t>
                  </w:r>
                </w:p>
              </w:tc>
              <w:tc>
                <w:tcPr>
                  <w:tcW w:w="409" w:type="pct"/>
                  <w:vAlign w:val="center"/>
                </w:tcPr>
                <w:p w:rsidR="008C487D" w:rsidRPr="00D93874" w:rsidRDefault="008C487D" w:rsidP="00B3570B">
                  <w:pPr>
                    <w:pStyle w:val="TableBodyText"/>
                  </w:pPr>
                  <w:r w:rsidRPr="00D93874">
                    <w:t>..</w:t>
                  </w:r>
                </w:p>
              </w:tc>
              <w:tc>
                <w:tcPr>
                  <w:tcW w:w="410" w:type="pct"/>
                  <w:vAlign w:val="center"/>
                </w:tcPr>
                <w:p w:rsidR="008C487D" w:rsidRPr="00D93874" w:rsidRDefault="008C487D" w:rsidP="00B3570B">
                  <w:pPr>
                    <w:pStyle w:val="TableBodyText"/>
                  </w:pPr>
                  <w:r w:rsidRPr="00D93874">
                    <w:t>98.9</w:t>
                  </w:r>
                </w:p>
              </w:tc>
              <w:tc>
                <w:tcPr>
                  <w:tcW w:w="339" w:type="pct"/>
                  <w:vAlign w:val="center"/>
                </w:tcPr>
                <w:p w:rsidR="008C487D" w:rsidRPr="00D93874" w:rsidRDefault="008C487D" w:rsidP="00B3570B">
                  <w:pPr>
                    <w:pStyle w:val="TableBodyText"/>
                  </w:pPr>
                  <w:r w:rsidRPr="00D93874">
                    <w:t>98.0</w:t>
                  </w:r>
                </w:p>
              </w:tc>
              <w:tc>
                <w:tcPr>
                  <w:tcW w:w="417" w:type="pct"/>
                  <w:vAlign w:val="center"/>
                </w:tcPr>
                <w:p w:rsidR="008C487D" w:rsidRPr="00D93874" w:rsidRDefault="008C487D" w:rsidP="00B3570B">
                  <w:pPr>
                    <w:pStyle w:val="TableBodyText"/>
                  </w:pPr>
                  <w:r w:rsidRPr="00D93874">
                    <w:t>..</w:t>
                  </w:r>
                </w:p>
              </w:tc>
              <w:tc>
                <w:tcPr>
                  <w:tcW w:w="410" w:type="pct"/>
                  <w:gridSpan w:val="2"/>
                  <w:vAlign w:val="center"/>
                </w:tcPr>
                <w:p w:rsidR="008C487D" w:rsidRPr="00D93874" w:rsidRDefault="008C487D" w:rsidP="00B3570B">
                  <w:pPr>
                    <w:pStyle w:val="TableBodyText"/>
                  </w:pPr>
                  <w:r w:rsidRPr="00D93874">
                    <w:t>..</w:t>
                  </w:r>
                </w:p>
              </w:tc>
              <w:tc>
                <w:tcPr>
                  <w:tcW w:w="328" w:type="pct"/>
                  <w:gridSpan w:val="2"/>
                  <w:vAlign w:val="center"/>
                </w:tcPr>
                <w:p w:rsidR="008C487D" w:rsidRPr="00D93874" w:rsidRDefault="008C487D" w:rsidP="00B3570B">
                  <w:pPr>
                    <w:pStyle w:val="TableBodyText"/>
                  </w:pPr>
                  <w:r w:rsidRPr="00D93874">
                    <w:t>..</w:t>
                  </w:r>
                </w:p>
              </w:tc>
              <w:tc>
                <w:tcPr>
                  <w:tcW w:w="447" w:type="pct"/>
                  <w:gridSpan w:val="2"/>
                  <w:vAlign w:val="center"/>
                </w:tcPr>
                <w:p w:rsidR="008C487D" w:rsidRPr="00D93874" w:rsidRDefault="008C487D" w:rsidP="00B3570B">
                  <w:pPr>
                    <w:pStyle w:val="TableBodyText"/>
                  </w:pPr>
                  <w:r w:rsidRPr="00D93874">
                    <w:t>100.1</w:t>
                  </w:r>
                </w:p>
              </w:tc>
            </w:tr>
            <w:tr w:rsidR="008C487D" w:rsidRPr="00D93874" w:rsidTr="00F2651F">
              <w:trPr>
                <w:gridAfter w:val="14"/>
                <w:wAfter w:w="4017" w:type="pct"/>
              </w:trPr>
              <w:tc>
                <w:tcPr>
                  <w:tcW w:w="983" w:type="pct"/>
                  <w:vAlign w:val="bottom"/>
                </w:tcPr>
                <w:p w:rsidR="008C487D" w:rsidRPr="00D93874" w:rsidRDefault="008C487D" w:rsidP="00FF35FF">
                  <w:pPr>
                    <w:pStyle w:val="TableBodyText"/>
                    <w:jc w:val="left"/>
                    <w:rPr>
                      <w:rFonts w:cs="Arial"/>
                      <w:szCs w:val="18"/>
                    </w:rPr>
                  </w:pPr>
                  <w:r w:rsidRPr="00D93874">
                    <w:rPr>
                      <w:rStyle w:val="TableColumnHeadingChar"/>
                      <w:rFonts w:cs="Arial"/>
                      <w:szCs w:val="18"/>
                    </w:rPr>
                    <w:t>Indigenous community housing</w:t>
                  </w:r>
                </w:p>
              </w:tc>
            </w:tr>
            <w:tr w:rsidR="00F2651F" w:rsidRPr="00D93874" w:rsidTr="00F2651F">
              <w:trPr>
                <w:gridAfter w:val="2"/>
                <w:wAfter w:w="34" w:type="pct"/>
              </w:trPr>
              <w:tc>
                <w:tcPr>
                  <w:tcW w:w="983" w:type="pct"/>
                  <w:vAlign w:val="bottom"/>
                </w:tcPr>
                <w:p w:rsidR="008C487D" w:rsidRPr="00D93874" w:rsidRDefault="008C487D" w:rsidP="00FF35FF">
                  <w:pPr>
                    <w:pStyle w:val="TableBodyText"/>
                    <w:jc w:val="center"/>
                    <w:rPr>
                      <w:rFonts w:cs="Arial"/>
                      <w:color w:val="000000" w:themeColor="text1"/>
                      <w:szCs w:val="18"/>
                    </w:rPr>
                  </w:pPr>
                  <w:r w:rsidRPr="00D93874">
                    <w:rPr>
                      <w:rFonts w:cs="Arial"/>
                      <w:color w:val="000000" w:themeColor="text1"/>
                      <w:szCs w:val="18"/>
                    </w:rPr>
                    <w:t>2008–09</w:t>
                  </w:r>
                </w:p>
              </w:tc>
              <w:tc>
                <w:tcPr>
                  <w:tcW w:w="411" w:type="pct"/>
                  <w:vAlign w:val="center"/>
                </w:tcPr>
                <w:p w:rsidR="008C487D" w:rsidRPr="00D93874" w:rsidRDefault="008C487D" w:rsidP="00B3570B">
                  <w:pPr>
                    <w:pStyle w:val="TableBodyText"/>
                  </w:pPr>
                  <w:r w:rsidRPr="00D93874">
                    <w:t>90.4</w:t>
                  </w:r>
                </w:p>
              </w:tc>
              <w:tc>
                <w:tcPr>
                  <w:tcW w:w="411" w:type="pct"/>
                  <w:vAlign w:val="center"/>
                </w:tcPr>
                <w:p w:rsidR="008C487D" w:rsidRPr="00D93874" w:rsidRDefault="008C487D" w:rsidP="00B3570B">
                  <w:pPr>
                    <w:pStyle w:val="TableBodyText"/>
                  </w:pPr>
                  <w:r w:rsidRPr="00D93874">
                    <w:t>94.1</w:t>
                  </w:r>
                </w:p>
              </w:tc>
              <w:tc>
                <w:tcPr>
                  <w:tcW w:w="409" w:type="pct"/>
                  <w:vAlign w:val="center"/>
                </w:tcPr>
                <w:p w:rsidR="008C487D" w:rsidRPr="00D93874" w:rsidRDefault="008C487D" w:rsidP="00B3570B">
                  <w:pPr>
                    <w:pStyle w:val="TableBodyText"/>
                  </w:pPr>
                  <w:r w:rsidRPr="00D93874">
                    <w:t>115.8</w:t>
                  </w:r>
                </w:p>
              </w:tc>
              <w:tc>
                <w:tcPr>
                  <w:tcW w:w="409" w:type="pct"/>
                  <w:vAlign w:val="center"/>
                </w:tcPr>
                <w:p w:rsidR="008C487D" w:rsidRPr="00D93874" w:rsidRDefault="008C487D" w:rsidP="00B3570B">
                  <w:pPr>
                    <w:pStyle w:val="TableBodyText"/>
                  </w:pPr>
                  <w:r w:rsidRPr="00D93874">
                    <w:t>64.2</w:t>
                  </w:r>
                </w:p>
              </w:tc>
              <w:tc>
                <w:tcPr>
                  <w:tcW w:w="410" w:type="pct"/>
                  <w:vAlign w:val="center"/>
                </w:tcPr>
                <w:p w:rsidR="008C487D" w:rsidRPr="00D93874" w:rsidRDefault="008C487D" w:rsidP="00B3570B">
                  <w:pPr>
                    <w:pStyle w:val="TableBodyText"/>
                  </w:pPr>
                  <w:r w:rsidRPr="00D93874">
                    <w:t>60.3</w:t>
                  </w:r>
                </w:p>
              </w:tc>
              <w:tc>
                <w:tcPr>
                  <w:tcW w:w="339" w:type="pct"/>
                  <w:vAlign w:val="center"/>
                </w:tcPr>
                <w:p w:rsidR="008C487D" w:rsidRPr="00D93874" w:rsidRDefault="008C487D" w:rsidP="00B3570B">
                  <w:pPr>
                    <w:pStyle w:val="TableBodyText"/>
                  </w:pPr>
                  <w:r w:rsidRPr="00D93874">
                    <w:t>..</w:t>
                  </w:r>
                </w:p>
              </w:tc>
              <w:tc>
                <w:tcPr>
                  <w:tcW w:w="417" w:type="pct"/>
                  <w:vAlign w:val="center"/>
                </w:tcPr>
                <w:p w:rsidR="008C487D" w:rsidRPr="00D93874" w:rsidRDefault="008C487D" w:rsidP="00B3570B">
                  <w:pPr>
                    <w:pStyle w:val="TableBodyText"/>
                  </w:pPr>
                  <w:r w:rsidRPr="00D93874">
                    <w:t xml:space="preserve"> 100.0</w:t>
                  </w:r>
                </w:p>
              </w:tc>
              <w:tc>
                <w:tcPr>
                  <w:tcW w:w="402" w:type="pct"/>
                  <w:vAlign w:val="center"/>
                </w:tcPr>
                <w:p w:rsidR="008C487D" w:rsidRPr="00D93874" w:rsidRDefault="008C487D" w:rsidP="00B3570B">
                  <w:pPr>
                    <w:pStyle w:val="TableBodyText"/>
                  </w:pPr>
                  <w:r w:rsidRPr="00D93874">
                    <w:t xml:space="preserve"> 115.6</w:t>
                  </w:r>
                </w:p>
              </w:tc>
              <w:tc>
                <w:tcPr>
                  <w:tcW w:w="317" w:type="pct"/>
                  <w:gridSpan w:val="2"/>
                  <w:vAlign w:val="center"/>
                </w:tcPr>
                <w:p w:rsidR="008C487D" w:rsidRPr="00D93874" w:rsidRDefault="008C487D" w:rsidP="00B3570B">
                  <w:pPr>
                    <w:pStyle w:val="TableBodyText"/>
                  </w:pPr>
                  <w:r w:rsidRPr="00D93874">
                    <w:t xml:space="preserve"> 97.9</w:t>
                  </w:r>
                </w:p>
              </w:tc>
              <w:tc>
                <w:tcPr>
                  <w:tcW w:w="458" w:type="pct"/>
                  <w:gridSpan w:val="2"/>
                  <w:vAlign w:val="center"/>
                </w:tcPr>
                <w:p w:rsidR="008C487D" w:rsidRPr="00D93874" w:rsidRDefault="008C487D" w:rsidP="00B3570B">
                  <w:pPr>
                    <w:pStyle w:val="TableBodyText"/>
                  </w:pPr>
                  <w:r w:rsidRPr="00D93874">
                    <w:t>96.3</w:t>
                  </w:r>
                </w:p>
              </w:tc>
            </w:tr>
            <w:tr w:rsidR="00F2651F" w:rsidRPr="00D93874" w:rsidTr="00F2651F">
              <w:trPr>
                <w:gridAfter w:val="2"/>
                <w:wAfter w:w="34" w:type="pct"/>
              </w:trPr>
              <w:tc>
                <w:tcPr>
                  <w:tcW w:w="983" w:type="pct"/>
                  <w:vAlign w:val="bottom"/>
                </w:tcPr>
                <w:p w:rsidR="008C487D" w:rsidRPr="00D93874" w:rsidRDefault="008C487D" w:rsidP="00FF35FF">
                  <w:pPr>
                    <w:pStyle w:val="TableBodyText"/>
                    <w:jc w:val="center"/>
                    <w:rPr>
                      <w:rFonts w:cs="Arial"/>
                      <w:color w:val="000000" w:themeColor="text1"/>
                      <w:szCs w:val="18"/>
                    </w:rPr>
                  </w:pPr>
                  <w:r w:rsidRPr="00D93874">
                    <w:rPr>
                      <w:rFonts w:cs="Arial"/>
                      <w:color w:val="000000" w:themeColor="text1"/>
                      <w:szCs w:val="18"/>
                    </w:rPr>
                    <w:t>2009–10</w:t>
                  </w:r>
                </w:p>
              </w:tc>
              <w:tc>
                <w:tcPr>
                  <w:tcW w:w="411" w:type="pct"/>
                  <w:vAlign w:val="center"/>
                </w:tcPr>
                <w:p w:rsidR="008C487D" w:rsidRPr="00D93874" w:rsidRDefault="008C487D" w:rsidP="00B3570B">
                  <w:pPr>
                    <w:pStyle w:val="TableBodyText"/>
                  </w:pPr>
                  <w:r w:rsidRPr="00D93874">
                    <w:t>90.3</w:t>
                  </w:r>
                </w:p>
              </w:tc>
              <w:tc>
                <w:tcPr>
                  <w:tcW w:w="411" w:type="pct"/>
                  <w:vAlign w:val="center"/>
                </w:tcPr>
                <w:p w:rsidR="008C487D" w:rsidRPr="00D93874" w:rsidRDefault="008C487D" w:rsidP="00B3570B">
                  <w:pPr>
                    <w:pStyle w:val="TableBodyText"/>
                  </w:pPr>
                  <w:r w:rsidRPr="00D93874">
                    <w:t>92.3</w:t>
                  </w:r>
                </w:p>
              </w:tc>
              <w:tc>
                <w:tcPr>
                  <w:tcW w:w="409" w:type="pct"/>
                  <w:vAlign w:val="center"/>
                </w:tcPr>
                <w:p w:rsidR="008C487D" w:rsidRPr="00D93874" w:rsidRDefault="008C487D" w:rsidP="00B3570B">
                  <w:pPr>
                    <w:pStyle w:val="TableBodyText"/>
                  </w:pPr>
                  <w:r w:rsidRPr="00D93874">
                    <w:t>83.5</w:t>
                  </w:r>
                </w:p>
              </w:tc>
              <w:tc>
                <w:tcPr>
                  <w:tcW w:w="409" w:type="pct"/>
                  <w:vAlign w:val="center"/>
                </w:tcPr>
                <w:p w:rsidR="008C487D" w:rsidRPr="00D93874" w:rsidRDefault="008C487D" w:rsidP="00B3570B">
                  <w:pPr>
                    <w:pStyle w:val="TableBodyText"/>
                  </w:pPr>
                  <w:r w:rsidRPr="00D93874">
                    <w:t>84.7</w:t>
                  </w:r>
                </w:p>
              </w:tc>
              <w:tc>
                <w:tcPr>
                  <w:tcW w:w="410" w:type="pct"/>
                  <w:vAlign w:val="center"/>
                </w:tcPr>
                <w:p w:rsidR="008C487D" w:rsidRPr="00D93874" w:rsidRDefault="008C487D" w:rsidP="00B3570B">
                  <w:pPr>
                    <w:pStyle w:val="TableBodyText"/>
                  </w:pPr>
                  <w:r w:rsidRPr="00D93874">
                    <w:t>na</w:t>
                  </w:r>
                </w:p>
              </w:tc>
              <w:tc>
                <w:tcPr>
                  <w:tcW w:w="339" w:type="pct"/>
                  <w:vAlign w:val="center"/>
                </w:tcPr>
                <w:p w:rsidR="008C487D" w:rsidRPr="00D93874" w:rsidRDefault="008C487D" w:rsidP="00B3570B">
                  <w:pPr>
                    <w:pStyle w:val="TableBodyText"/>
                  </w:pPr>
                  <w:r w:rsidRPr="00D93874">
                    <w:t>97.0</w:t>
                  </w:r>
                </w:p>
              </w:tc>
              <w:tc>
                <w:tcPr>
                  <w:tcW w:w="417" w:type="pct"/>
                  <w:vAlign w:val="center"/>
                </w:tcPr>
                <w:p w:rsidR="008C487D" w:rsidRPr="00D93874" w:rsidRDefault="008C487D" w:rsidP="00B3570B">
                  <w:pPr>
                    <w:pStyle w:val="TableBodyText"/>
                  </w:pPr>
                  <w:r w:rsidRPr="00D93874">
                    <w:t>na</w:t>
                  </w:r>
                </w:p>
              </w:tc>
              <w:tc>
                <w:tcPr>
                  <w:tcW w:w="402" w:type="pct"/>
                  <w:vAlign w:val="center"/>
                </w:tcPr>
                <w:p w:rsidR="008C487D" w:rsidRPr="00D93874" w:rsidRDefault="008C487D" w:rsidP="00B3570B">
                  <w:pPr>
                    <w:pStyle w:val="TableBodyText"/>
                  </w:pPr>
                  <w:r w:rsidRPr="00D93874">
                    <w:t xml:space="preserve"> 93.6</w:t>
                  </w:r>
                </w:p>
              </w:tc>
              <w:tc>
                <w:tcPr>
                  <w:tcW w:w="317" w:type="pct"/>
                  <w:gridSpan w:val="2"/>
                  <w:vAlign w:val="center"/>
                </w:tcPr>
                <w:p w:rsidR="008C487D" w:rsidRPr="00D93874" w:rsidRDefault="008C487D" w:rsidP="00B3570B">
                  <w:pPr>
                    <w:pStyle w:val="TableBodyText"/>
                  </w:pPr>
                  <w:r w:rsidRPr="00D93874">
                    <w:t>..</w:t>
                  </w:r>
                </w:p>
              </w:tc>
              <w:tc>
                <w:tcPr>
                  <w:tcW w:w="458" w:type="pct"/>
                  <w:gridSpan w:val="2"/>
                  <w:vAlign w:val="center"/>
                </w:tcPr>
                <w:p w:rsidR="008C487D" w:rsidRPr="00D93874" w:rsidRDefault="008C487D" w:rsidP="00B3570B">
                  <w:pPr>
                    <w:pStyle w:val="TableBodyText"/>
                  </w:pPr>
                  <w:r w:rsidRPr="00D93874">
                    <w:t>88.1</w:t>
                  </w:r>
                </w:p>
              </w:tc>
            </w:tr>
            <w:tr w:rsidR="00F2651F" w:rsidRPr="00D93874" w:rsidTr="00F2651F">
              <w:trPr>
                <w:gridAfter w:val="2"/>
                <w:wAfter w:w="34" w:type="pct"/>
                <w:trHeight w:val="42"/>
              </w:trPr>
              <w:tc>
                <w:tcPr>
                  <w:tcW w:w="983" w:type="pct"/>
                  <w:vAlign w:val="bottom"/>
                </w:tcPr>
                <w:p w:rsidR="008C487D" w:rsidRPr="00D93874" w:rsidRDefault="008C487D" w:rsidP="00FF35FF">
                  <w:pPr>
                    <w:pStyle w:val="TableBodyText"/>
                    <w:jc w:val="center"/>
                    <w:rPr>
                      <w:rFonts w:cs="Arial"/>
                      <w:color w:val="000000" w:themeColor="text1"/>
                      <w:szCs w:val="18"/>
                    </w:rPr>
                  </w:pPr>
                  <w:r w:rsidRPr="00D93874">
                    <w:rPr>
                      <w:rFonts w:cs="Arial"/>
                      <w:color w:val="000000" w:themeColor="text1"/>
                      <w:szCs w:val="18"/>
                    </w:rPr>
                    <w:t>2010–11</w:t>
                  </w:r>
                </w:p>
              </w:tc>
              <w:tc>
                <w:tcPr>
                  <w:tcW w:w="411" w:type="pct"/>
                  <w:vAlign w:val="center"/>
                </w:tcPr>
                <w:p w:rsidR="008C487D" w:rsidRPr="00D93874" w:rsidRDefault="008C487D" w:rsidP="00B3570B">
                  <w:pPr>
                    <w:pStyle w:val="TableBodyText"/>
                  </w:pPr>
                  <w:r w:rsidRPr="00D93874">
                    <w:t>100.7</w:t>
                  </w:r>
                </w:p>
              </w:tc>
              <w:tc>
                <w:tcPr>
                  <w:tcW w:w="411" w:type="pct"/>
                  <w:vAlign w:val="center"/>
                </w:tcPr>
                <w:p w:rsidR="008C487D" w:rsidRPr="00D93874" w:rsidRDefault="008C487D" w:rsidP="00B3570B">
                  <w:pPr>
                    <w:pStyle w:val="TableBodyText"/>
                  </w:pPr>
                  <w:r w:rsidRPr="00D93874">
                    <w:t>100.1</w:t>
                  </w:r>
                </w:p>
              </w:tc>
              <w:tc>
                <w:tcPr>
                  <w:tcW w:w="409" w:type="pct"/>
                  <w:vAlign w:val="center"/>
                </w:tcPr>
                <w:p w:rsidR="008C487D" w:rsidRPr="00D93874" w:rsidRDefault="008C487D" w:rsidP="00B3570B">
                  <w:pPr>
                    <w:pStyle w:val="TableBodyText"/>
                  </w:pPr>
                  <w:r w:rsidRPr="00D93874">
                    <w:t>93.0</w:t>
                  </w:r>
                </w:p>
              </w:tc>
              <w:tc>
                <w:tcPr>
                  <w:tcW w:w="409" w:type="pct"/>
                  <w:vAlign w:val="center"/>
                </w:tcPr>
                <w:p w:rsidR="008C487D" w:rsidRPr="00D93874" w:rsidRDefault="008C487D" w:rsidP="00B3570B">
                  <w:pPr>
                    <w:pStyle w:val="TableBodyText"/>
                  </w:pPr>
                  <w:r w:rsidRPr="00D93874">
                    <w:t>88.7</w:t>
                  </w:r>
                </w:p>
              </w:tc>
              <w:tc>
                <w:tcPr>
                  <w:tcW w:w="410" w:type="pct"/>
                  <w:vAlign w:val="center"/>
                </w:tcPr>
                <w:p w:rsidR="008C487D" w:rsidRPr="00D93874" w:rsidRDefault="008C487D" w:rsidP="00B3570B">
                  <w:pPr>
                    <w:pStyle w:val="TableBodyText"/>
                  </w:pPr>
                  <w:r w:rsidRPr="00D93874">
                    <w:t>na</w:t>
                  </w:r>
                </w:p>
              </w:tc>
              <w:tc>
                <w:tcPr>
                  <w:tcW w:w="339" w:type="pct"/>
                  <w:vAlign w:val="center"/>
                </w:tcPr>
                <w:p w:rsidR="008C487D" w:rsidRPr="00D93874" w:rsidRDefault="008C487D" w:rsidP="00B3570B">
                  <w:pPr>
                    <w:pStyle w:val="TableBodyText"/>
                  </w:pPr>
                  <w:r w:rsidRPr="00D93874">
                    <w:t>98.2</w:t>
                  </w:r>
                </w:p>
              </w:tc>
              <w:tc>
                <w:tcPr>
                  <w:tcW w:w="417" w:type="pct"/>
                  <w:vAlign w:val="center"/>
                </w:tcPr>
                <w:p w:rsidR="008C487D" w:rsidRPr="00D93874" w:rsidRDefault="008C487D" w:rsidP="00B3570B">
                  <w:pPr>
                    <w:pStyle w:val="TableBodyText"/>
                  </w:pPr>
                  <w:r w:rsidRPr="00D93874">
                    <w:t>na</w:t>
                  </w:r>
                </w:p>
              </w:tc>
              <w:tc>
                <w:tcPr>
                  <w:tcW w:w="402" w:type="pct"/>
                  <w:vAlign w:val="center"/>
                </w:tcPr>
                <w:p w:rsidR="008C487D" w:rsidRPr="00D93874" w:rsidRDefault="008C487D" w:rsidP="00B3570B">
                  <w:pPr>
                    <w:pStyle w:val="TableBodyText"/>
                  </w:pPr>
                  <w:r w:rsidRPr="00D93874">
                    <w:t>71.2</w:t>
                  </w:r>
                </w:p>
              </w:tc>
              <w:tc>
                <w:tcPr>
                  <w:tcW w:w="317" w:type="pct"/>
                  <w:gridSpan w:val="2"/>
                  <w:vAlign w:val="center"/>
                </w:tcPr>
                <w:p w:rsidR="008C487D" w:rsidRPr="00D93874" w:rsidRDefault="008C487D" w:rsidP="00B3570B">
                  <w:pPr>
                    <w:pStyle w:val="TableBodyText"/>
                  </w:pPr>
                  <w:r w:rsidRPr="00D93874">
                    <w:t>..</w:t>
                  </w:r>
                </w:p>
              </w:tc>
              <w:tc>
                <w:tcPr>
                  <w:tcW w:w="458" w:type="pct"/>
                  <w:gridSpan w:val="2"/>
                  <w:vAlign w:val="center"/>
                </w:tcPr>
                <w:p w:rsidR="008C487D" w:rsidRPr="00D93874" w:rsidRDefault="008C487D" w:rsidP="00B3570B">
                  <w:pPr>
                    <w:pStyle w:val="TableBodyText"/>
                  </w:pPr>
                  <w:r w:rsidRPr="00D93874">
                    <w:t>94.9</w:t>
                  </w:r>
                </w:p>
              </w:tc>
            </w:tr>
            <w:tr w:rsidR="00F2651F" w:rsidRPr="00D93874" w:rsidTr="002F4222">
              <w:trPr>
                <w:gridAfter w:val="2"/>
                <w:wAfter w:w="34" w:type="pct"/>
              </w:trPr>
              <w:tc>
                <w:tcPr>
                  <w:tcW w:w="983" w:type="pct"/>
                  <w:shd w:val="clear" w:color="auto" w:fill="auto"/>
                  <w:vAlign w:val="bottom"/>
                </w:tcPr>
                <w:p w:rsidR="008C487D" w:rsidRPr="00D93874" w:rsidRDefault="008C487D" w:rsidP="00FF35FF">
                  <w:pPr>
                    <w:pStyle w:val="TableBodyText"/>
                    <w:jc w:val="center"/>
                    <w:rPr>
                      <w:rFonts w:cs="Arial"/>
                      <w:color w:val="000000" w:themeColor="text1"/>
                      <w:szCs w:val="18"/>
                    </w:rPr>
                  </w:pPr>
                  <w:r w:rsidRPr="00D93874">
                    <w:rPr>
                      <w:rFonts w:cs="Arial"/>
                      <w:color w:val="000000" w:themeColor="text1"/>
                      <w:szCs w:val="18"/>
                    </w:rPr>
                    <w:t>2011–12</w:t>
                  </w:r>
                </w:p>
              </w:tc>
              <w:tc>
                <w:tcPr>
                  <w:tcW w:w="411" w:type="pct"/>
                  <w:shd w:val="clear" w:color="auto" w:fill="auto"/>
                  <w:vAlign w:val="center"/>
                </w:tcPr>
                <w:p w:rsidR="008C487D" w:rsidRPr="00D93874" w:rsidRDefault="008C487D" w:rsidP="00B3570B">
                  <w:pPr>
                    <w:pStyle w:val="TableBodyText"/>
                  </w:pPr>
                  <w:r w:rsidRPr="00D93874">
                    <w:t>98.6</w:t>
                  </w:r>
                </w:p>
              </w:tc>
              <w:tc>
                <w:tcPr>
                  <w:tcW w:w="411" w:type="pct"/>
                  <w:vAlign w:val="center"/>
                </w:tcPr>
                <w:p w:rsidR="008C487D" w:rsidRPr="00D93874" w:rsidRDefault="008C487D" w:rsidP="00B3570B">
                  <w:pPr>
                    <w:pStyle w:val="TableBodyText"/>
                  </w:pPr>
                  <w:r w:rsidRPr="00D93874">
                    <w:t>101.6</w:t>
                  </w:r>
                </w:p>
              </w:tc>
              <w:tc>
                <w:tcPr>
                  <w:tcW w:w="409" w:type="pct"/>
                  <w:vAlign w:val="center"/>
                </w:tcPr>
                <w:p w:rsidR="008C487D" w:rsidRPr="00D93874" w:rsidRDefault="008C487D" w:rsidP="00B3570B">
                  <w:pPr>
                    <w:pStyle w:val="TableBodyText"/>
                  </w:pPr>
                  <w:r w:rsidRPr="00D93874">
                    <w:t>94.6</w:t>
                  </w:r>
                </w:p>
              </w:tc>
              <w:tc>
                <w:tcPr>
                  <w:tcW w:w="409" w:type="pct"/>
                  <w:vAlign w:val="center"/>
                </w:tcPr>
                <w:p w:rsidR="008C487D" w:rsidRPr="00D93874" w:rsidRDefault="008C487D" w:rsidP="00B3570B">
                  <w:pPr>
                    <w:pStyle w:val="TableBodyText"/>
                  </w:pPr>
                  <w:r w:rsidRPr="00D93874">
                    <w:t>78.8</w:t>
                  </w:r>
                </w:p>
              </w:tc>
              <w:tc>
                <w:tcPr>
                  <w:tcW w:w="410" w:type="pct"/>
                  <w:vAlign w:val="center"/>
                </w:tcPr>
                <w:p w:rsidR="008C487D" w:rsidRPr="00D93874" w:rsidRDefault="008C487D" w:rsidP="00B3570B">
                  <w:pPr>
                    <w:pStyle w:val="TableBodyText"/>
                  </w:pPr>
                  <w:r w:rsidRPr="00D93874">
                    <w:t>na</w:t>
                  </w:r>
                </w:p>
              </w:tc>
              <w:tc>
                <w:tcPr>
                  <w:tcW w:w="339" w:type="pct"/>
                  <w:vAlign w:val="center"/>
                </w:tcPr>
                <w:p w:rsidR="008C487D" w:rsidRPr="00D93874" w:rsidRDefault="008C487D" w:rsidP="00B3570B">
                  <w:pPr>
                    <w:pStyle w:val="TableBodyText"/>
                  </w:pPr>
                  <w:r w:rsidRPr="00D93874">
                    <w:t>100.5</w:t>
                  </w:r>
                </w:p>
              </w:tc>
              <w:tc>
                <w:tcPr>
                  <w:tcW w:w="417" w:type="pct"/>
                  <w:vAlign w:val="center"/>
                </w:tcPr>
                <w:p w:rsidR="008C487D" w:rsidRPr="00D93874" w:rsidRDefault="008C487D" w:rsidP="00B3570B">
                  <w:pPr>
                    <w:pStyle w:val="TableBodyText"/>
                  </w:pPr>
                  <w:r w:rsidRPr="00D93874">
                    <w:t>na</w:t>
                  </w:r>
                </w:p>
              </w:tc>
              <w:tc>
                <w:tcPr>
                  <w:tcW w:w="402" w:type="pct"/>
                  <w:vAlign w:val="center"/>
                </w:tcPr>
                <w:p w:rsidR="008C487D" w:rsidRPr="00D93874" w:rsidRDefault="008C487D" w:rsidP="00B3570B">
                  <w:pPr>
                    <w:pStyle w:val="TableBodyText"/>
                  </w:pPr>
                  <w:r w:rsidRPr="00D93874">
                    <w:t>81.3</w:t>
                  </w:r>
                </w:p>
              </w:tc>
              <w:tc>
                <w:tcPr>
                  <w:tcW w:w="317" w:type="pct"/>
                  <w:gridSpan w:val="2"/>
                  <w:vAlign w:val="center"/>
                </w:tcPr>
                <w:p w:rsidR="008C487D" w:rsidRPr="00D93874" w:rsidRDefault="008C487D" w:rsidP="00B3570B">
                  <w:pPr>
                    <w:pStyle w:val="TableBodyText"/>
                  </w:pPr>
                  <w:r w:rsidRPr="00D93874">
                    <w:t>..</w:t>
                  </w:r>
                </w:p>
              </w:tc>
              <w:tc>
                <w:tcPr>
                  <w:tcW w:w="458" w:type="pct"/>
                  <w:gridSpan w:val="2"/>
                  <w:shd w:val="clear" w:color="auto" w:fill="auto"/>
                  <w:vAlign w:val="center"/>
                </w:tcPr>
                <w:p w:rsidR="008C487D" w:rsidRPr="00D93874" w:rsidRDefault="008C487D" w:rsidP="00B3570B">
                  <w:pPr>
                    <w:pStyle w:val="TableBodyText"/>
                  </w:pPr>
                  <w:r w:rsidRPr="00D93874">
                    <w:t>94.9</w:t>
                  </w:r>
                </w:p>
              </w:tc>
            </w:tr>
            <w:tr w:rsidR="00F2651F" w:rsidRPr="00D93874" w:rsidTr="002F4222">
              <w:trPr>
                <w:gridAfter w:val="2"/>
                <w:wAfter w:w="34" w:type="pct"/>
              </w:trPr>
              <w:tc>
                <w:tcPr>
                  <w:tcW w:w="983" w:type="pct"/>
                  <w:tcBorders>
                    <w:bottom w:val="single" w:sz="4" w:space="0" w:color="BFBFBF" w:themeColor="background2"/>
                  </w:tcBorders>
                  <w:shd w:val="clear" w:color="auto" w:fill="auto"/>
                  <w:vAlign w:val="bottom"/>
                </w:tcPr>
                <w:p w:rsidR="008C487D" w:rsidRPr="00D93874" w:rsidRDefault="008C487D" w:rsidP="00FF35FF">
                  <w:pPr>
                    <w:pStyle w:val="TableBodyText"/>
                    <w:jc w:val="center"/>
                    <w:rPr>
                      <w:rFonts w:cs="Arial"/>
                      <w:color w:val="000000" w:themeColor="text1"/>
                      <w:szCs w:val="18"/>
                    </w:rPr>
                  </w:pPr>
                  <w:r w:rsidRPr="00D93874">
                    <w:rPr>
                      <w:rFonts w:cs="Arial"/>
                      <w:color w:val="000000" w:themeColor="text1"/>
                      <w:szCs w:val="18"/>
                    </w:rPr>
                    <w:t>2012–13</w:t>
                  </w:r>
                </w:p>
              </w:tc>
              <w:tc>
                <w:tcPr>
                  <w:tcW w:w="411" w:type="pct"/>
                  <w:tcBorders>
                    <w:bottom w:val="single" w:sz="4" w:space="0" w:color="BFBFBF" w:themeColor="background2"/>
                  </w:tcBorders>
                  <w:shd w:val="clear" w:color="auto" w:fill="auto"/>
                  <w:vAlign w:val="center"/>
                </w:tcPr>
                <w:p w:rsidR="008C487D" w:rsidRPr="00D93874" w:rsidRDefault="008C487D" w:rsidP="00B3570B">
                  <w:pPr>
                    <w:pStyle w:val="TableBodyText"/>
                  </w:pPr>
                  <w:r w:rsidRPr="00D93874">
                    <w:t>91.6</w:t>
                  </w:r>
                </w:p>
              </w:tc>
              <w:tc>
                <w:tcPr>
                  <w:tcW w:w="411" w:type="pct"/>
                  <w:tcBorders>
                    <w:bottom w:val="single" w:sz="4" w:space="0" w:color="BFBFBF" w:themeColor="background2"/>
                  </w:tcBorders>
                  <w:vAlign w:val="center"/>
                </w:tcPr>
                <w:p w:rsidR="008C487D" w:rsidRPr="00D93874" w:rsidRDefault="008C487D" w:rsidP="00B3570B">
                  <w:pPr>
                    <w:pStyle w:val="TableBodyText"/>
                  </w:pPr>
                  <w:r w:rsidRPr="00D93874">
                    <w:t>99.8</w:t>
                  </w:r>
                </w:p>
              </w:tc>
              <w:tc>
                <w:tcPr>
                  <w:tcW w:w="409" w:type="pct"/>
                  <w:tcBorders>
                    <w:bottom w:val="single" w:sz="4" w:space="0" w:color="BFBFBF" w:themeColor="background2"/>
                  </w:tcBorders>
                  <w:vAlign w:val="center"/>
                </w:tcPr>
                <w:p w:rsidR="008C487D" w:rsidRPr="00D93874" w:rsidRDefault="008C487D" w:rsidP="00B3570B">
                  <w:pPr>
                    <w:pStyle w:val="TableBodyText"/>
                  </w:pPr>
                  <w:r w:rsidRPr="00D93874">
                    <w:t>92.1</w:t>
                  </w:r>
                </w:p>
              </w:tc>
              <w:tc>
                <w:tcPr>
                  <w:tcW w:w="409" w:type="pct"/>
                  <w:tcBorders>
                    <w:bottom w:val="single" w:sz="4" w:space="0" w:color="BFBFBF" w:themeColor="background2"/>
                  </w:tcBorders>
                  <w:vAlign w:val="center"/>
                </w:tcPr>
                <w:p w:rsidR="008C487D" w:rsidRPr="00D93874" w:rsidRDefault="008C487D" w:rsidP="00B3570B">
                  <w:pPr>
                    <w:pStyle w:val="TableBodyText"/>
                  </w:pPr>
                  <w:r w:rsidRPr="00D93874">
                    <w:t>88.1</w:t>
                  </w:r>
                </w:p>
              </w:tc>
              <w:tc>
                <w:tcPr>
                  <w:tcW w:w="410"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339" w:type="pct"/>
                  <w:tcBorders>
                    <w:bottom w:val="single" w:sz="4" w:space="0" w:color="BFBFBF" w:themeColor="background2"/>
                  </w:tcBorders>
                  <w:vAlign w:val="center"/>
                </w:tcPr>
                <w:p w:rsidR="008C487D" w:rsidRPr="00D93874" w:rsidRDefault="008C487D" w:rsidP="00B3570B">
                  <w:pPr>
                    <w:pStyle w:val="TableBodyText"/>
                  </w:pPr>
                  <w:r w:rsidRPr="00D93874">
                    <w:t>105.0</w:t>
                  </w:r>
                </w:p>
              </w:tc>
              <w:tc>
                <w:tcPr>
                  <w:tcW w:w="417" w:type="pct"/>
                  <w:tcBorders>
                    <w:bottom w:val="single" w:sz="4" w:space="0" w:color="BFBFBF" w:themeColor="background2"/>
                  </w:tcBorders>
                  <w:vAlign w:val="center"/>
                </w:tcPr>
                <w:p w:rsidR="008C487D" w:rsidRPr="00D93874" w:rsidRDefault="008C487D" w:rsidP="00B3570B">
                  <w:pPr>
                    <w:pStyle w:val="TableBodyText"/>
                  </w:pPr>
                  <w:r w:rsidRPr="00D93874">
                    <w:t>na</w:t>
                  </w:r>
                </w:p>
              </w:tc>
              <w:tc>
                <w:tcPr>
                  <w:tcW w:w="402" w:type="pct"/>
                  <w:tcBorders>
                    <w:bottom w:val="single" w:sz="4" w:space="0" w:color="BFBFBF" w:themeColor="background2"/>
                  </w:tcBorders>
                  <w:vAlign w:val="center"/>
                </w:tcPr>
                <w:p w:rsidR="008C487D" w:rsidRPr="00D93874" w:rsidRDefault="008C487D" w:rsidP="00B3570B">
                  <w:pPr>
                    <w:pStyle w:val="TableBodyText"/>
                  </w:pPr>
                  <w:r w:rsidRPr="00D93874">
                    <w:t>73.6</w:t>
                  </w:r>
                </w:p>
              </w:tc>
              <w:tc>
                <w:tcPr>
                  <w:tcW w:w="317" w:type="pct"/>
                  <w:gridSpan w:val="2"/>
                  <w:tcBorders>
                    <w:bottom w:val="single" w:sz="4" w:space="0" w:color="BFBFBF" w:themeColor="background2"/>
                  </w:tcBorders>
                  <w:vAlign w:val="center"/>
                </w:tcPr>
                <w:p w:rsidR="008C487D" w:rsidRPr="00D93874" w:rsidRDefault="008C487D" w:rsidP="00B3570B">
                  <w:pPr>
                    <w:pStyle w:val="TableBodyText"/>
                  </w:pPr>
                  <w:r w:rsidRPr="00D93874">
                    <w:t>na</w:t>
                  </w:r>
                </w:p>
              </w:tc>
              <w:tc>
                <w:tcPr>
                  <w:tcW w:w="458" w:type="pct"/>
                  <w:gridSpan w:val="2"/>
                  <w:tcBorders>
                    <w:bottom w:val="single" w:sz="4" w:space="0" w:color="BFBFBF" w:themeColor="background2"/>
                  </w:tcBorders>
                  <w:shd w:val="clear" w:color="auto" w:fill="auto"/>
                  <w:vAlign w:val="center"/>
                </w:tcPr>
                <w:p w:rsidR="008C487D" w:rsidRPr="00D93874" w:rsidRDefault="008C487D" w:rsidP="00B3570B">
                  <w:pPr>
                    <w:pStyle w:val="TableBodyText"/>
                  </w:pPr>
                  <w:r w:rsidRPr="00D93874">
                    <w:t>92.7</w:t>
                  </w:r>
                </w:p>
              </w:tc>
            </w:tr>
          </w:tbl>
          <w:p w:rsidR="008C487D" w:rsidRPr="00D93874" w:rsidRDefault="008C487D" w:rsidP="00FF35FF">
            <w:pPr>
              <w:pStyle w:val="Box"/>
            </w:pPr>
          </w:p>
        </w:tc>
      </w:tr>
      <w:tr w:rsidR="008C487D" w:rsidRPr="00D93874" w:rsidTr="00DF458A">
        <w:trPr>
          <w:cantSplit/>
        </w:trPr>
        <w:tc>
          <w:tcPr>
            <w:tcW w:w="5000" w:type="pct"/>
            <w:tcBorders>
              <w:top w:val="nil"/>
              <w:left w:val="nil"/>
              <w:bottom w:val="nil"/>
              <w:right w:val="nil"/>
            </w:tcBorders>
            <w:shd w:val="clear" w:color="auto" w:fill="auto"/>
          </w:tcPr>
          <w:p w:rsidR="008C487D" w:rsidRPr="00D93874" w:rsidRDefault="008C487D" w:rsidP="000E4832">
            <w:pPr>
              <w:pStyle w:val="Note"/>
              <w:rPr>
                <w:i/>
              </w:rPr>
            </w:pPr>
            <w:r w:rsidRPr="00D93874">
              <w:rPr>
                <w:rStyle w:val="NoteLabel"/>
              </w:rPr>
              <w:t>a</w:t>
            </w:r>
            <w:r w:rsidRPr="00D93874">
              <w:t xml:space="preserve"> Data may not be comparable across jurisdictions and over time and comparisons could be misleading. Tab</w:t>
            </w:r>
            <w:r w:rsidR="00DF458A" w:rsidRPr="00D93874">
              <w:t>les 17A.30 and 17A.</w:t>
            </w:r>
            <w:r w:rsidRPr="00D93874">
              <w:t xml:space="preserve">32 provide further information. </w:t>
            </w:r>
            <w:r w:rsidRPr="00D93874">
              <w:rPr>
                <w:rStyle w:val="NoteLabel"/>
              </w:rPr>
              <w:t>b</w:t>
            </w:r>
            <w:r w:rsidR="002005EF" w:rsidRPr="00D93874">
              <w:rPr>
                <w:rStyle w:val="NoteLabel"/>
                <w:b w:val="0"/>
              </w:rPr>
              <w:t>.</w:t>
            </w:r>
            <w:r w:rsidRPr="00D93874">
              <w:t xml:space="preserve">Rent collection rate may be greater than </w:t>
            </w:r>
            <w:r w:rsidR="00DF458A" w:rsidRPr="00D93874">
              <w:br/>
            </w:r>
            <w:r w:rsidRPr="00D93874">
              <w:t xml:space="preserve">100 per cent due to collection of rental arrears. </w:t>
            </w:r>
            <w:r w:rsidRPr="00D93874">
              <w:rPr>
                <w:rStyle w:val="NoteLabel"/>
              </w:rPr>
              <w:t>c </w:t>
            </w:r>
            <w:r w:rsidRPr="00D93874">
              <w:t xml:space="preserve">There are no SOMIH data reported for Victoria (from </w:t>
            </w:r>
            <w:r w:rsidR="00DF458A" w:rsidRPr="00D93874">
              <w:br/>
            </w:r>
            <w:r w:rsidRPr="00D93874">
              <w:t xml:space="preserve">2009–10) or WA (from 2010–11) as SOMIH was transferred to other housing program. </w:t>
            </w:r>
            <w:r w:rsidRPr="00D93874">
              <w:rPr>
                <w:b/>
              </w:rPr>
              <w:t>na</w:t>
            </w:r>
            <w:r w:rsidRPr="00D93874">
              <w:t xml:space="preserve"> Not available. </w:t>
            </w:r>
            <w:r w:rsidRPr="00D93874">
              <w:rPr>
                <w:b/>
              </w:rPr>
              <w:t>..</w:t>
            </w:r>
            <w:r w:rsidR="000E4832">
              <w:rPr>
                <w:b/>
              </w:rPr>
              <w:t> </w:t>
            </w:r>
            <w:r w:rsidRPr="00D93874">
              <w:t>Not applicable.</w:t>
            </w:r>
          </w:p>
        </w:tc>
      </w:tr>
      <w:tr w:rsidR="008C487D" w:rsidRPr="00D93874" w:rsidTr="00DF458A">
        <w:trPr>
          <w:cantSplit/>
        </w:trPr>
        <w:tc>
          <w:tcPr>
            <w:tcW w:w="5000" w:type="pct"/>
            <w:tcBorders>
              <w:top w:val="nil"/>
              <w:left w:val="nil"/>
              <w:bottom w:val="nil"/>
              <w:right w:val="nil"/>
            </w:tcBorders>
            <w:shd w:val="clear" w:color="auto" w:fill="auto"/>
          </w:tcPr>
          <w:p w:rsidR="008C487D" w:rsidRPr="00D93874" w:rsidRDefault="008C487D" w:rsidP="00FF35FF">
            <w:pPr>
              <w:pStyle w:val="Source"/>
            </w:pPr>
            <w:r w:rsidRPr="00D93874">
              <w:rPr>
                <w:i/>
              </w:rPr>
              <w:t xml:space="preserve">Source: </w:t>
            </w:r>
            <w:r w:rsidRPr="00D93874">
              <w:t xml:space="preserve">State and Territory Governments (unpublished); AIHW (unpublished) </w:t>
            </w:r>
            <w:r w:rsidRPr="00D93874">
              <w:rPr>
                <w:i/>
              </w:rPr>
              <w:t>National Housing Assistance Data Repository</w:t>
            </w:r>
            <w:r w:rsidR="00DF458A" w:rsidRPr="00D93874">
              <w:t>; tables 17A.30 and 17A.32</w:t>
            </w:r>
            <w:r w:rsidR="00AB1E8F" w:rsidRPr="00D93874">
              <w:t>;</w:t>
            </w:r>
            <w:r w:rsidR="00DF458A" w:rsidRPr="00D93874">
              <w:t xml:space="preserve"> 2015 Report,</w:t>
            </w:r>
            <w:r w:rsidR="00DF458A" w:rsidRPr="00D93874">
              <w:rPr>
                <w:i/>
              </w:rPr>
              <w:t xml:space="preserve"> </w:t>
            </w:r>
            <w:r w:rsidR="00DF458A" w:rsidRPr="00D93874">
              <w:t>table 17.6, p. 17.37.</w:t>
            </w:r>
          </w:p>
        </w:tc>
      </w:tr>
      <w:tr w:rsidR="008C487D" w:rsidRPr="00D93874" w:rsidTr="00DF458A">
        <w:trPr>
          <w:cantSplit/>
        </w:trPr>
        <w:tc>
          <w:tcPr>
            <w:tcW w:w="5000" w:type="pct"/>
            <w:tcBorders>
              <w:top w:val="nil"/>
              <w:left w:val="nil"/>
              <w:bottom w:val="single" w:sz="6" w:space="0" w:color="78A22F" w:themeColor="accent1"/>
              <w:right w:val="nil"/>
            </w:tcBorders>
            <w:shd w:val="clear" w:color="auto" w:fill="auto"/>
          </w:tcPr>
          <w:p w:rsidR="008C487D" w:rsidRPr="00D93874" w:rsidRDefault="008C487D" w:rsidP="00FF35FF">
            <w:pPr>
              <w:pStyle w:val="Box"/>
              <w:spacing w:before="0" w:line="120" w:lineRule="exact"/>
            </w:pPr>
          </w:p>
        </w:tc>
      </w:tr>
      <w:tr w:rsidR="008C487D" w:rsidRPr="00D93874" w:rsidTr="00DF458A">
        <w:trPr>
          <w:hidden/>
        </w:trPr>
        <w:tc>
          <w:tcPr>
            <w:tcW w:w="5000" w:type="pct"/>
            <w:tcBorders>
              <w:top w:val="single" w:sz="6" w:space="0" w:color="78A22F" w:themeColor="accent1"/>
              <w:left w:val="nil"/>
              <w:bottom w:val="nil"/>
              <w:right w:val="nil"/>
            </w:tcBorders>
          </w:tcPr>
          <w:p w:rsidR="008C487D" w:rsidRPr="00D93874" w:rsidRDefault="008C487D" w:rsidP="00FF35FF">
            <w:pPr>
              <w:pStyle w:val="BoxSpaceBelow"/>
              <w:rPr>
                <w:rFonts w:ascii="Times New Roman" w:hAnsi="Times New Roman"/>
                <w:b/>
                <w:vanish/>
                <w:color w:val="FF00FF"/>
              </w:rPr>
            </w:pPr>
          </w:p>
        </w:tc>
      </w:tr>
    </w:tbl>
    <w:p w:rsidR="008C487D" w:rsidRPr="00D93874" w:rsidRDefault="008C487D" w:rsidP="008C487D">
      <w:pPr>
        <w:pStyle w:val="Heading4"/>
      </w:pPr>
      <w:r w:rsidRPr="00D93874">
        <w:t>Outcomes</w:t>
      </w:r>
    </w:p>
    <w:p w:rsidR="008C487D" w:rsidRPr="00D93874" w:rsidRDefault="008C487D" w:rsidP="008C487D">
      <w:pPr>
        <w:pStyle w:val="BodyText"/>
      </w:pPr>
      <w:r w:rsidRPr="00D93874">
        <w:t xml:space="preserve">The following indicators measure the outcomes of social housing. Outcomes are the impact of services on the status of an individual or group, while outputs are the services delivered (see </w:t>
      </w:r>
      <w:r w:rsidR="00D25CE5" w:rsidRPr="00D93874">
        <w:t xml:space="preserve">2015 Report, </w:t>
      </w:r>
      <w:r w:rsidRPr="00D93874">
        <w:t>chapter 1, section 1.5).</w:t>
      </w:r>
    </w:p>
    <w:p w:rsidR="008C487D" w:rsidRPr="00D93874" w:rsidRDefault="008C487D" w:rsidP="008C487D">
      <w:pPr>
        <w:pStyle w:val="Heading5"/>
      </w:pPr>
      <w:r w:rsidRPr="00D93874">
        <w:t>Amenity/location</w:t>
      </w:r>
    </w:p>
    <w:p w:rsidR="008C487D" w:rsidRPr="00D93874" w:rsidRDefault="008C487D" w:rsidP="008C487D">
      <w:pPr>
        <w:pStyle w:val="BodyText"/>
        <w:spacing w:after="240"/>
      </w:pPr>
      <w:r w:rsidRPr="00D93874">
        <w:t>‘Amenity/location’ is an indicator of governments’ objective to provide housing assistance that is appropriate to the needs of different households (box 17.1</w:t>
      </w:r>
      <w:r w:rsidR="00D25CE5" w:rsidRPr="00D93874">
        <w:t>1</w:t>
      </w:r>
      <w:r w:rsidRPr="00D93874">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D25CE5">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D25CE5">
            <w:pPr>
              <w:pStyle w:val="BoxTitle"/>
            </w:pPr>
            <w:r w:rsidRPr="00D93874">
              <w:rPr>
                <w:b w:val="0"/>
              </w:rPr>
              <w:t>Box 17.1</w:t>
            </w:r>
            <w:r w:rsidR="00D25CE5" w:rsidRPr="00D93874">
              <w:rPr>
                <w:b w:val="0"/>
              </w:rPr>
              <w:t>1</w:t>
            </w:r>
            <w:r w:rsidRPr="00D93874">
              <w:tab/>
              <w:t>Amenity/location</w:t>
            </w:r>
          </w:p>
        </w:tc>
      </w:tr>
      <w:tr w:rsidR="008C487D" w:rsidRPr="00D93874" w:rsidTr="00D25CE5">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‘Amenity/location’ is defined as the proportion of tenants rating amenity/location aspects as important to their household and meeting their household needs.</w:t>
            </w:r>
          </w:p>
          <w:p w:rsidR="008C487D" w:rsidRPr="00D93874" w:rsidRDefault="008C487D" w:rsidP="00FF35FF">
            <w:pPr>
              <w:pStyle w:val="Box"/>
            </w:pPr>
            <w:r w:rsidRPr="00D93874">
              <w:t>A high or increasing level of satisfaction with amenity and location suggests that the provision of housing assistance satisfies household needs.</w:t>
            </w:r>
          </w:p>
          <w:p w:rsidR="008C487D" w:rsidRPr="00D93874" w:rsidRDefault="008C487D" w:rsidP="00FF35FF">
            <w:pPr>
              <w:pStyle w:val="Box"/>
            </w:pPr>
            <w:r w:rsidRPr="00D93874">
              <w:t>Data for this indicator are reported for public housin</w:t>
            </w:r>
            <w:r w:rsidR="00D25CE5" w:rsidRPr="00D93874">
              <w:t>g, SOMIH and community housing.</w:t>
            </w:r>
          </w:p>
          <w:p w:rsidR="008C487D" w:rsidRPr="00D93874" w:rsidRDefault="008C487D" w:rsidP="00FF35FF">
            <w:pPr>
              <w:pStyle w:val="Box"/>
            </w:pPr>
            <w:r w:rsidRPr="00D93874">
              <w:t>There are no data available for Indigenous community housing.</w:t>
            </w:r>
          </w:p>
          <w:p w:rsidR="008C487D" w:rsidRPr="00D93874" w:rsidRDefault="008C487D" w:rsidP="00FF35FF">
            <w:pPr>
              <w:pStyle w:val="Box"/>
            </w:pPr>
            <w:r w:rsidRPr="00D93874">
              <w:t>Data comparability and completeness vary for this indicator. Data reported are:</w:t>
            </w:r>
          </w:p>
          <w:p w:rsidR="008C487D" w:rsidRPr="00D93874" w:rsidRDefault="008C487D" w:rsidP="003D125A">
            <w:pPr>
              <w:pStyle w:val="BoxListBullet"/>
            </w:pPr>
            <w:r w:rsidRPr="00D93874">
              <w:t>comparable (subject to caveats) across jurisdictions for the current reporting period but are not comparable with data for 2010 and earlier years</w:t>
            </w:r>
          </w:p>
          <w:p w:rsidR="008C487D" w:rsidRPr="00D93874" w:rsidRDefault="008C487D" w:rsidP="003D125A">
            <w:pPr>
              <w:pStyle w:val="BoxListBullet"/>
            </w:pPr>
            <w:r w:rsidRPr="00D93874">
              <w:t>are not comparable across public housi</w:t>
            </w:r>
            <w:r w:rsidR="00D25CE5" w:rsidRPr="00D93874">
              <w:t>ng, SOMIH and community housing</w:t>
            </w:r>
          </w:p>
          <w:p w:rsidR="008C487D" w:rsidRPr="00D93874" w:rsidRDefault="008C487D" w:rsidP="003D125A">
            <w:pPr>
              <w:pStyle w:val="BoxListBullet"/>
            </w:pPr>
            <w:r w:rsidRPr="00D93874">
              <w:t>complete for public housing and SOMIH for the current reporting period (subject to caveats). All required 2014 data are available for all jurisdictions providing the service</w:t>
            </w:r>
          </w:p>
          <w:p w:rsidR="008C487D" w:rsidRPr="00D93874" w:rsidRDefault="008C487D" w:rsidP="003D125A">
            <w:pPr>
              <w:pStyle w:val="BoxListBullet"/>
            </w:pPr>
            <w:r w:rsidRPr="00D93874">
              <w:t>incomplete for community housing. All required 2014 data were not available for the Northern Territory.</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D25CE5">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D25CE5">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pPr>
      <w:r w:rsidRPr="00D93874">
        <w:t xml:space="preserve">Data for amenity/location are sourced from the NSHS, which measures tenants’ level of satisfaction with services provided by their housing service provider. Public housing, SOMIH and community housing tenants were asked whether particular aspects of the amenity and location of their dwellings were important to them and, if so, whether they felt their needs were met. </w:t>
      </w:r>
      <w:r w:rsidRPr="00D93874">
        <w:rPr>
          <w:color w:val="000000"/>
        </w:rPr>
        <w:t>Data from the 2014 survey are reported for public housing, community housing and SOMIH. D</w:t>
      </w:r>
      <w:r w:rsidR="00D25CE5" w:rsidRPr="00D93874">
        <w:rPr>
          <w:color w:val="000000"/>
        </w:rPr>
        <w:t xml:space="preserve">ata from earlier surveys (2012, </w:t>
      </w:r>
      <w:r w:rsidRPr="00D93874">
        <w:rPr>
          <w:color w:val="000000"/>
        </w:rPr>
        <w:t>2010 [public housing and community housing] and 2007 [public housing, community housing and SOMIH]) were included in earlier reports.</w:t>
      </w:r>
    </w:p>
    <w:p w:rsidR="008C487D" w:rsidRPr="00D93874" w:rsidRDefault="008C487D" w:rsidP="008C487D">
      <w:pPr>
        <w:pStyle w:val="BodyText"/>
      </w:pPr>
      <w:r w:rsidRPr="00D93874">
        <w:t>Caution should be used when comparing the public housing, SOMIH and community housing results, due to the different demographic profile of Aboriginal and Torres Strait Islander tenants and the method of data collection.</w:t>
      </w:r>
    </w:p>
    <w:p w:rsidR="008C487D" w:rsidRPr="00D93874" w:rsidRDefault="008C487D" w:rsidP="00D25CE5">
      <w:pPr>
        <w:pStyle w:val="BodyText"/>
      </w:pPr>
      <w:r w:rsidRPr="00D93874">
        <w:t>Nationally in 2014, the NSHS found that</w:t>
      </w:r>
      <w:r w:rsidR="00660CCE" w:rsidRPr="00D93874">
        <w:t xml:space="preserve"> </w:t>
      </w:r>
      <w:r w:rsidRPr="00D93874">
        <w:t xml:space="preserve">for </w:t>
      </w:r>
      <w:r w:rsidRPr="00D93874">
        <w:rPr>
          <w:color w:val="000000" w:themeColor="text1"/>
        </w:rPr>
        <w:t>SOMIH, 79.2 per cent of tenants rated amenity as important a</w:t>
      </w:r>
      <w:r w:rsidR="00D25CE5" w:rsidRPr="00D93874">
        <w:rPr>
          <w:color w:val="000000" w:themeColor="text1"/>
        </w:rPr>
        <w:t>nd meeting their needs</w:t>
      </w:r>
      <w:r w:rsidR="00B51522" w:rsidRPr="00D93874">
        <w:rPr>
          <w:color w:val="000000" w:themeColor="text1"/>
        </w:rPr>
        <w:t>,</w:t>
      </w:r>
      <w:r w:rsidR="00D25CE5" w:rsidRPr="00D93874">
        <w:rPr>
          <w:color w:val="000000" w:themeColor="text1"/>
        </w:rPr>
        <w:t xml:space="preserve"> and 88.3 per </w:t>
      </w:r>
      <w:r w:rsidRPr="00D93874">
        <w:t>cent of tenants rated location as important and meeting their needs (table 17A.35 and figure 17.</w:t>
      </w:r>
      <w:r w:rsidR="00D25CE5" w:rsidRPr="00D93874">
        <w:t>8</w:t>
      </w:r>
      <w:r w:rsidRPr="00D93874">
        <w:t>)</w:t>
      </w:r>
      <w:r w:rsidR="00D25CE5" w:rsidRPr="00D93874">
        <w:t>.</w:t>
      </w:r>
    </w:p>
    <w:p w:rsidR="008C487D" w:rsidRPr="00D93874" w:rsidRDefault="008C487D" w:rsidP="008C48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487D" w:rsidRPr="00D93874" w:rsidTr="00FF35FF">
        <w:tc>
          <w:tcPr>
            <w:tcW w:w="8771" w:type="dxa"/>
            <w:tcBorders>
              <w:top w:val="single" w:sz="6" w:space="0" w:color="78A22F"/>
              <w:left w:val="nil"/>
              <w:bottom w:val="nil"/>
              <w:right w:val="nil"/>
            </w:tcBorders>
            <w:shd w:val="clear" w:color="auto" w:fill="auto"/>
          </w:tcPr>
          <w:p w:rsidR="008C487D" w:rsidRPr="00D93874" w:rsidRDefault="008C487D" w:rsidP="00EF364D">
            <w:pPr>
              <w:pStyle w:val="FigureTitle"/>
            </w:pPr>
            <w:r w:rsidRPr="00D93874">
              <w:rPr>
                <w:b w:val="0"/>
              </w:rPr>
              <w:t>Figure 17.</w:t>
            </w:r>
            <w:r w:rsidR="00EF364D" w:rsidRPr="00D93874">
              <w:rPr>
                <w:b w:val="0"/>
              </w:rPr>
              <w:t>8</w:t>
            </w:r>
            <w:r w:rsidRPr="00D93874">
              <w:tab/>
              <w:t>Proportion of tenants rating amenity and location aspects as important and meeting their needs</w:t>
            </w:r>
            <w:r w:rsidR="00D25CE5" w:rsidRPr="00D93874">
              <w:t xml:space="preserve"> — SOMIH</w:t>
            </w:r>
            <w:r w:rsidRPr="00D93874">
              <w:t>, 2014 (per cent)</w:t>
            </w:r>
          </w:p>
        </w:tc>
      </w:tr>
      <w:tr w:rsidR="008C487D" w:rsidRPr="00D93874" w:rsidTr="00FF35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C487D" w:rsidRPr="00D93874" w:rsidTr="00FF35FF">
              <w:trPr>
                <w:jc w:val="center"/>
              </w:trPr>
              <w:tc>
                <w:tcPr>
                  <w:tcW w:w="5000" w:type="pct"/>
                  <w:tcBorders>
                    <w:top w:val="nil"/>
                    <w:bottom w:val="nil"/>
                  </w:tcBorders>
                </w:tcPr>
                <w:p w:rsidR="008C487D" w:rsidRPr="00D93874" w:rsidRDefault="008C487D" w:rsidP="00D25CE5">
                  <w:pPr>
                    <w:pStyle w:val="Figure"/>
                    <w:spacing w:before="0" w:after="60"/>
                  </w:pPr>
                  <w:r w:rsidRPr="00D93874">
                    <w:rPr>
                      <w:rFonts w:ascii="Arial" w:hAnsi="Arial" w:cs="Arial"/>
                      <w:b/>
                      <w:noProof/>
                      <w:sz w:val="20"/>
                    </w:rPr>
                    <w:drawing>
                      <wp:inline distT="0" distB="0" distL="0" distR="0" wp14:anchorId="576AAFCB" wp14:editId="32E6E46D">
                        <wp:extent cx="5133975" cy="314325"/>
                        <wp:effectExtent l="0" t="0" r="9525" b="9525"/>
                        <wp:docPr id="27" name="Picture 27" descr="Figure 17.10 Proportion of tenants rating amenity and location aspects as important and meeting their needs, 2014 (per cent)&#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3975" cy="314325"/>
                                </a:xfrm>
                                <a:prstGeom prst="rect">
                                  <a:avLst/>
                                </a:prstGeom>
                                <a:noFill/>
                                <a:ln>
                                  <a:noFill/>
                                </a:ln>
                              </pic:spPr>
                            </pic:pic>
                          </a:graphicData>
                        </a:graphic>
                      </wp:inline>
                    </w:drawing>
                  </w:r>
                  <w:r w:rsidR="00D25CE5" w:rsidRPr="00D93874">
                    <w:rPr>
                      <w:rFonts w:ascii="Arial" w:hAnsi="Arial" w:cs="Arial"/>
                      <w:b/>
                      <w:noProof/>
                      <w:sz w:val="20"/>
                    </w:rPr>
                    <w:t xml:space="preserve"> </w:t>
                  </w:r>
                </w:p>
              </w:tc>
            </w:tr>
            <w:tr w:rsidR="008C487D" w:rsidRPr="00D93874" w:rsidTr="00FF35FF">
              <w:trPr>
                <w:jc w:val="center"/>
              </w:trPr>
              <w:tc>
                <w:tcPr>
                  <w:tcW w:w="5000" w:type="pct"/>
                  <w:tcBorders>
                    <w:top w:val="nil"/>
                    <w:bottom w:val="nil"/>
                  </w:tcBorders>
                </w:tcPr>
                <w:p w:rsidR="008C487D" w:rsidRPr="00D93874" w:rsidRDefault="00D25CE5" w:rsidP="00D25CE5">
                  <w:pPr>
                    <w:pStyle w:val="Figure"/>
                  </w:pPr>
                  <w:r w:rsidRPr="00D93874">
                    <w:rPr>
                      <w:rFonts w:ascii="Arial" w:hAnsi="Arial"/>
                      <w:b/>
                      <w:noProof/>
                      <w:position w:val="6"/>
                      <w:sz w:val="18"/>
                    </w:rPr>
                    <w:drawing>
                      <wp:inline distT="0" distB="0" distL="0" distR="0" wp14:anchorId="5ED5EFBB" wp14:editId="505AB35F">
                        <wp:extent cx="5381625" cy="1933575"/>
                        <wp:effectExtent l="0" t="0" r="9525" b="9525"/>
                        <wp:docPr id="28" name="Picture 28" descr="Figure 17.10 Proportion of tenants rating amenity and location aspects as important and meeting their needs, 2014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1625" cy="1933575"/>
                                </a:xfrm>
                                <a:prstGeom prst="rect">
                                  <a:avLst/>
                                </a:prstGeom>
                                <a:noFill/>
                                <a:ln>
                                  <a:noFill/>
                                </a:ln>
                              </pic:spPr>
                            </pic:pic>
                          </a:graphicData>
                        </a:graphic>
                      </wp:inline>
                    </w:drawing>
                  </w:r>
                </w:p>
              </w:tc>
            </w:tr>
          </w:tbl>
          <w:p w:rsidR="008C487D" w:rsidRPr="00D93874" w:rsidRDefault="008C487D" w:rsidP="00FF35FF">
            <w:pPr>
              <w:pStyle w:val="Figure"/>
            </w:pPr>
          </w:p>
        </w:tc>
      </w:tr>
      <w:tr w:rsidR="008C487D" w:rsidRPr="00D93874" w:rsidTr="00FF35FF">
        <w:tc>
          <w:tcPr>
            <w:tcW w:w="8771" w:type="dxa"/>
            <w:tcBorders>
              <w:top w:val="nil"/>
              <w:left w:val="nil"/>
              <w:bottom w:val="nil"/>
              <w:right w:val="nil"/>
            </w:tcBorders>
            <w:shd w:val="clear" w:color="auto" w:fill="auto"/>
          </w:tcPr>
          <w:p w:rsidR="008C487D" w:rsidRPr="00D93874" w:rsidRDefault="008C487D" w:rsidP="00D25CE5">
            <w:pPr>
              <w:pStyle w:val="Note"/>
            </w:pPr>
            <w:r w:rsidRPr="00D93874">
              <w:rPr>
                <w:rStyle w:val="NoteLabel"/>
              </w:rPr>
              <w:t>a</w:t>
            </w:r>
            <w:r w:rsidRPr="00D93874">
              <w:t xml:space="preserve"> There are no SOMIH data reported fo</w:t>
            </w:r>
            <w:r w:rsidR="00D25CE5" w:rsidRPr="00D93874">
              <w:t>r Victoria, WA, ACT and the NT.</w:t>
            </w:r>
          </w:p>
        </w:tc>
      </w:tr>
      <w:tr w:rsidR="008C487D" w:rsidRPr="00D93874" w:rsidTr="00FF35FF">
        <w:tc>
          <w:tcPr>
            <w:tcW w:w="8771" w:type="dxa"/>
            <w:tcBorders>
              <w:top w:val="nil"/>
              <w:left w:val="nil"/>
              <w:bottom w:val="nil"/>
              <w:right w:val="nil"/>
            </w:tcBorders>
            <w:shd w:val="clear" w:color="auto" w:fill="auto"/>
          </w:tcPr>
          <w:p w:rsidR="008C487D" w:rsidRPr="00D93874" w:rsidRDefault="008C487D" w:rsidP="00D25CE5">
            <w:pPr>
              <w:pStyle w:val="Source"/>
            </w:pPr>
            <w:r w:rsidRPr="00D93874">
              <w:rPr>
                <w:i/>
              </w:rPr>
              <w:t xml:space="preserve">Source: </w:t>
            </w:r>
            <w:r w:rsidRPr="00D93874">
              <w:t>AIHW (unpublished)</w:t>
            </w:r>
            <w:r w:rsidRPr="00D93874">
              <w:rPr>
                <w:i/>
              </w:rPr>
              <w:t xml:space="preserve"> National Social Housing Survey </w:t>
            </w:r>
            <w:r w:rsidR="00D25CE5" w:rsidRPr="00D93874">
              <w:t>2014, table 17A.35</w:t>
            </w:r>
            <w:r w:rsidR="00D25CE5" w:rsidRPr="00D93874">
              <w:rPr>
                <w:rFonts w:cs="Arial"/>
                <w:szCs w:val="18"/>
              </w:rPr>
              <w:t xml:space="preserve">; 2015 Report, </w:t>
            </w:r>
            <w:r w:rsidR="00D25CE5" w:rsidRPr="00D93874">
              <w:rPr>
                <w:rFonts w:cs="Arial"/>
                <w:szCs w:val="18"/>
              </w:rPr>
              <w:br/>
              <w:t>figure 17.10, p. 17.</w:t>
            </w:r>
            <w:r w:rsidR="00B51522" w:rsidRPr="00D93874">
              <w:rPr>
                <w:rFonts w:cs="Arial"/>
                <w:szCs w:val="18"/>
              </w:rPr>
              <w:t>40</w:t>
            </w:r>
            <w:r w:rsidR="00D25CE5" w:rsidRPr="00D93874">
              <w:rPr>
                <w:rFonts w:cs="Arial"/>
                <w:szCs w:val="18"/>
              </w:rPr>
              <w:t>.</w:t>
            </w:r>
          </w:p>
        </w:tc>
      </w:tr>
      <w:tr w:rsidR="008C487D" w:rsidRPr="00D93874" w:rsidTr="00FF35FF">
        <w:tc>
          <w:tcPr>
            <w:tcW w:w="8771" w:type="dxa"/>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spacing w:before="360"/>
      </w:pPr>
      <w:r w:rsidRPr="00D93874">
        <w:t>The precision of survey estimates depends on a range of factors including the survey sample size. Further information, including 95 per cent confidence intervals and relative standard errors</w:t>
      </w:r>
      <w:r w:rsidR="00D25CE5" w:rsidRPr="00D93874">
        <w:t>, is presented table 17A.35</w:t>
      </w:r>
      <w:r w:rsidRPr="00D93874">
        <w:t>.</w:t>
      </w:r>
    </w:p>
    <w:p w:rsidR="008C487D" w:rsidRPr="00D93874" w:rsidRDefault="008C487D" w:rsidP="008C487D">
      <w:pPr>
        <w:pStyle w:val="BodyText"/>
        <w:rPr>
          <w:color w:val="000000" w:themeColor="text1"/>
        </w:rPr>
      </w:pPr>
      <w:r w:rsidRPr="00D93874">
        <w:rPr>
          <w:color w:val="000000" w:themeColor="text1"/>
        </w:rPr>
        <w:t>Data for households with a member with di</w:t>
      </w:r>
      <w:r w:rsidR="00956DD2" w:rsidRPr="00D93874">
        <w:rPr>
          <w:color w:val="000000" w:themeColor="text1"/>
        </w:rPr>
        <w:t>sability are</w:t>
      </w:r>
      <w:r w:rsidR="00E4784B" w:rsidRPr="00D93874">
        <w:rPr>
          <w:color w:val="000000" w:themeColor="text1"/>
        </w:rPr>
        <w:t xml:space="preserve"> also</w:t>
      </w:r>
      <w:r w:rsidR="00956DD2" w:rsidRPr="00D93874">
        <w:rPr>
          <w:color w:val="000000" w:themeColor="text1"/>
        </w:rPr>
        <w:t xml:space="preserve"> available in table 17A.35</w:t>
      </w:r>
      <w:r w:rsidRPr="00D93874">
        <w:rPr>
          <w:color w:val="000000" w:themeColor="text1"/>
        </w:rPr>
        <w:t>.</w:t>
      </w:r>
    </w:p>
    <w:p w:rsidR="008C487D" w:rsidRPr="00D93874" w:rsidRDefault="008C487D" w:rsidP="008C487D">
      <w:pPr>
        <w:pStyle w:val="Heading5"/>
      </w:pPr>
      <w:r w:rsidRPr="00D93874">
        <w:t>Affordability</w:t>
      </w:r>
    </w:p>
    <w:p w:rsidR="008C487D" w:rsidRPr="00D93874" w:rsidRDefault="008C487D" w:rsidP="008C487D">
      <w:pPr>
        <w:pStyle w:val="BodyText"/>
      </w:pPr>
      <w:r w:rsidRPr="00D93874">
        <w:t>‘Affordability’ is an indicator of governments’ objective to provide affordable housing to assist people who are unable to access suitable housing (box 17.1</w:t>
      </w:r>
      <w:r w:rsidR="00956DD2" w:rsidRPr="00D93874">
        <w:t>2</w:t>
      </w:r>
      <w:r w:rsidRPr="00D93874">
        <w:t>).</w:t>
      </w:r>
    </w:p>
    <w:p w:rsidR="008C487D" w:rsidRPr="00D93874" w:rsidRDefault="008C487D" w:rsidP="008C487D">
      <w:r w:rsidRPr="00D93874">
        <w:br w:type="page"/>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C55085">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BC3A7C">
            <w:pPr>
              <w:pStyle w:val="BoxTitle"/>
            </w:pPr>
            <w:r w:rsidRPr="00D93874">
              <w:rPr>
                <w:b w:val="0"/>
              </w:rPr>
              <w:t>Box 17.1</w:t>
            </w:r>
            <w:r w:rsidR="00BC3A7C" w:rsidRPr="00D93874">
              <w:rPr>
                <w:b w:val="0"/>
              </w:rPr>
              <w:t>2</w:t>
            </w:r>
            <w:r w:rsidRPr="00D93874">
              <w:tab/>
              <w:t>Affordability</w:t>
            </w:r>
          </w:p>
        </w:tc>
      </w:tr>
      <w:tr w:rsidR="008C487D" w:rsidRPr="00D93874" w:rsidTr="00C55085">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‘Affordability’ is defined as tenants’ financial ability to access suitable housing. Two measures of affordability are reported:</w:t>
            </w:r>
          </w:p>
          <w:p w:rsidR="008C487D" w:rsidRPr="00D93874" w:rsidRDefault="008C487D" w:rsidP="003D125A">
            <w:pPr>
              <w:pStyle w:val="BoxListBullet"/>
              <w:rPr>
                <w:lang w:val="en-US"/>
              </w:rPr>
            </w:pPr>
            <w:r w:rsidRPr="00D93874">
              <w:t>Average weekly rental subsidy per rebated household</w:t>
            </w:r>
          </w:p>
          <w:p w:rsidR="008C487D" w:rsidRPr="00D93874" w:rsidRDefault="008C487D" w:rsidP="003D125A">
            <w:pPr>
              <w:pStyle w:val="BoxListBullet2"/>
              <w:rPr>
                <w:lang w:val="en-US"/>
              </w:rPr>
            </w:pPr>
            <w:r w:rsidRPr="00D93874">
              <w:t>is reported for public housing and SOMIH. It is calculated as the total rental rebate amount divided by the total number of rebated households</w:t>
            </w:r>
          </w:p>
          <w:p w:rsidR="008C487D" w:rsidRPr="00D93874" w:rsidRDefault="008C487D" w:rsidP="003D125A">
            <w:pPr>
              <w:pStyle w:val="BoxListBullet2"/>
            </w:pPr>
            <w:r w:rsidRPr="00D93874">
              <w:rPr>
                <w:lang w:val="en-US"/>
              </w:rPr>
              <w:t xml:space="preserve">the amount of a rental rebate is influenced by market rent. High market rents will result in </w:t>
            </w:r>
            <w:r w:rsidRPr="00D93874">
              <w:t>high rental rebates and low market rents will result in low rental rebates. A high or increasing value of the subsidy might imply that governments are spending more to ensure housing affordability.</w:t>
            </w:r>
          </w:p>
          <w:p w:rsidR="008C487D" w:rsidRPr="00D93874" w:rsidRDefault="008C487D" w:rsidP="003D125A">
            <w:pPr>
              <w:pStyle w:val="BoxListBullet"/>
              <w:rPr>
                <w:lang w:val="en-US"/>
              </w:rPr>
            </w:pPr>
            <w:r w:rsidRPr="00D93874">
              <w:t>Proportion of low income households in socia</w:t>
            </w:r>
            <w:r w:rsidR="00EF364D" w:rsidRPr="00D93874">
              <w:t xml:space="preserve">l housing spending more than 30 per </w:t>
            </w:r>
            <w:r w:rsidRPr="00D93874">
              <w:t>cent of their gross income on rent</w:t>
            </w:r>
          </w:p>
          <w:p w:rsidR="008C487D" w:rsidRPr="00D93874" w:rsidRDefault="008C487D" w:rsidP="003D125A">
            <w:pPr>
              <w:pStyle w:val="BoxListBullet2"/>
              <w:rPr>
                <w:lang w:val="en-US"/>
              </w:rPr>
            </w:pPr>
            <w:r w:rsidRPr="00D93874">
              <w:t>is reported for public housing, SOMIH and community housing. It is calculated as number of low income rental h</w:t>
            </w:r>
            <w:r w:rsidR="00EF364D" w:rsidRPr="00D93874">
              <w:t xml:space="preserve">ouseholds spending more than 30 </w:t>
            </w:r>
            <w:r w:rsidRPr="00D93874">
              <w:t>per cent of their gross income on rent, divided by the total number of low income rental households</w:t>
            </w:r>
          </w:p>
          <w:p w:rsidR="008C487D" w:rsidRPr="00D93874" w:rsidRDefault="008C487D" w:rsidP="003D125A">
            <w:pPr>
              <w:pStyle w:val="BoxListBullet2"/>
              <w:rPr>
                <w:lang w:val="en-US"/>
              </w:rPr>
            </w:pPr>
            <w:r w:rsidRPr="00D93874">
              <w:t>low income households are defined as those in the bottom 40 per cent of equivalised gross household incomes (that is, the bottom two income quintiles). Low income households are more likely to be adversely affected by relatively high housing costs than households with higher disposable incomes (Yates and Gabriel 2006; Yates and Milligan 2007)</w:t>
            </w:r>
          </w:p>
          <w:p w:rsidR="008C487D" w:rsidRPr="00D93874" w:rsidRDefault="008C487D" w:rsidP="003D125A">
            <w:pPr>
              <w:pStyle w:val="BoxListBullet2"/>
            </w:pPr>
            <w:r w:rsidRPr="00D93874">
              <w:t>households in public housing and SOMIH that do not receive rental rebates are included in this measure. A low or decreasing proportion of households spending more than 30 per cent of their income on rent implies greater housing affordability</w:t>
            </w:r>
            <w:r w:rsidRPr="00D93874">
              <w:rPr>
                <w:lang w:val="en-US"/>
              </w:rPr>
              <w:t>.</w:t>
            </w:r>
          </w:p>
          <w:p w:rsidR="008C487D" w:rsidRPr="00D93874" w:rsidRDefault="008C487D" w:rsidP="00FF35FF">
            <w:pPr>
              <w:pStyle w:val="Box"/>
              <w:rPr>
                <w:lang w:val="en-US"/>
              </w:rPr>
            </w:pPr>
            <w:r w:rsidRPr="00D93874">
              <w:t>Data for this indicator are reported for public housing, SOMIH and community housing.</w:t>
            </w:r>
          </w:p>
          <w:p w:rsidR="008C487D" w:rsidRPr="00D93874" w:rsidRDefault="008C487D" w:rsidP="00FF35FF">
            <w:pPr>
              <w:pStyle w:val="Box"/>
            </w:pPr>
            <w:r w:rsidRPr="00D93874">
              <w:t>Data comparability and completeness vary for this indicator. Data reported are:</w:t>
            </w:r>
          </w:p>
          <w:p w:rsidR="008C487D" w:rsidRPr="00D93874" w:rsidRDefault="008C487D" w:rsidP="003D125A">
            <w:pPr>
              <w:pStyle w:val="BoxListBullet"/>
            </w:pPr>
            <w:r w:rsidRPr="00D93874">
              <w:t>comparable (subject to caveats) across jurisdictions but a break in series means that data for 2009–10 onward are not comparable to data for earlier years</w:t>
            </w:r>
          </w:p>
          <w:p w:rsidR="008C487D" w:rsidRPr="00D93874" w:rsidRDefault="008C487D" w:rsidP="003D125A">
            <w:pPr>
              <w:pStyle w:val="BoxListBullet"/>
            </w:pPr>
            <w:r w:rsidRPr="00D93874">
              <w:t>are not comparable across public housing, SOMIH and community housing</w:t>
            </w:r>
          </w:p>
          <w:p w:rsidR="008C487D" w:rsidRPr="00D93874" w:rsidRDefault="008C487D" w:rsidP="003D125A">
            <w:pPr>
              <w:pStyle w:val="BoxListBullet"/>
            </w:pPr>
            <w:r w:rsidRPr="00D93874">
              <w:t>complete for public housing and SOMIH for the current reporting period (subject to caveats). All required 2013–14 data are available for all jurisdictions providing the service</w:t>
            </w:r>
          </w:p>
          <w:p w:rsidR="008C487D" w:rsidRPr="00D93874" w:rsidRDefault="008C487D" w:rsidP="003D125A">
            <w:pPr>
              <w:pStyle w:val="BoxListBullet"/>
            </w:pPr>
            <w:r w:rsidRPr="00D93874">
              <w:t>incomplete for community housing. All required 2013–14 data were not available for Qld and the NT.</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C55085">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C55085">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spacing w:before="360"/>
      </w:pPr>
      <w:r w:rsidRPr="00D93874">
        <w:t>Average weekly rental subsidy</w:t>
      </w:r>
    </w:p>
    <w:p w:rsidR="008C487D" w:rsidRPr="00D93874" w:rsidRDefault="008C487D" w:rsidP="008C487D">
      <w:pPr>
        <w:pStyle w:val="BodyText"/>
        <w:spacing w:after="240"/>
        <w:rPr>
          <w:color w:val="000000" w:themeColor="text1"/>
        </w:rPr>
      </w:pPr>
      <w:r w:rsidRPr="00D93874">
        <w:t>Nationally, the a</w:t>
      </w:r>
      <w:r w:rsidRPr="00D93874">
        <w:rPr>
          <w:color w:val="000000" w:themeColor="text1"/>
        </w:rPr>
        <w:t xml:space="preserve">verage weekly subsidy per rebated household </w:t>
      </w:r>
      <w:r w:rsidR="00EF364D" w:rsidRPr="00D93874">
        <w:rPr>
          <w:color w:val="000000" w:themeColor="text1"/>
        </w:rPr>
        <w:t xml:space="preserve">for SOMIH was $141 at </w:t>
      </w:r>
      <w:r w:rsidR="00EF364D" w:rsidRPr="00D93874">
        <w:rPr>
          <w:color w:val="000000" w:themeColor="text1"/>
        </w:rPr>
        <w:br/>
        <w:t xml:space="preserve">30 June </w:t>
      </w:r>
      <w:r w:rsidRPr="00D93874">
        <w:rPr>
          <w:color w:val="000000" w:themeColor="text1"/>
        </w:rPr>
        <w:t>2014, increasin</w:t>
      </w:r>
      <w:r w:rsidR="00EF364D" w:rsidRPr="00D93874">
        <w:rPr>
          <w:color w:val="000000" w:themeColor="text1"/>
        </w:rPr>
        <w:t xml:space="preserve">g from $135 at 30 June 2010 (in real terms). These </w:t>
      </w:r>
      <w:r w:rsidRPr="00D93874">
        <w:rPr>
          <w:color w:val="000000" w:themeColor="text1"/>
        </w:rPr>
        <w:t>subsidies vari</w:t>
      </w:r>
      <w:r w:rsidR="00EF364D" w:rsidRPr="00D93874">
        <w:rPr>
          <w:color w:val="000000" w:themeColor="text1"/>
        </w:rPr>
        <w:t>ed across jurisdictions (figure 17.9</w:t>
      </w:r>
      <w:r w:rsidRPr="00D93874">
        <w:rPr>
          <w:color w:val="000000" w:themeColor="text1"/>
        </w:rPr>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8C487D" w:rsidRPr="00D93874" w:rsidTr="00C55085">
        <w:tc>
          <w:tcPr>
            <w:tcW w:w="5000" w:type="pct"/>
            <w:tcBorders>
              <w:top w:val="single" w:sz="6" w:space="0" w:color="78A22F"/>
              <w:left w:val="nil"/>
              <w:bottom w:val="nil"/>
              <w:right w:val="nil"/>
            </w:tcBorders>
            <w:shd w:val="clear" w:color="auto" w:fill="auto"/>
          </w:tcPr>
          <w:p w:rsidR="008C487D" w:rsidRPr="00D93874" w:rsidRDefault="008C487D" w:rsidP="00EF364D">
            <w:pPr>
              <w:pStyle w:val="FigureTitle"/>
            </w:pPr>
            <w:r w:rsidRPr="00D93874">
              <w:rPr>
                <w:b w:val="0"/>
              </w:rPr>
              <w:t>Figure 17.</w:t>
            </w:r>
            <w:r w:rsidR="00EF364D" w:rsidRPr="00D93874">
              <w:rPr>
                <w:b w:val="0"/>
              </w:rPr>
              <w:t>9</w:t>
            </w:r>
            <w:r w:rsidRPr="00D93874">
              <w:tab/>
              <w:t>Average weekly subsidy per rebated household at 30 June (2013–14 dollars)</w:t>
            </w:r>
            <w:r w:rsidRPr="00D93874">
              <w:rPr>
                <w:rStyle w:val="NoteLabel"/>
                <w:b/>
              </w:rPr>
              <w:t>a, b</w:t>
            </w:r>
            <w:r w:rsidR="00EF364D" w:rsidRPr="00D93874">
              <w:rPr>
                <w:rStyle w:val="NoteLabel"/>
                <w:b/>
              </w:rPr>
              <w:t>, c</w:t>
            </w:r>
          </w:p>
        </w:tc>
      </w:tr>
      <w:tr w:rsidR="008C487D" w:rsidRPr="00D93874" w:rsidTr="00C55085">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8C487D" w:rsidRPr="00D93874" w:rsidTr="00C55085">
              <w:tc>
                <w:tcPr>
                  <w:tcW w:w="8789" w:type="dxa"/>
                  <w:tcBorders>
                    <w:top w:val="nil"/>
                    <w:bottom w:val="nil"/>
                  </w:tcBorders>
                </w:tcPr>
                <w:p w:rsidR="008C487D" w:rsidRPr="00D93874" w:rsidRDefault="008C487D" w:rsidP="00FF35FF">
                  <w:pPr>
                    <w:pStyle w:val="Figure"/>
                    <w:spacing w:before="60" w:after="60"/>
                  </w:pPr>
                  <w:r w:rsidRPr="00D93874">
                    <w:rPr>
                      <w:noProof/>
                    </w:rPr>
                    <w:drawing>
                      <wp:inline distT="0" distB="0" distL="0" distR="0" wp14:anchorId="42A02691" wp14:editId="14F46777">
                        <wp:extent cx="5381625" cy="2524125"/>
                        <wp:effectExtent l="0" t="0" r="9525" b="9525"/>
                        <wp:docPr id="31" name="Picture 31" descr="Figure 17.11 Average weekly subsidy per rebated household at 30 June (2013–14 dollars)&#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2524125"/>
                                </a:xfrm>
                                <a:prstGeom prst="rect">
                                  <a:avLst/>
                                </a:prstGeom>
                                <a:noFill/>
                                <a:ln>
                                  <a:noFill/>
                                </a:ln>
                              </pic:spPr>
                            </pic:pic>
                          </a:graphicData>
                        </a:graphic>
                      </wp:inline>
                    </w:drawing>
                  </w:r>
                  <w:r w:rsidR="00E4784B" w:rsidRPr="00D93874">
                    <w:rPr>
                      <w:noProof/>
                    </w:rPr>
                    <w:t xml:space="preserve"> </w:t>
                  </w:r>
                  <w:r w:rsidR="00E4784B" w:rsidRPr="00D93874">
                    <w:rPr>
                      <w:noProof/>
                    </w:rPr>
                    <w:drawing>
                      <wp:inline distT="0" distB="0" distL="0" distR="0" wp14:anchorId="7F31EB16" wp14:editId="3914A74D">
                        <wp:extent cx="5381625" cy="219075"/>
                        <wp:effectExtent l="0" t="0" r="0" b="0"/>
                        <wp:docPr id="3" name="Chart 3" descr="Figure 17.9 Average weekly subsidy per rebated household at 30 June (2013-14 dollars)&#10;&#10;Legend to Figur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rsidR="008C487D" w:rsidRPr="00D93874" w:rsidRDefault="008C487D" w:rsidP="00FF35FF">
            <w:pPr>
              <w:pStyle w:val="Figure"/>
            </w:pPr>
          </w:p>
        </w:tc>
      </w:tr>
      <w:tr w:rsidR="008C487D" w:rsidRPr="00D93874" w:rsidTr="00C55085">
        <w:tc>
          <w:tcPr>
            <w:tcW w:w="5000" w:type="pct"/>
            <w:tcBorders>
              <w:top w:val="nil"/>
              <w:left w:val="nil"/>
              <w:bottom w:val="nil"/>
              <w:right w:val="nil"/>
            </w:tcBorders>
            <w:shd w:val="clear" w:color="auto" w:fill="auto"/>
          </w:tcPr>
          <w:p w:rsidR="008C487D" w:rsidRPr="00D93874" w:rsidRDefault="008C487D" w:rsidP="00FF35FF">
            <w:pPr>
              <w:pStyle w:val="Note"/>
            </w:pPr>
            <w:r w:rsidRPr="00D93874">
              <w:rPr>
                <w:rStyle w:val="NoteLabel"/>
              </w:rPr>
              <w:t>a</w:t>
            </w:r>
            <w:r w:rsidRPr="00D93874">
              <w:t> Data may not be comparable across jurisdictions and comparisons cou</w:t>
            </w:r>
            <w:r w:rsidR="00E104FA" w:rsidRPr="00D93874">
              <w:t>ld be misleading. Table 17A.</w:t>
            </w:r>
            <w:r w:rsidRPr="00D93874">
              <w:t xml:space="preserve">39 provide further information. </w:t>
            </w:r>
            <w:r w:rsidRPr="00D93874">
              <w:rPr>
                <w:rStyle w:val="NoteLabel"/>
              </w:rPr>
              <w:t>b</w:t>
            </w:r>
            <w:r w:rsidRPr="00D93874">
              <w:t> Time series financial data are adjusted to 2013–14 dollars using the General Government Final Consumption Expenditure (GGFCE) chain pric</w:t>
            </w:r>
            <w:r w:rsidR="00E104FA" w:rsidRPr="00D93874">
              <w:t xml:space="preserve">e deflator (2013–14=100) (table </w:t>
            </w:r>
            <w:r w:rsidRPr="00D93874">
              <w:t xml:space="preserve">2A.51). See </w:t>
            </w:r>
            <w:r w:rsidR="00E104FA" w:rsidRPr="00D93874">
              <w:t xml:space="preserve">2015 Report, Chapter 2 (sections </w:t>
            </w:r>
            <w:r w:rsidRPr="00D93874">
              <w:t xml:space="preserve">2.5–6) for details. </w:t>
            </w:r>
            <w:r w:rsidRPr="00D93874">
              <w:rPr>
                <w:rStyle w:val="NoteLabel"/>
              </w:rPr>
              <w:t>c</w:t>
            </w:r>
            <w:r w:rsidRPr="00D93874">
              <w:rPr>
                <w:b/>
              </w:rPr>
              <w:t> </w:t>
            </w:r>
            <w:r w:rsidRPr="00D93874">
              <w:t>There are no SOMIH data reported for Victoria (from 2009–10) or WA (2010–11) as SOMIH was transferred to other housing programs.</w:t>
            </w:r>
          </w:p>
        </w:tc>
      </w:tr>
      <w:tr w:rsidR="008C487D" w:rsidRPr="00D93874" w:rsidTr="00C55085">
        <w:tc>
          <w:tcPr>
            <w:tcW w:w="5000" w:type="pct"/>
            <w:tcBorders>
              <w:top w:val="nil"/>
              <w:left w:val="nil"/>
              <w:bottom w:val="nil"/>
              <w:right w:val="nil"/>
            </w:tcBorders>
            <w:shd w:val="clear" w:color="auto" w:fill="auto"/>
          </w:tcPr>
          <w:p w:rsidR="008C487D" w:rsidRPr="00D93874" w:rsidRDefault="008C487D" w:rsidP="00E104FA">
            <w:pPr>
              <w:pStyle w:val="Source"/>
            </w:pPr>
            <w:r w:rsidRPr="00D93874">
              <w:rPr>
                <w:i/>
              </w:rPr>
              <w:t>Source</w:t>
            </w:r>
            <w:r w:rsidRPr="00D93874">
              <w:rPr>
                <w:rFonts w:ascii="Times New Roman" w:hAnsi="Times New Roman"/>
                <w:sz w:val="24"/>
                <w:szCs w:val="24"/>
              </w:rPr>
              <w:t xml:space="preserve"> </w:t>
            </w:r>
            <w:r w:rsidRPr="00D93874">
              <w:t xml:space="preserve">AIHW (unpublished) </w:t>
            </w:r>
            <w:r w:rsidRPr="00D93874">
              <w:rPr>
                <w:i/>
              </w:rPr>
              <w:t>National Housing Assistance Data Repository</w:t>
            </w:r>
            <w:r w:rsidR="00E104FA" w:rsidRPr="00D93874">
              <w:t>; tables 17A.39 and 2A.51</w:t>
            </w:r>
            <w:r w:rsidR="00E104FA" w:rsidRPr="00D93874">
              <w:rPr>
                <w:rFonts w:cs="Arial"/>
                <w:szCs w:val="18"/>
              </w:rPr>
              <w:t xml:space="preserve">; </w:t>
            </w:r>
            <w:r w:rsidR="00E104FA" w:rsidRPr="00D93874">
              <w:rPr>
                <w:rFonts w:cs="Arial"/>
                <w:szCs w:val="18"/>
              </w:rPr>
              <w:br/>
              <w:t>2015 Report, figure 17.11, p. 17.4</w:t>
            </w:r>
            <w:r w:rsidR="00B9316E" w:rsidRPr="00D93874">
              <w:rPr>
                <w:rFonts w:cs="Arial"/>
                <w:szCs w:val="18"/>
              </w:rPr>
              <w:t>3</w:t>
            </w:r>
            <w:r w:rsidR="00E104FA" w:rsidRPr="00D93874">
              <w:rPr>
                <w:rFonts w:cs="Arial"/>
                <w:szCs w:val="18"/>
              </w:rPr>
              <w:t>.</w:t>
            </w:r>
          </w:p>
        </w:tc>
      </w:tr>
      <w:tr w:rsidR="008C487D" w:rsidRPr="00D93874" w:rsidTr="00C55085">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C55085">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spacing w:before="240"/>
      </w:pPr>
      <w:r w:rsidRPr="00D93874">
        <w:t>Proportion of low income households spending more than 30 per cent of their income on rent</w:t>
      </w:r>
    </w:p>
    <w:p w:rsidR="006D534A" w:rsidRPr="00D93874" w:rsidRDefault="008C487D" w:rsidP="006D534A">
      <w:pPr>
        <w:pStyle w:val="BodyText"/>
        <w:spacing w:before="120"/>
      </w:pPr>
      <w:r w:rsidRPr="00D93874">
        <w:t>Information on the proportion of low income households in social housing are</w:t>
      </w:r>
      <w:r w:rsidR="006D534A" w:rsidRPr="00D93874">
        <w:t xml:space="preserve"> presented in tables 17A.40–41.</w:t>
      </w:r>
    </w:p>
    <w:p w:rsidR="008C487D" w:rsidRPr="00D93874" w:rsidRDefault="008C487D" w:rsidP="006D534A">
      <w:pPr>
        <w:pStyle w:val="BodyText"/>
        <w:spacing w:before="120"/>
        <w:rPr>
          <w:color w:val="000000" w:themeColor="text1"/>
        </w:rPr>
      </w:pPr>
      <w:r w:rsidRPr="00D93874">
        <w:t>At 30 June 2014</w:t>
      </w:r>
      <w:r w:rsidR="006D534A" w:rsidRPr="00D93874">
        <w:t xml:space="preserve">, </w:t>
      </w:r>
      <w:r w:rsidRPr="00D93874">
        <w:rPr>
          <w:color w:val="000000" w:themeColor="text1"/>
        </w:rPr>
        <w:t xml:space="preserve">93.5 per cent of all households in SOMIH were low </w:t>
      </w:r>
      <w:r w:rsidR="006D534A" w:rsidRPr="00D93874">
        <w:rPr>
          <w:color w:val="000000" w:themeColor="text1"/>
        </w:rPr>
        <w:t xml:space="preserve">income households, of which 0.4 </w:t>
      </w:r>
      <w:r w:rsidRPr="00D93874">
        <w:rPr>
          <w:color w:val="000000" w:themeColor="text1"/>
        </w:rPr>
        <w:t>per cent were spending more than 30 per cent of their gross income on rent</w:t>
      </w:r>
      <w:r w:rsidR="006D534A" w:rsidRPr="00D93874">
        <w:t xml:space="preserve"> (tables 17A.40–41 and table </w:t>
      </w:r>
      <w:r w:rsidRPr="00D93874">
        <w:t>17.7).</w:t>
      </w:r>
    </w:p>
    <w:p w:rsidR="008C487D" w:rsidRPr="00D93874" w:rsidRDefault="008C487D" w:rsidP="008C487D">
      <w:pPr>
        <w:pStyle w:val="BodyText"/>
      </w:pPr>
      <w:r w:rsidRPr="00D93874">
        <w:t xml:space="preserve">Further information on the proportion of income paid in rent by low income </w:t>
      </w:r>
      <w:r w:rsidR="00E241D7" w:rsidRPr="00D93874">
        <w:t>households is provided in table 17A.44</w:t>
      </w:r>
      <w:r w:rsidRPr="00D93874">
        <w:t>.</w:t>
      </w:r>
    </w:p>
    <w:p w:rsidR="008C487D" w:rsidRPr="00D93874" w:rsidRDefault="008C487D" w:rsidP="008C487D">
      <w:pPr>
        <w:pStyle w:val="BodyText"/>
      </w:pPr>
      <w:r w:rsidRPr="00D93874">
        <w:t>These results should be interpreted with care, as income data for some households are not updated annually and this may result in overestimating the proportion of household income spent on rent.</w:t>
      </w:r>
    </w:p>
    <w:p w:rsidR="008C487D" w:rsidRPr="00D93874" w:rsidRDefault="008C487D" w:rsidP="008C487D">
      <w:pPr>
        <w:pStyle w:val="BodyText"/>
        <w:spacing w:before="360"/>
      </w:pPr>
      <w:r w:rsidRPr="00D93874">
        <w:t>Further, rebated rents generally result in the majority of households generall</w:t>
      </w:r>
      <w:r w:rsidR="00E241D7" w:rsidRPr="00D93874">
        <w:t xml:space="preserve">y paying no more than 30 per </w:t>
      </w:r>
      <w:r w:rsidRPr="00D93874">
        <w:t xml:space="preserve">cent of their gross income in rent (the rent to income ratio). Tenants who </w:t>
      </w:r>
      <w:r w:rsidRPr="00D93874">
        <w:lastRenderedPageBreak/>
        <w:t>do not provide updated income information may forfeit their rebate and be required to pay market rent. Information on the eligibility criteria for income and asset limits for each jur</w:t>
      </w:r>
      <w:r w:rsidR="00E241D7" w:rsidRPr="00D93874">
        <w:t>isdiction is presented in table 17A.60</w:t>
      </w:r>
      <w:r w:rsidRPr="00D93874">
        <w:t>.</w:t>
      </w:r>
    </w:p>
    <w:p w:rsidR="008C487D" w:rsidRPr="00D93874" w:rsidRDefault="008C487D" w:rsidP="008C487D">
      <w:pPr>
        <w:pStyle w:val="BodyText"/>
        <w:spacing w:after="240"/>
        <w:rPr>
          <w:color w:val="000000"/>
        </w:rPr>
      </w:pPr>
      <w:r w:rsidRPr="00D93874">
        <w:t xml:space="preserve">Differences in the treatment of CRA in rent assessment can affect the comparability of the results reported for community housing (CRA should be excluded from household income, but data for some households may include CRA in household </w:t>
      </w:r>
      <w:r w:rsidRPr="00D93874">
        <w:rPr>
          <w:color w:val="000000"/>
        </w:rPr>
        <w:t>income as some community housing providers are unable to exclude CRA from household income or rent). Further information on CRA can be found in the Housing and homelessness sector overview G and attachment GA (</w:t>
      </w:r>
      <w:r w:rsidR="00E241D7" w:rsidRPr="00D93874">
        <w:rPr>
          <w:color w:val="000000"/>
        </w:rPr>
        <w:t xml:space="preserve">2015 Report, tables </w:t>
      </w:r>
      <w:r w:rsidRPr="00D93874">
        <w:rPr>
          <w:color w:val="000000"/>
        </w:rPr>
        <w:t>GA.12–34).</w:t>
      </w:r>
    </w:p>
    <w:p w:rsidR="008C487D" w:rsidRPr="00D93874" w:rsidRDefault="008C487D" w:rsidP="008C487D">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8C487D" w:rsidRPr="00D93874" w:rsidTr="00AB1E8F">
        <w:tc>
          <w:tcPr>
            <w:tcW w:w="5000" w:type="pct"/>
            <w:tcBorders>
              <w:top w:val="single" w:sz="6" w:space="0" w:color="78A22F" w:themeColor="accent1"/>
              <w:left w:val="nil"/>
              <w:bottom w:val="nil"/>
              <w:right w:val="nil"/>
            </w:tcBorders>
            <w:shd w:val="clear" w:color="auto" w:fill="auto"/>
          </w:tcPr>
          <w:p w:rsidR="008C487D" w:rsidRPr="00D93874" w:rsidRDefault="008C487D" w:rsidP="005106A3">
            <w:pPr>
              <w:pStyle w:val="TableTitle"/>
            </w:pPr>
            <w:r w:rsidRPr="00D93874">
              <w:rPr>
                <w:b w:val="0"/>
              </w:rPr>
              <w:t>Table 17.7</w:t>
            </w:r>
            <w:r w:rsidRPr="00D93874">
              <w:tab/>
              <w:t>Proportion of low income households in social housing spending more than 30</w:t>
            </w:r>
            <w:r w:rsidR="005106A3" w:rsidRPr="00D93874">
              <w:t xml:space="preserve"> </w:t>
            </w:r>
            <w:r w:rsidRPr="00D93874">
              <w:t xml:space="preserve">per cent of their gross </w:t>
            </w:r>
            <w:r w:rsidR="00AB1E8F" w:rsidRPr="00D93874">
              <w:t xml:space="preserve">income on rent, at 30 June (per </w:t>
            </w:r>
            <w:r w:rsidRPr="00D93874">
              <w:t>cent)</w:t>
            </w:r>
            <w:r w:rsidRPr="00D93874">
              <w:rPr>
                <w:rStyle w:val="NoteLabel"/>
                <w:b/>
              </w:rPr>
              <w:t>a</w:t>
            </w:r>
          </w:p>
        </w:tc>
      </w:tr>
      <w:tr w:rsidR="008C487D" w:rsidRPr="00D93874" w:rsidTr="00AB1E8F">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6"/>
              <w:gridCol w:w="852"/>
              <w:gridCol w:w="852"/>
              <w:gridCol w:w="852"/>
              <w:gridCol w:w="852"/>
              <w:gridCol w:w="852"/>
              <w:gridCol w:w="852"/>
              <w:gridCol w:w="852"/>
              <w:gridCol w:w="852"/>
              <w:gridCol w:w="842"/>
            </w:tblGrid>
            <w:tr w:rsidR="008C487D" w:rsidRPr="00D93874" w:rsidTr="0059616E">
              <w:tc>
                <w:tcPr>
                  <w:tcW w:w="497"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jc w:val="left"/>
                  </w:pPr>
                </w:p>
              </w:tc>
              <w:tc>
                <w:tcPr>
                  <w:tcW w:w="501"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pPr>
                  <w:r w:rsidRPr="00D93874">
                    <w:t>NSW</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Vic</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Qld</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WA</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SA</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Tas</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ACT</w:t>
                  </w:r>
                </w:p>
              </w:tc>
              <w:tc>
                <w:tcPr>
                  <w:tcW w:w="501"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pPr>
                  <w:r w:rsidRPr="00D93874">
                    <w:t>NT</w:t>
                  </w:r>
                </w:p>
              </w:tc>
              <w:tc>
                <w:tcPr>
                  <w:tcW w:w="495"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rPr>
                      <w:rStyle w:val="NoteLabel"/>
                    </w:rPr>
                  </w:pPr>
                  <w:r w:rsidRPr="00D93874">
                    <w:t>Aust</w:t>
                  </w:r>
                  <w:r w:rsidRPr="00D93874">
                    <w:rPr>
                      <w:rStyle w:val="NoteLabel"/>
                    </w:rPr>
                    <w:t>b</w:t>
                  </w:r>
                </w:p>
              </w:tc>
            </w:tr>
            <w:tr w:rsidR="008C487D" w:rsidRPr="00D93874" w:rsidTr="0059616E">
              <w:tc>
                <w:tcPr>
                  <w:tcW w:w="5000" w:type="pct"/>
                  <w:gridSpan w:val="10"/>
                  <w:tcBorders>
                    <w:top w:val="single" w:sz="4" w:space="0" w:color="BFBFBF" w:themeColor="background2"/>
                  </w:tcBorders>
                  <w:vAlign w:val="center"/>
                </w:tcPr>
                <w:p w:rsidR="008C487D" w:rsidRPr="00D93874" w:rsidRDefault="008C487D" w:rsidP="00FF35FF">
                  <w:pPr>
                    <w:pStyle w:val="TableColumnHeading"/>
                    <w:spacing w:before="40" w:after="0" w:line="240" w:lineRule="auto"/>
                    <w:ind w:left="0" w:right="0"/>
                    <w:jc w:val="left"/>
                  </w:pPr>
                  <w:r w:rsidRPr="00D93874">
                    <w:t>Public housing</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pPr>
                  <w:r w:rsidRPr="00D93874">
                    <w:t>2011</w:t>
                  </w:r>
                </w:p>
              </w:tc>
              <w:tc>
                <w:tcPr>
                  <w:tcW w:w="501" w:type="pct"/>
                  <w:shd w:val="clear" w:color="auto" w:fill="auto"/>
                  <w:vAlign w:val="center"/>
                </w:tcPr>
                <w:p w:rsidR="008C487D" w:rsidRPr="00D93874" w:rsidRDefault="008C487D" w:rsidP="002669C4">
                  <w:pPr>
                    <w:pStyle w:val="TableBodyText"/>
                  </w:pPr>
                  <w:r w:rsidRPr="00D93874">
                    <w:t>0.2</w:t>
                  </w:r>
                </w:p>
              </w:tc>
              <w:tc>
                <w:tcPr>
                  <w:tcW w:w="501" w:type="pct"/>
                  <w:vAlign w:val="center"/>
                </w:tcPr>
                <w:p w:rsidR="008C487D" w:rsidRPr="00D93874" w:rsidRDefault="008C487D" w:rsidP="002669C4">
                  <w:pPr>
                    <w:pStyle w:val="TableBodyText"/>
                  </w:pPr>
                  <w:r w:rsidRPr="00D93874">
                    <w:t>np</w:t>
                  </w:r>
                </w:p>
              </w:tc>
              <w:tc>
                <w:tcPr>
                  <w:tcW w:w="501" w:type="pct"/>
                  <w:vAlign w:val="center"/>
                </w:tcPr>
                <w:p w:rsidR="008C487D" w:rsidRPr="00D93874" w:rsidRDefault="008C487D" w:rsidP="002669C4">
                  <w:pPr>
                    <w:pStyle w:val="TableBodyText"/>
                  </w:pPr>
                  <w:r w:rsidRPr="00D93874">
                    <w:t>0.1</w:t>
                  </w:r>
                </w:p>
              </w:tc>
              <w:tc>
                <w:tcPr>
                  <w:tcW w:w="501" w:type="pct"/>
                  <w:vAlign w:val="center"/>
                </w:tcPr>
                <w:p w:rsidR="008C487D" w:rsidRPr="00D93874" w:rsidRDefault="008C487D" w:rsidP="002669C4">
                  <w:pPr>
                    <w:pStyle w:val="TableBodyText"/>
                  </w:pPr>
                  <w:r w:rsidRPr="00D93874">
                    <w:t>1.4</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np</w:t>
                  </w:r>
                </w:p>
              </w:tc>
              <w:tc>
                <w:tcPr>
                  <w:tcW w:w="501" w:type="pct"/>
                  <w:vAlign w:val="center"/>
                </w:tcPr>
                <w:p w:rsidR="008C487D" w:rsidRPr="00D93874" w:rsidRDefault="008C487D" w:rsidP="002669C4">
                  <w:pPr>
                    <w:pStyle w:val="TableBodyText"/>
                  </w:pPr>
                  <w:r w:rsidRPr="00D93874">
                    <w:t>0.8</w:t>
                  </w:r>
                </w:p>
              </w:tc>
              <w:tc>
                <w:tcPr>
                  <w:tcW w:w="501" w:type="pct"/>
                  <w:vAlign w:val="center"/>
                </w:tcPr>
                <w:p w:rsidR="008C487D" w:rsidRPr="00D93874" w:rsidRDefault="008C487D" w:rsidP="002669C4">
                  <w:pPr>
                    <w:pStyle w:val="TableBodyText"/>
                  </w:pPr>
                  <w:r w:rsidRPr="00D93874">
                    <w:t>1.8</w:t>
                  </w:r>
                </w:p>
              </w:tc>
              <w:tc>
                <w:tcPr>
                  <w:tcW w:w="495" w:type="pct"/>
                  <w:shd w:val="clear" w:color="auto" w:fill="auto"/>
                  <w:vAlign w:val="center"/>
                </w:tcPr>
                <w:p w:rsidR="008C487D" w:rsidRPr="00D93874" w:rsidRDefault="008C487D" w:rsidP="002669C4">
                  <w:pPr>
                    <w:pStyle w:val="TableBodyText"/>
                  </w:pPr>
                  <w:r w:rsidRPr="00D93874">
                    <w:t>0.3</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pPr>
                  <w:r w:rsidRPr="00D93874">
                    <w:t>2012</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0.2</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0.7</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1.3</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0.7</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1.8</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0.4</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pPr>
                  <w:r w:rsidRPr="00D93874">
                    <w:t>2013</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0.2</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0.4</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0.2</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1.5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0.4</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6.9</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0.5</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pPr>
                  <w:r w:rsidRPr="00D93874">
                    <w:t>2014</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0.4</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0.3</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1.4</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6.9</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0.5</w:t>
                  </w:r>
                </w:p>
              </w:tc>
            </w:tr>
            <w:tr w:rsidR="008C487D" w:rsidRPr="00D93874" w:rsidTr="00FF35FF">
              <w:tc>
                <w:tcPr>
                  <w:tcW w:w="5000" w:type="pct"/>
                  <w:gridSpan w:val="10"/>
                  <w:shd w:val="clear" w:color="auto" w:fill="auto"/>
                  <w:vAlign w:val="center"/>
                </w:tcPr>
                <w:p w:rsidR="008C487D" w:rsidRPr="00D93874" w:rsidRDefault="008C487D" w:rsidP="00FF35FF">
                  <w:pPr>
                    <w:pStyle w:val="TableColumnHeading"/>
                    <w:spacing w:before="40" w:after="0" w:line="240" w:lineRule="auto"/>
                    <w:ind w:left="0" w:right="0"/>
                    <w:jc w:val="left"/>
                    <w:rPr>
                      <w:color w:val="000000" w:themeColor="text1"/>
                    </w:rPr>
                  </w:pPr>
                  <w:r w:rsidRPr="00D93874">
                    <w:rPr>
                      <w:color w:val="000000" w:themeColor="text1"/>
                    </w:rPr>
                    <w:t>SOMIH</w:t>
                  </w:r>
                  <w:r w:rsidRPr="00D93874">
                    <w:rPr>
                      <w:rStyle w:val="NoteLabel"/>
                      <w:i w:val="0"/>
                      <w:color w:val="000000" w:themeColor="text1"/>
                    </w:rPr>
                    <w:t>c</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2011</w:t>
                  </w:r>
                </w:p>
              </w:tc>
              <w:tc>
                <w:tcPr>
                  <w:tcW w:w="501" w:type="pct"/>
                  <w:shd w:val="clear" w:color="auto" w:fill="auto"/>
                  <w:vAlign w:val="center"/>
                </w:tcPr>
                <w:p w:rsidR="008C487D" w:rsidRPr="00D93874" w:rsidRDefault="008C487D" w:rsidP="002669C4">
                  <w:pPr>
                    <w:pStyle w:val="TableBodyText"/>
                  </w:pPr>
                  <w:r w:rsidRPr="00D93874">
                    <w:t>0.3</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0.2</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w:t>
                  </w:r>
                </w:p>
              </w:tc>
              <w:tc>
                <w:tcPr>
                  <w:tcW w:w="495" w:type="pct"/>
                  <w:shd w:val="clear" w:color="auto" w:fill="auto"/>
                  <w:vAlign w:val="center"/>
                </w:tcPr>
                <w:p w:rsidR="008C487D" w:rsidRPr="00D93874" w:rsidRDefault="008C487D" w:rsidP="002669C4">
                  <w:pPr>
                    <w:pStyle w:val="TableBodyText"/>
                  </w:pPr>
                  <w:r w:rsidRPr="00D93874">
                    <w:t>0.2</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2012</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1.1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0.7</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2013</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0.8</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0.5</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2014</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0.4</w:t>
                  </w:r>
                </w:p>
              </w:tc>
            </w:tr>
            <w:tr w:rsidR="008C487D" w:rsidRPr="00D93874" w:rsidTr="00FF35FF">
              <w:tc>
                <w:tcPr>
                  <w:tcW w:w="5000" w:type="pct"/>
                  <w:gridSpan w:val="10"/>
                  <w:shd w:val="clear" w:color="auto" w:fill="auto"/>
                  <w:vAlign w:val="center"/>
                </w:tcPr>
                <w:p w:rsidR="008C487D" w:rsidRPr="00D93874" w:rsidRDefault="008C487D" w:rsidP="00FF35FF">
                  <w:pPr>
                    <w:pStyle w:val="TableColumnHeading"/>
                    <w:spacing w:before="40" w:after="0" w:line="240" w:lineRule="auto"/>
                    <w:ind w:left="0" w:right="0"/>
                    <w:jc w:val="left"/>
                    <w:rPr>
                      <w:rStyle w:val="NoteLabel"/>
                    </w:rPr>
                  </w:pPr>
                  <w:r w:rsidRPr="00D93874">
                    <w:rPr>
                      <w:color w:val="000000" w:themeColor="text1"/>
                    </w:rPr>
                    <w:t>Community housing</w:t>
                  </w:r>
                  <w:r w:rsidRPr="00D93874">
                    <w:rPr>
                      <w:rStyle w:val="NoteLabel"/>
                    </w:rPr>
                    <w:t>d</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2011</w:t>
                  </w:r>
                </w:p>
              </w:tc>
              <w:tc>
                <w:tcPr>
                  <w:tcW w:w="501" w:type="pct"/>
                  <w:shd w:val="clear" w:color="auto" w:fill="auto"/>
                  <w:vAlign w:val="center"/>
                </w:tcPr>
                <w:p w:rsidR="008C487D" w:rsidRPr="00D93874" w:rsidRDefault="008C487D" w:rsidP="002669C4">
                  <w:pPr>
                    <w:pStyle w:val="TableBodyText"/>
                  </w:pPr>
                  <w:r w:rsidRPr="00D93874">
                    <w:t>10.8</w:t>
                  </w:r>
                </w:p>
              </w:tc>
              <w:tc>
                <w:tcPr>
                  <w:tcW w:w="501" w:type="pct"/>
                  <w:vAlign w:val="center"/>
                </w:tcPr>
                <w:p w:rsidR="008C487D" w:rsidRPr="00D93874" w:rsidRDefault="008C487D" w:rsidP="002669C4">
                  <w:pPr>
                    <w:pStyle w:val="TableBodyText"/>
                  </w:pPr>
                  <w:r w:rsidRPr="00D93874">
                    <w:t>12.2</w:t>
                  </w:r>
                </w:p>
              </w:tc>
              <w:tc>
                <w:tcPr>
                  <w:tcW w:w="501" w:type="pct"/>
                  <w:vAlign w:val="center"/>
                </w:tcPr>
                <w:p w:rsidR="008C487D" w:rsidRPr="00D93874" w:rsidRDefault="008C487D" w:rsidP="002669C4">
                  <w:pPr>
                    <w:pStyle w:val="TableBodyText"/>
                  </w:pPr>
                  <w:r w:rsidRPr="00D93874">
                    <w:t>na</w:t>
                  </w:r>
                </w:p>
              </w:tc>
              <w:tc>
                <w:tcPr>
                  <w:tcW w:w="501" w:type="pct"/>
                  <w:vAlign w:val="center"/>
                </w:tcPr>
                <w:p w:rsidR="008C487D" w:rsidRPr="00D93874" w:rsidRDefault="008C487D" w:rsidP="002669C4">
                  <w:pPr>
                    <w:pStyle w:val="TableBodyText"/>
                  </w:pPr>
                  <w:r w:rsidRPr="00D93874">
                    <w:t>32.7</w:t>
                  </w:r>
                </w:p>
              </w:tc>
              <w:tc>
                <w:tcPr>
                  <w:tcW w:w="501" w:type="pct"/>
                  <w:vAlign w:val="center"/>
                </w:tcPr>
                <w:p w:rsidR="008C487D" w:rsidRPr="00D93874" w:rsidRDefault="008C487D" w:rsidP="002669C4">
                  <w:pPr>
                    <w:pStyle w:val="TableBodyText"/>
                  </w:pPr>
                  <w:r w:rsidRPr="00D93874">
                    <w:t>1.2</w:t>
                  </w:r>
                </w:p>
              </w:tc>
              <w:tc>
                <w:tcPr>
                  <w:tcW w:w="501" w:type="pct"/>
                  <w:vAlign w:val="center"/>
                </w:tcPr>
                <w:p w:rsidR="008C487D" w:rsidRPr="00D93874" w:rsidRDefault="008C487D" w:rsidP="002669C4">
                  <w:pPr>
                    <w:pStyle w:val="TableBodyText"/>
                  </w:pPr>
                  <w:r w:rsidRPr="00D93874">
                    <w:t>35.5</w:t>
                  </w:r>
                </w:p>
              </w:tc>
              <w:tc>
                <w:tcPr>
                  <w:tcW w:w="501" w:type="pct"/>
                  <w:vAlign w:val="center"/>
                </w:tcPr>
                <w:p w:rsidR="008C487D" w:rsidRPr="00D93874" w:rsidRDefault="008C487D" w:rsidP="002669C4">
                  <w:pPr>
                    <w:pStyle w:val="TableBodyText"/>
                  </w:pPr>
                  <w:r w:rsidRPr="00D93874">
                    <w:t>2.0</w:t>
                  </w:r>
                </w:p>
              </w:tc>
              <w:tc>
                <w:tcPr>
                  <w:tcW w:w="501" w:type="pct"/>
                  <w:vAlign w:val="center"/>
                </w:tcPr>
                <w:p w:rsidR="008C487D" w:rsidRPr="00D93874" w:rsidRDefault="008C487D" w:rsidP="002669C4">
                  <w:pPr>
                    <w:pStyle w:val="TableBodyText"/>
                  </w:pPr>
                  <w:r w:rsidRPr="00D93874">
                    <w:t>na</w:t>
                  </w:r>
                </w:p>
              </w:tc>
              <w:tc>
                <w:tcPr>
                  <w:tcW w:w="495" w:type="pct"/>
                  <w:shd w:val="clear" w:color="auto" w:fill="auto"/>
                  <w:vAlign w:val="center"/>
                </w:tcPr>
                <w:p w:rsidR="008C487D" w:rsidRPr="00D93874" w:rsidRDefault="008C487D" w:rsidP="002669C4">
                  <w:pPr>
                    <w:pStyle w:val="TableBodyText"/>
                  </w:pPr>
                  <w:r w:rsidRPr="00D93874">
                    <w:t>12.5</w:t>
                  </w:r>
                </w:p>
              </w:tc>
            </w:tr>
            <w:tr w:rsidR="008C487D" w:rsidRPr="00D93874" w:rsidTr="00FF35FF">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2012</w:t>
                  </w:r>
                </w:p>
              </w:tc>
              <w:tc>
                <w:tcPr>
                  <w:tcW w:w="501" w:type="pct"/>
                  <w:shd w:val="clear" w:color="auto" w:fill="auto"/>
                  <w:vAlign w:val="center"/>
                </w:tcPr>
                <w:p w:rsidR="008C487D" w:rsidRPr="00D93874" w:rsidRDefault="008C487D" w:rsidP="002669C4">
                  <w:pPr>
                    <w:pStyle w:val="TableBodyText"/>
                  </w:pPr>
                  <w:r w:rsidRPr="00D93874">
                    <w:t>3.8</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na</w:t>
                  </w:r>
                </w:p>
              </w:tc>
              <w:tc>
                <w:tcPr>
                  <w:tcW w:w="501" w:type="pct"/>
                  <w:vAlign w:val="center"/>
                </w:tcPr>
                <w:p w:rsidR="008C487D" w:rsidRPr="00D93874" w:rsidRDefault="008C487D" w:rsidP="002669C4">
                  <w:pPr>
                    <w:pStyle w:val="TableBodyText"/>
                  </w:pPr>
                  <w:r w:rsidRPr="00D93874">
                    <w:t>5.0</w:t>
                  </w:r>
                </w:p>
              </w:tc>
              <w:tc>
                <w:tcPr>
                  <w:tcW w:w="501" w:type="pct"/>
                  <w:vAlign w:val="center"/>
                </w:tcPr>
                <w:p w:rsidR="008C487D" w:rsidRPr="00D93874" w:rsidRDefault="008C487D" w:rsidP="002669C4">
                  <w:pPr>
                    <w:pStyle w:val="TableBodyText"/>
                  </w:pPr>
                  <w:r w:rsidRPr="00D93874">
                    <w:t>1.2</w:t>
                  </w:r>
                </w:p>
              </w:tc>
              <w:tc>
                <w:tcPr>
                  <w:tcW w:w="501" w:type="pct"/>
                  <w:vAlign w:val="center"/>
                </w:tcPr>
                <w:p w:rsidR="008C487D" w:rsidRPr="00D93874" w:rsidRDefault="008C487D" w:rsidP="002669C4">
                  <w:pPr>
                    <w:pStyle w:val="TableBodyText"/>
                  </w:pPr>
                  <w:r w:rsidRPr="00D93874">
                    <w:t>26.5</w:t>
                  </w:r>
                </w:p>
              </w:tc>
              <w:tc>
                <w:tcPr>
                  <w:tcW w:w="501" w:type="pct"/>
                  <w:vAlign w:val="center"/>
                </w:tcPr>
                <w:p w:rsidR="008C487D" w:rsidRPr="00D93874" w:rsidRDefault="008C487D" w:rsidP="002669C4">
                  <w:pPr>
                    <w:pStyle w:val="TableBodyText"/>
                  </w:pPr>
                  <w:r w:rsidRPr="00D93874">
                    <w:t>–</w:t>
                  </w:r>
                </w:p>
              </w:tc>
              <w:tc>
                <w:tcPr>
                  <w:tcW w:w="501" w:type="pct"/>
                  <w:vAlign w:val="center"/>
                </w:tcPr>
                <w:p w:rsidR="008C487D" w:rsidRPr="00D93874" w:rsidRDefault="008C487D" w:rsidP="002669C4">
                  <w:pPr>
                    <w:pStyle w:val="TableBodyText"/>
                  </w:pPr>
                  <w:r w:rsidRPr="00D93874">
                    <w:t>na</w:t>
                  </w:r>
                </w:p>
              </w:tc>
              <w:tc>
                <w:tcPr>
                  <w:tcW w:w="495" w:type="pct"/>
                  <w:shd w:val="clear" w:color="auto" w:fill="auto"/>
                  <w:vAlign w:val="center"/>
                </w:tcPr>
                <w:p w:rsidR="008C487D" w:rsidRPr="00D93874" w:rsidRDefault="008C487D" w:rsidP="002669C4">
                  <w:pPr>
                    <w:pStyle w:val="TableBodyText"/>
                  </w:pPr>
                  <w:r w:rsidRPr="00D93874">
                    <w:t>3.5</w:t>
                  </w:r>
                </w:p>
              </w:tc>
            </w:tr>
            <w:tr w:rsidR="008C487D" w:rsidRPr="00D93874" w:rsidTr="0059616E">
              <w:tc>
                <w:tcPr>
                  <w:tcW w:w="497"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2013</w:t>
                  </w:r>
                </w:p>
              </w:tc>
              <w:tc>
                <w:tcPr>
                  <w:tcW w:w="501"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8.4</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9.5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na</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30.4</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6.5</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27.1</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0.6</w:t>
                  </w:r>
                </w:p>
              </w:tc>
              <w:tc>
                <w:tcPr>
                  <w:tcW w:w="501" w:type="pct"/>
                  <w:vAlign w:val="center"/>
                </w:tcPr>
                <w:p w:rsidR="008C487D" w:rsidRPr="00D93874" w:rsidRDefault="008C487D" w:rsidP="002669C4">
                  <w:pPr>
                    <w:pStyle w:val="TableBodyText"/>
                    <w:rPr>
                      <w:color w:val="000000" w:themeColor="text1"/>
                    </w:rPr>
                  </w:pPr>
                  <w:r w:rsidRPr="00D93874">
                    <w:rPr>
                      <w:color w:val="000000" w:themeColor="text1"/>
                    </w:rPr>
                    <w:t>na</w:t>
                  </w:r>
                </w:p>
              </w:tc>
              <w:tc>
                <w:tcPr>
                  <w:tcW w:w="495" w:type="pct"/>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9.8</w:t>
                  </w:r>
                </w:p>
              </w:tc>
            </w:tr>
            <w:tr w:rsidR="008C487D" w:rsidRPr="00D93874" w:rsidTr="0059616E">
              <w:tc>
                <w:tcPr>
                  <w:tcW w:w="497" w:type="pct"/>
                  <w:tcBorders>
                    <w:bottom w:val="single" w:sz="4" w:space="0" w:color="BFBFBF" w:themeColor="background2"/>
                  </w:tcBorders>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2014</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10.4</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4.9</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na</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10.4</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3.7</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23.0</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w:t>
                  </w:r>
                </w:p>
              </w:tc>
              <w:tc>
                <w:tcPr>
                  <w:tcW w:w="501"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na</w:t>
                  </w:r>
                </w:p>
              </w:tc>
              <w:tc>
                <w:tcPr>
                  <w:tcW w:w="495" w:type="pct"/>
                  <w:tcBorders>
                    <w:bottom w:val="single" w:sz="4" w:space="0" w:color="BFBFBF" w:themeColor="background2"/>
                  </w:tcBorders>
                  <w:shd w:val="clear" w:color="auto" w:fill="auto"/>
                  <w:vAlign w:val="center"/>
                </w:tcPr>
                <w:p w:rsidR="008C487D" w:rsidRPr="00D93874" w:rsidRDefault="008C487D" w:rsidP="002669C4">
                  <w:pPr>
                    <w:pStyle w:val="TableBodyText"/>
                    <w:rPr>
                      <w:color w:val="000000" w:themeColor="text1"/>
                    </w:rPr>
                  </w:pPr>
                  <w:r w:rsidRPr="00D93874">
                    <w:rPr>
                      <w:color w:val="000000" w:themeColor="text1"/>
                    </w:rPr>
                    <w:t>9.0</w:t>
                  </w:r>
                </w:p>
              </w:tc>
            </w:tr>
          </w:tbl>
          <w:p w:rsidR="008C487D" w:rsidRPr="00D93874" w:rsidRDefault="008C487D" w:rsidP="00FF35FF">
            <w:pPr>
              <w:pStyle w:val="Box"/>
            </w:pPr>
          </w:p>
        </w:tc>
      </w:tr>
      <w:tr w:rsidR="008C487D" w:rsidRPr="00D93874" w:rsidTr="00AB1E8F">
        <w:trPr>
          <w:cantSplit/>
        </w:trPr>
        <w:tc>
          <w:tcPr>
            <w:tcW w:w="5000" w:type="pct"/>
            <w:tcBorders>
              <w:top w:val="nil"/>
              <w:left w:val="nil"/>
              <w:bottom w:val="nil"/>
              <w:right w:val="nil"/>
            </w:tcBorders>
            <w:shd w:val="clear" w:color="auto" w:fill="auto"/>
          </w:tcPr>
          <w:p w:rsidR="008C487D" w:rsidRPr="00D93874" w:rsidRDefault="008C487D" w:rsidP="00FF35FF">
            <w:pPr>
              <w:pStyle w:val="Note"/>
              <w:rPr>
                <w:i/>
              </w:rPr>
            </w:pPr>
            <w:r w:rsidRPr="00D93874">
              <w:rPr>
                <w:rStyle w:val="NoteLabel"/>
              </w:rPr>
              <w:t>a </w:t>
            </w:r>
            <w:r w:rsidRPr="00D93874">
              <w:t xml:space="preserve">Data may not be comparable across jurisdictions and comparisons could be misleading. Table 17A.41 provides further information. </w:t>
            </w:r>
            <w:r w:rsidRPr="00D93874">
              <w:rPr>
                <w:rStyle w:val="NoteLabel"/>
              </w:rPr>
              <w:t>b</w:t>
            </w:r>
            <w:r w:rsidRPr="00D93874">
              <w:rPr>
                <w:rStyle w:val="NoteLabel"/>
                <w:b w:val="0"/>
              </w:rPr>
              <w:t> </w:t>
            </w:r>
            <w:r w:rsidRPr="00D93874">
              <w:t xml:space="preserve">Australian totals may not represent national totals because complete data are not available for all jurisdictions. </w:t>
            </w:r>
            <w:r w:rsidRPr="00D93874">
              <w:rPr>
                <w:rStyle w:val="NoteLabel"/>
              </w:rPr>
              <w:t>c</w:t>
            </w:r>
            <w:r w:rsidRPr="00D93874">
              <w:rPr>
                <w:rStyle w:val="NoteLabel"/>
                <w:b w:val="0"/>
              </w:rPr>
              <w:t> </w:t>
            </w:r>
            <w:r w:rsidRPr="00D93874">
              <w:t xml:space="preserve">There are no SOMIH data reported for Victoria (from 2009–10) or WA (from 2010–11) as SOMIH was transferred to other housing programs. </w:t>
            </w:r>
            <w:r w:rsidRPr="00D93874">
              <w:rPr>
                <w:rStyle w:val="NoteLabel"/>
              </w:rPr>
              <w:t xml:space="preserve">d </w:t>
            </w:r>
            <w:r w:rsidRPr="00D93874">
              <w:t xml:space="preserve">Due to inconsistencies in community housing reporting of CRA, comparisons across jurisdictions, over time or across providers may be misleading. </w:t>
            </w:r>
            <w:r w:rsidRPr="00D93874">
              <w:rPr>
                <w:b/>
              </w:rPr>
              <w:t>na</w:t>
            </w:r>
            <w:r w:rsidRPr="00D93874">
              <w:t xml:space="preserve"> Not available. .. Not applicable. – Nil or rounded to zero. </w:t>
            </w:r>
            <w:r w:rsidRPr="00D93874">
              <w:rPr>
                <w:b/>
              </w:rPr>
              <w:t>np</w:t>
            </w:r>
            <w:r w:rsidRPr="00D93874">
              <w:t xml:space="preserve"> Not published.</w:t>
            </w:r>
          </w:p>
        </w:tc>
      </w:tr>
      <w:tr w:rsidR="008C487D" w:rsidRPr="00D93874" w:rsidTr="00AB1E8F">
        <w:trPr>
          <w:cantSplit/>
        </w:trPr>
        <w:tc>
          <w:tcPr>
            <w:tcW w:w="5000" w:type="pct"/>
            <w:tcBorders>
              <w:top w:val="nil"/>
              <w:left w:val="nil"/>
              <w:bottom w:val="nil"/>
              <w:right w:val="nil"/>
            </w:tcBorders>
            <w:shd w:val="clear" w:color="auto" w:fill="auto"/>
          </w:tcPr>
          <w:p w:rsidR="008C487D" w:rsidRPr="00D93874" w:rsidRDefault="008C487D" w:rsidP="00FF35FF">
            <w:pPr>
              <w:pStyle w:val="Source"/>
            </w:pPr>
            <w:r w:rsidRPr="00D93874">
              <w:rPr>
                <w:i/>
              </w:rPr>
              <w:t xml:space="preserve">Source: </w:t>
            </w:r>
            <w:r w:rsidRPr="00D93874">
              <w:t xml:space="preserve">AIHW (unpublished) </w:t>
            </w:r>
            <w:r w:rsidRPr="00D93874">
              <w:rPr>
                <w:i/>
              </w:rPr>
              <w:t>National Housing Assistance Data Repository</w:t>
            </w:r>
            <w:r w:rsidR="00AB1E8F" w:rsidRPr="00D93874">
              <w:t xml:space="preserve">; table 17A.41; 2015 Report, </w:t>
            </w:r>
            <w:r w:rsidR="00AB1E8F" w:rsidRPr="00D93874">
              <w:br/>
              <w:t>table 17.7, p. 17.4</w:t>
            </w:r>
            <w:r w:rsidR="00B9316E" w:rsidRPr="00D93874">
              <w:t>5</w:t>
            </w:r>
            <w:r w:rsidR="00AB1E8F" w:rsidRPr="00D93874">
              <w:t>.</w:t>
            </w:r>
          </w:p>
        </w:tc>
      </w:tr>
      <w:tr w:rsidR="008C487D" w:rsidRPr="00D93874" w:rsidTr="00AB1E8F">
        <w:trPr>
          <w:cantSplit/>
        </w:trPr>
        <w:tc>
          <w:tcPr>
            <w:tcW w:w="5000" w:type="pct"/>
            <w:tcBorders>
              <w:top w:val="nil"/>
              <w:left w:val="nil"/>
              <w:bottom w:val="single" w:sz="6" w:space="0" w:color="78A22F" w:themeColor="accent1"/>
              <w:right w:val="nil"/>
            </w:tcBorders>
            <w:shd w:val="clear" w:color="auto" w:fill="auto"/>
          </w:tcPr>
          <w:p w:rsidR="008C487D" w:rsidRPr="00D93874" w:rsidRDefault="008C487D" w:rsidP="00FF35FF">
            <w:pPr>
              <w:pStyle w:val="Box"/>
              <w:spacing w:before="0" w:line="120" w:lineRule="exact"/>
            </w:pPr>
          </w:p>
        </w:tc>
      </w:tr>
      <w:tr w:rsidR="008C487D" w:rsidRPr="00D93874" w:rsidTr="00AB1E8F">
        <w:tc>
          <w:tcPr>
            <w:tcW w:w="5000" w:type="pct"/>
            <w:tcBorders>
              <w:top w:val="single" w:sz="6" w:space="0" w:color="78A22F" w:themeColor="accent1"/>
              <w:left w:val="nil"/>
              <w:bottom w:val="nil"/>
              <w:right w:val="nil"/>
            </w:tcBorders>
          </w:tcPr>
          <w:p w:rsidR="008C487D" w:rsidRPr="00D93874" w:rsidRDefault="008C487D" w:rsidP="00FF35FF">
            <w:pPr>
              <w:pStyle w:val="BoxSpaceBelow"/>
            </w:pPr>
          </w:p>
        </w:tc>
      </w:tr>
    </w:tbl>
    <w:p w:rsidR="008C487D" w:rsidRPr="00D93874" w:rsidRDefault="008C487D" w:rsidP="008C487D">
      <w:pPr>
        <w:pStyle w:val="Heading5"/>
        <w:spacing w:before="360"/>
      </w:pPr>
      <w:r w:rsidRPr="00D93874">
        <w:t>Match of dwelling to household size</w:t>
      </w:r>
    </w:p>
    <w:p w:rsidR="008C487D" w:rsidRPr="00D93874" w:rsidRDefault="008C487D" w:rsidP="008C487D">
      <w:pPr>
        <w:pStyle w:val="BodyText"/>
        <w:spacing w:after="240"/>
      </w:pPr>
      <w:r w:rsidRPr="00D93874">
        <w:t>‘Match of dwelling to household size’ is an indicator of governments’ objective to provide housing assistance that is appropriate to the needs of different households (box 17.1</w:t>
      </w:r>
      <w:r w:rsidR="00AB1E8F" w:rsidRPr="00D93874">
        <w:t>3</w:t>
      </w:r>
      <w:r w:rsidRPr="00D93874">
        <w:t xml:space="preserve">). The </w:t>
      </w:r>
      <w:r w:rsidRPr="00D93874">
        <w:lastRenderedPageBreak/>
        <w:t>objectives of community housing providers in providing housing assistance may be different to those of governments.</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AB1E8F">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AB1E8F">
            <w:pPr>
              <w:pStyle w:val="BoxTitle"/>
            </w:pPr>
            <w:r w:rsidRPr="00D93874">
              <w:rPr>
                <w:b w:val="0"/>
              </w:rPr>
              <w:t>Box 17.1</w:t>
            </w:r>
            <w:r w:rsidR="00AB1E8F" w:rsidRPr="00D93874">
              <w:rPr>
                <w:b w:val="0"/>
              </w:rPr>
              <w:t>3</w:t>
            </w:r>
            <w:r w:rsidRPr="00D93874">
              <w:tab/>
              <w:t>Match of dwelling to household size</w:t>
            </w:r>
          </w:p>
        </w:tc>
      </w:tr>
      <w:tr w:rsidR="008C487D" w:rsidRPr="00D93874" w:rsidTr="00AB1E8F">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‘Match of dwelling to household size’ is defined as the proportion of households that are overcrowded. Overcrowding is defined and measured using the Canadian National Occupancy Standard (CNOS) since 2010 under which overcrowding is deemed to have occurred if one or more additional bedrooms are required to meet the standard. The CNOS specifies that:</w:t>
            </w:r>
          </w:p>
          <w:p w:rsidR="008C487D" w:rsidRPr="00D93874" w:rsidRDefault="008C487D" w:rsidP="00FF35FF">
            <w:pPr>
              <w:pStyle w:val="BoxListBullet"/>
            </w:pPr>
            <w:r w:rsidRPr="00D93874">
              <w:t>there should be no more than two persons per bedroom</w:t>
            </w:r>
          </w:p>
          <w:p w:rsidR="008C487D" w:rsidRPr="00D93874" w:rsidRDefault="008C487D" w:rsidP="00FF35FF">
            <w:pPr>
              <w:pStyle w:val="BoxListBullet"/>
            </w:pPr>
            <w:r w:rsidRPr="00D93874">
              <w:t>a household of one unattached individual may reasonably occupy a bed-sit (i.e. have no bedroom)</w:t>
            </w:r>
          </w:p>
          <w:p w:rsidR="008C487D" w:rsidRPr="00D93874" w:rsidRDefault="008C487D" w:rsidP="00FF35FF">
            <w:pPr>
              <w:pStyle w:val="BoxListBullet"/>
            </w:pPr>
            <w:r w:rsidRPr="00D93874">
              <w:t>couples and parents should have a separate bedroom</w:t>
            </w:r>
          </w:p>
          <w:p w:rsidR="008C487D" w:rsidRPr="00D93874" w:rsidRDefault="008C487D" w:rsidP="00FF35FF">
            <w:pPr>
              <w:pStyle w:val="BoxListBullet"/>
            </w:pPr>
            <w:r w:rsidRPr="00D93874">
              <w:t>children less than five years of age, of different sexes, may reasonably share a room</w:t>
            </w:r>
          </w:p>
          <w:p w:rsidR="008C487D" w:rsidRPr="00D93874" w:rsidRDefault="008C487D" w:rsidP="00FF35FF">
            <w:pPr>
              <w:pStyle w:val="BoxListBullet"/>
            </w:pPr>
            <w:r w:rsidRPr="00D93874">
              <w:t>children five years of age or over, of different sexes, should not share a bedroom</w:t>
            </w:r>
          </w:p>
          <w:p w:rsidR="008C487D" w:rsidRPr="00D93874" w:rsidRDefault="008C487D" w:rsidP="00FF35FF">
            <w:pPr>
              <w:pStyle w:val="BoxListBullet"/>
            </w:pPr>
            <w:r w:rsidRPr="00D93874">
              <w:t>children less than 18 years of age and of the same sex may reasonably share a bedroom</w:t>
            </w:r>
          </w:p>
          <w:p w:rsidR="008C487D" w:rsidRPr="00D93874" w:rsidRDefault="008C487D" w:rsidP="00FF35FF">
            <w:pPr>
              <w:pStyle w:val="BoxListBullet"/>
            </w:pPr>
            <w:r w:rsidRPr="00D93874">
              <w:t>single household members aged 18 years or over should have a separate bedroom.</w:t>
            </w:r>
          </w:p>
          <w:p w:rsidR="008C487D" w:rsidRPr="00D93874" w:rsidRDefault="008C487D" w:rsidP="00FF35FF">
            <w:pPr>
              <w:pStyle w:val="Box"/>
            </w:pPr>
            <w:r w:rsidRPr="00D93874">
              <w:t>Households living in dwellings where this standard cannot be met are considered to be overcrowded. The CNOS enables a comparison of the number of bedrooms required with the actual number of bedrooms in the dwelling and is sensitive to both household size and household composition. State and Territory governments’ housing authorities bedroom entitlement policies may differ from the CNOS.</w:t>
            </w:r>
          </w:p>
          <w:p w:rsidR="008C487D" w:rsidRPr="00D93874" w:rsidRDefault="008C487D" w:rsidP="00FF35FF">
            <w:pPr>
              <w:pStyle w:val="Box"/>
            </w:pPr>
            <w:r w:rsidRPr="00D93874">
              <w:t>The agreed methodology for determining overcrowding requires the age, sex and relationship status of all tenants within a household to be known, as well as the number of bedrooms within the dwelling. Only households with complete information available are included in the calculation of the indicator.</w:t>
            </w:r>
          </w:p>
          <w:p w:rsidR="008C487D" w:rsidRPr="00D93874" w:rsidRDefault="008C487D" w:rsidP="00FF35FF">
            <w:pPr>
              <w:pStyle w:val="Box"/>
            </w:pPr>
            <w:r w:rsidRPr="00D93874">
              <w:t>Data for this indicator are reported for public housing, SOMIH, community housing and Indigenous community housing. The comparability and completeness of data reported for the indicator vary. Data reported are:</w:t>
            </w:r>
          </w:p>
          <w:p w:rsidR="008C487D" w:rsidRPr="00D93874" w:rsidRDefault="008C487D" w:rsidP="003D125A">
            <w:pPr>
              <w:pStyle w:val="BoxListBullet"/>
            </w:pPr>
            <w:r w:rsidRPr="00D93874">
              <w:t>comparable (subject to caveats) across jurisdictions but a break in series means that data for 2009–10 onward are not comparable to data for earlier years</w:t>
            </w:r>
          </w:p>
          <w:p w:rsidR="008C487D" w:rsidRPr="00D93874" w:rsidRDefault="008C487D" w:rsidP="003D125A">
            <w:pPr>
              <w:pStyle w:val="BoxListBullet"/>
            </w:pPr>
            <w:r w:rsidRPr="00D93874">
              <w:t>are not comparable across public housing, SOMIH and community housing</w:t>
            </w:r>
          </w:p>
          <w:p w:rsidR="008C487D" w:rsidRPr="00D93874" w:rsidRDefault="008C487D" w:rsidP="003D125A">
            <w:pPr>
              <w:pStyle w:val="BoxListBullet"/>
            </w:pPr>
            <w:r w:rsidRPr="00D93874">
              <w:t>complete for public housing and SOMIH for the current reporting period (subject to caveats). All required 2013–14 data are available for all jurisdictions providing the service</w:t>
            </w:r>
          </w:p>
          <w:p w:rsidR="008C487D" w:rsidRPr="00D93874" w:rsidRDefault="008C487D" w:rsidP="003D125A">
            <w:pPr>
              <w:pStyle w:val="BoxListBullet"/>
            </w:pPr>
            <w:r w:rsidRPr="00D93874">
              <w:t>incomplete for community housing. All required 2013–14 data were not available for Qld and the NT.</w:t>
            </w:r>
          </w:p>
          <w:p w:rsidR="008C487D" w:rsidRPr="00D93874" w:rsidRDefault="008C487D" w:rsidP="00FF35FF">
            <w:pPr>
              <w:pStyle w:val="Box"/>
            </w:pPr>
            <w:r w:rsidRPr="00D93874">
              <w:t xml:space="preserve">Data quality information for this indicator is at </w:t>
            </w:r>
            <w:proofErr w:type="spellStart"/>
            <w:r w:rsidR="00984569">
              <w:t>www.pc.gov.au</w:t>
            </w:r>
            <w:proofErr w:type="spellEnd"/>
            <w:r w:rsidR="00984569">
              <w:t>/research/recurring/report-on-government-services</w:t>
            </w:r>
            <w:r w:rsidRPr="00D93874">
              <w:t>.</w:t>
            </w:r>
          </w:p>
        </w:tc>
      </w:tr>
      <w:tr w:rsidR="008C487D" w:rsidRPr="00D93874" w:rsidTr="00AB1E8F">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AB1E8F">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spacing w:after="240"/>
      </w:pPr>
      <w:r w:rsidRPr="00D93874">
        <w:t xml:space="preserve">The proportion of overcrowded households varied across social housing programs and across jurisdictions. At 30 June 2014, </w:t>
      </w:r>
      <w:r w:rsidRPr="00D93874">
        <w:rPr>
          <w:color w:val="000000" w:themeColor="text1"/>
        </w:rPr>
        <w:t>10.2 per cent of SOMIH households were overcrowded</w:t>
      </w:r>
      <w:r w:rsidR="00AB1E8F" w:rsidRPr="00D93874">
        <w:t xml:space="preserve"> (figure 17.10</w:t>
      </w:r>
      <w:r w:rsidRPr="00D93874">
        <w:t>).</w:t>
      </w:r>
    </w:p>
    <w:p w:rsidR="008C487D" w:rsidRPr="00D93874" w:rsidRDefault="008C487D" w:rsidP="008C487D">
      <w:pPr>
        <w:pStyle w:val="BodyText"/>
      </w:pPr>
      <w:r w:rsidRPr="00D93874">
        <w:lastRenderedPageBreak/>
        <w:t>Information on unde</w:t>
      </w:r>
      <w:r w:rsidR="00AB1E8F" w:rsidRPr="00D93874">
        <w:t xml:space="preserve">rutilisation in </w:t>
      </w:r>
      <w:r w:rsidRPr="00D93874">
        <w:t xml:space="preserve">SOMIH </w:t>
      </w:r>
      <w:r w:rsidR="00AB1E8F" w:rsidRPr="00D93874">
        <w:t xml:space="preserve">dwellings is reported at table </w:t>
      </w:r>
      <w:r w:rsidRPr="00D93874">
        <w:t>17A.53.</w:t>
      </w:r>
    </w:p>
    <w:p w:rsidR="008C487D" w:rsidRPr="00D93874" w:rsidRDefault="008C487D" w:rsidP="007402C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AB1E8F">
        <w:tc>
          <w:tcPr>
            <w:tcW w:w="5000" w:type="pct"/>
            <w:tcBorders>
              <w:top w:val="single" w:sz="6" w:space="0" w:color="78A22F"/>
              <w:left w:val="nil"/>
              <w:bottom w:val="nil"/>
              <w:right w:val="nil"/>
            </w:tcBorders>
            <w:shd w:val="clear" w:color="auto" w:fill="auto"/>
          </w:tcPr>
          <w:p w:rsidR="008C487D" w:rsidRPr="00D93874" w:rsidRDefault="008C487D" w:rsidP="00AB1E8F">
            <w:pPr>
              <w:pStyle w:val="FigureTitle"/>
            </w:pPr>
            <w:r w:rsidRPr="00D93874">
              <w:rPr>
                <w:b w:val="0"/>
              </w:rPr>
              <w:t>Figure 17.1</w:t>
            </w:r>
            <w:r w:rsidR="00AB1E8F" w:rsidRPr="00D93874">
              <w:rPr>
                <w:b w:val="0"/>
              </w:rPr>
              <w:t>0</w:t>
            </w:r>
            <w:r w:rsidRPr="00D93874">
              <w:tab/>
              <w:t>Overcrow</w:t>
            </w:r>
            <w:r w:rsidR="00AB1E8F" w:rsidRPr="00D93874">
              <w:t xml:space="preserve">ded households, at 30 June (per </w:t>
            </w:r>
            <w:r w:rsidRPr="00D93874">
              <w:t>cent)</w:t>
            </w:r>
            <w:r w:rsidRPr="00D93874">
              <w:rPr>
                <w:rStyle w:val="NoteLabel"/>
                <w:b/>
              </w:rPr>
              <w:t>a</w:t>
            </w:r>
            <w:r w:rsidR="00AB1E8F" w:rsidRPr="00D93874">
              <w:rPr>
                <w:rStyle w:val="NoteLabel"/>
                <w:b/>
              </w:rPr>
              <w:t>, b</w:t>
            </w:r>
          </w:p>
        </w:tc>
      </w:tr>
      <w:tr w:rsidR="008C487D" w:rsidRPr="00D93874" w:rsidTr="00D93874">
        <w:trPr>
          <w:trHeight w:val="3508"/>
        </w:trPr>
        <w:tc>
          <w:tcPr>
            <w:tcW w:w="5000" w:type="pct"/>
            <w:tcBorders>
              <w:top w:val="nil"/>
              <w:left w:val="nil"/>
              <w:bottom w:val="nil"/>
              <w:right w:val="nil"/>
            </w:tcBorders>
            <w:shd w:val="clear" w:color="auto" w:fill="auto"/>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8C487D" w:rsidRPr="00D93874" w:rsidTr="00FF35FF">
              <w:tc>
                <w:tcPr>
                  <w:tcW w:w="5000" w:type="pct"/>
                  <w:tcBorders>
                    <w:top w:val="nil"/>
                    <w:bottom w:val="nil"/>
                  </w:tcBorders>
                </w:tcPr>
                <w:p w:rsidR="008C487D" w:rsidRPr="00D93874" w:rsidRDefault="008C487D" w:rsidP="00AB1E8F">
                  <w:pPr>
                    <w:pStyle w:val="Figure"/>
                    <w:spacing w:before="60" w:after="60"/>
                  </w:pPr>
                  <w:r w:rsidRPr="00D93874">
                    <w:rPr>
                      <w:rFonts w:ascii="Arial" w:hAnsi="Arial" w:cs="Arial"/>
                      <w:b/>
                      <w:noProof/>
                      <w:sz w:val="20"/>
                    </w:rPr>
                    <w:drawing>
                      <wp:inline distT="0" distB="0" distL="0" distR="0" wp14:anchorId="6862F5A2" wp14:editId="37763EB0">
                        <wp:extent cx="5381625" cy="1781175"/>
                        <wp:effectExtent l="0" t="0" r="9525" b="9525"/>
                        <wp:docPr id="33" name="Picture 33" descr="Figure 17.12 Overcrowded households, at 30 June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1625" cy="1781175"/>
                                </a:xfrm>
                                <a:prstGeom prst="rect">
                                  <a:avLst/>
                                </a:prstGeom>
                                <a:noFill/>
                                <a:ln>
                                  <a:noFill/>
                                </a:ln>
                              </pic:spPr>
                            </pic:pic>
                          </a:graphicData>
                        </a:graphic>
                      </wp:inline>
                    </w:drawing>
                  </w:r>
                </w:p>
              </w:tc>
            </w:tr>
          </w:tbl>
          <w:p w:rsidR="008C487D" w:rsidRPr="00D93874" w:rsidRDefault="007E0335" w:rsidP="00FF35FF">
            <w:pPr>
              <w:pStyle w:val="Figure"/>
            </w:pPr>
            <w:r w:rsidRPr="00D93874">
              <w:rPr>
                <w:noProof/>
              </w:rPr>
              <w:drawing>
                <wp:inline distT="0" distB="0" distL="0" distR="0" wp14:anchorId="4E4FC2EC" wp14:editId="64F5C188">
                  <wp:extent cx="5400000" cy="384450"/>
                  <wp:effectExtent l="0" t="0" r="0" b="0"/>
                  <wp:docPr id="9" name="Chart 9" descr="Figure 17.10 Overcrowded households, at 30 June (per cent)&#10;&#10;Legend to Figure&#10;&#10;More details can be found within the text surrounding this image. "/>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8C487D" w:rsidRPr="00D93874" w:rsidTr="00AB1E8F">
        <w:tc>
          <w:tcPr>
            <w:tcW w:w="5000" w:type="pct"/>
            <w:tcBorders>
              <w:top w:val="nil"/>
              <w:left w:val="nil"/>
              <w:bottom w:val="nil"/>
              <w:right w:val="nil"/>
            </w:tcBorders>
            <w:shd w:val="clear" w:color="auto" w:fill="auto"/>
          </w:tcPr>
          <w:p w:rsidR="008C487D" w:rsidRPr="00D93874" w:rsidRDefault="008C487D" w:rsidP="00AB1E8F">
            <w:pPr>
              <w:pStyle w:val="Note"/>
            </w:pPr>
            <w:r w:rsidRPr="00D93874">
              <w:rPr>
                <w:rStyle w:val="NoteLabel"/>
              </w:rPr>
              <w:t>a</w:t>
            </w:r>
            <w:r w:rsidRPr="00D93874">
              <w:t xml:space="preserve"> Data may not be comparable across jurisdictions and comparis</w:t>
            </w:r>
            <w:r w:rsidR="00AB1E8F" w:rsidRPr="00D93874">
              <w:t xml:space="preserve">ons could be misleading. </w:t>
            </w:r>
            <w:r w:rsidR="00AB1E8F" w:rsidRPr="00D93874">
              <w:br/>
              <w:t>Table 17A.47</w:t>
            </w:r>
            <w:r w:rsidRPr="00D93874">
              <w:t xml:space="preserve"> provide further information. </w:t>
            </w:r>
            <w:r w:rsidRPr="00D93874">
              <w:rPr>
                <w:rStyle w:val="NoteLabel"/>
              </w:rPr>
              <w:t xml:space="preserve">b </w:t>
            </w:r>
            <w:r w:rsidRPr="00D93874">
              <w:t xml:space="preserve">There are no SOMIH data reported for Victoria (from </w:t>
            </w:r>
            <w:r w:rsidRPr="00D93874">
              <w:br/>
              <w:t>2009–10) for WA (2010–11) as SOMIH was transfe</w:t>
            </w:r>
            <w:r w:rsidR="00AB1E8F" w:rsidRPr="00D93874">
              <w:t>rred to other housing programs.</w:t>
            </w:r>
          </w:p>
        </w:tc>
      </w:tr>
      <w:tr w:rsidR="008C487D" w:rsidRPr="00D93874" w:rsidTr="00AB1E8F">
        <w:tc>
          <w:tcPr>
            <w:tcW w:w="5000" w:type="pct"/>
            <w:tcBorders>
              <w:top w:val="nil"/>
              <w:left w:val="nil"/>
              <w:bottom w:val="nil"/>
              <w:right w:val="nil"/>
            </w:tcBorders>
            <w:shd w:val="clear" w:color="auto" w:fill="auto"/>
          </w:tcPr>
          <w:p w:rsidR="008C487D" w:rsidRPr="00D93874" w:rsidRDefault="008C487D" w:rsidP="00AB1E8F">
            <w:pPr>
              <w:pStyle w:val="Source"/>
            </w:pPr>
            <w:r w:rsidRPr="00D93874">
              <w:rPr>
                <w:i/>
              </w:rPr>
              <w:t>Source</w:t>
            </w:r>
            <w:r w:rsidRPr="00D93874">
              <w:t xml:space="preserve">: AIHW (unpublished) </w:t>
            </w:r>
            <w:r w:rsidRPr="00D93874">
              <w:rPr>
                <w:i/>
              </w:rPr>
              <w:t>National Housing Assistance Data Repository</w:t>
            </w:r>
            <w:r w:rsidR="00AB1E8F" w:rsidRPr="00D93874">
              <w:t xml:space="preserve">; table 17A.47; 2015 Report, </w:t>
            </w:r>
            <w:r w:rsidR="00AB1E8F" w:rsidRPr="00D93874">
              <w:br/>
              <w:t>figure 17.12, p. 17.4</w:t>
            </w:r>
            <w:r w:rsidR="00D56784" w:rsidRPr="00D93874">
              <w:t>7</w:t>
            </w:r>
            <w:r w:rsidR="00AB1E8F" w:rsidRPr="00D93874">
              <w:t>.</w:t>
            </w:r>
          </w:p>
        </w:tc>
      </w:tr>
      <w:tr w:rsidR="008C487D" w:rsidRPr="00D93874" w:rsidTr="00AB1E8F">
        <w:tc>
          <w:tcPr>
            <w:tcW w:w="5000" w:type="pct"/>
            <w:tcBorders>
              <w:top w:val="nil"/>
              <w:left w:val="nil"/>
              <w:bottom w:val="single" w:sz="6" w:space="0" w:color="78A22F"/>
              <w:right w:val="nil"/>
            </w:tcBorders>
            <w:shd w:val="clear" w:color="auto" w:fill="auto"/>
          </w:tcPr>
          <w:p w:rsidR="008C487D" w:rsidRPr="00D93874" w:rsidRDefault="008C487D" w:rsidP="00FF35FF">
            <w:pPr>
              <w:pStyle w:val="Figurespace"/>
            </w:pPr>
          </w:p>
        </w:tc>
      </w:tr>
      <w:tr w:rsidR="008C487D" w:rsidRPr="00D93874" w:rsidTr="00AB1E8F">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spacing w:after="240"/>
      </w:pPr>
      <w:r w:rsidRPr="00D93874">
        <w:t>Table 17.8 illustrates the proportion of overcrowded households in Indigenous community housing. However, complete data were not available for all jurisdictions, and these data may be an underestimate.</w:t>
      </w:r>
    </w:p>
    <w:p w:rsidR="008C487D" w:rsidRPr="00D93874" w:rsidRDefault="008C487D" w:rsidP="008C487D">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8C487D" w:rsidRPr="00D93874" w:rsidTr="009C456B">
        <w:tc>
          <w:tcPr>
            <w:tcW w:w="5000" w:type="pct"/>
            <w:tcBorders>
              <w:top w:val="single" w:sz="6" w:space="0" w:color="78A22F" w:themeColor="accent1"/>
              <w:left w:val="nil"/>
              <w:bottom w:val="nil"/>
              <w:right w:val="nil"/>
            </w:tcBorders>
            <w:shd w:val="clear" w:color="auto" w:fill="auto"/>
          </w:tcPr>
          <w:p w:rsidR="008C487D" w:rsidRPr="00D93874" w:rsidRDefault="008C487D" w:rsidP="00FF35FF">
            <w:pPr>
              <w:pStyle w:val="TableTitle"/>
            </w:pPr>
            <w:r w:rsidRPr="00D93874">
              <w:rPr>
                <w:b w:val="0"/>
              </w:rPr>
              <w:t>Table 17.8</w:t>
            </w:r>
            <w:r w:rsidRPr="00D93874">
              <w:tab/>
              <w:t>Proportion of overcrowded households in Indigenous community housing, at 30 June (per cent)</w:t>
            </w:r>
            <w:r w:rsidRPr="00D93874">
              <w:rPr>
                <w:rStyle w:val="NoteLabel"/>
                <w:b/>
              </w:rPr>
              <w:t>a, b</w:t>
            </w:r>
          </w:p>
        </w:tc>
      </w:tr>
      <w:tr w:rsidR="008C487D" w:rsidRPr="00D93874" w:rsidTr="009C456B">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775"/>
              <w:gridCol w:w="777"/>
              <w:gridCol w:w="779"/>
              <w:gridCol w:w="776"/>
              <w:gridCol w:w="774"/>
              <w:gridCol w:w="774"/>
              <w:gridCol w:w="774"/>
              <w:gridCol w:w="774"/>
              <w:gridCol w:w="774"/>
              <w:gridCol w:w="774"/>
              <w:gridCol w:w="753"/>
            </w:tblGrid>
            <w:tr w:rsidR="008C487D" w:rsidRPr="00D93874" w:rsidTr="009C456B">
              <w:tc>
                <w:tcPr>
                  <w:tcW w:w="455"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jc w:val="left"/>
                    <w:rPr>
                      <w:color w:val="000000" w:themeColor="text1"/>
                    </w:rPr>
                  </w:pPr>
                </w:p>
              </w:tc>
              <w:tc>
                <w:tcPr>
                  <w:tcW w:w="457"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rPr>
                      <w:color w:val="000000" w:themeColor="text1"/>
                    </w:rPr>
                  </w:pPr>
                  <w:r w:rsidRPr="00D93874">
                    <w:rPr>
                      <w:color w:val="000000" w:themeColor="text1"/>
                    </w:rPr>
                    <w:t>NSW</w:t>
                  </w:r>
                </w:p>
              </w:tc>
              <w:tc>
                <w:tcPr>
                  <w:tcW w:w="458"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Vic</w:t>
                  </w:r>
                </w:p>
              </w:tc>
              <w:tc>
                <w:tcPr>
                  <w:tcW w:w="456"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Qld</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WA</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SA</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Tas</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ACT</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NT</w:t>
                  </w:r>
                </w:p>
              </w:tc>
              <w:tc>
                <w:tcPr>
                  <w:tcW w:w="455" w:type="pct"/>
                  <w:tcBorders>
                    <w:top w:val="single" w:sz="4" w:space="0" w:color="BFBFBF" w:themeColor="background2"/>
                    <w:bottom w:val="single" w:sz="4" w:space="0" w:color="BFBFBF" w:themeColor="background2"/>
                  </w:tcBorders>
                </w:tcPr>
                <w:p w:rsidR="008C487D" w:rsidRPr="00D93874" w:rsidRDefault="008C487D" w:rsidP="00FF35FF">
                  <w:pPr>
                    <w:pStyle w:val="TableColumnHeading"/>
                    <w:rPr>
                      <w:color w:val="000000" w:themeColor="text1"/>
                    </w:rPr>
                  </w:pPr>
                  <w:r w:rsidRPr="00D93874">
                    <w:rPr>
                      <w:color w:val="000000" w:themeColor="text1"/>
                    </w:rPr>
                    <w:t>Aus Gov</w:t>
                  </w:r>
                </w:p>
              </w:tc>
              <w:tc>
                <w:tcPr>
                  <w:tcW w:w="443" w:type="pct"/>
                  <w:tcBorders>
                    <w:top w:val="single" w:sz="4" w:space="0" w:color="BFBFBF" w:themeColor="background2"/>
                    <w:bottom w:val="single" w:sz="4" w:space="0" w:color="BFBFBF" w:themeColor="background2"/>
                  </w:tcBorders>
                  <w:shd w:val="clear" w:color="auto" w:fill="auto"/>
                  <w:tcMar>
                    <w:top w:w="28" w:type="dxa"/>
                  </w:tcMar>
                </w:tcPr>
                <w:p w:rsidR="008C487D" w:rsidRPr="00D93874" w:rsidRDefault="008C487D" w:rsidP="00FF35FF">
                  <w:pPr>
                    <w:pStyle w:val="TableColumnHeading"/>
                    <w:rPr>
                      <w:color w:val="000000" w:themeColor="text1"/>
                    </w:rPr>
                  </w:pPr>
                  <w:r w:rsidRPr="00D93874">
                    <w:rPr>
                      <w:color w:val="000000" w:themeColor="text1"/>
                    </w:rPr>
                    <w:t>Aust</w:t>
                  </w:r>
                </w:p>
              </w:tc>
            </w:tr>
            <w:tr w:rsidR="008C487D" w:rsidRPr="00D93874" w:rsidTr="009C456B">
              <w:tc>
                <w:tcPr>
                  <w:tcW w:w="455" w:type="pct"/>
                  <w:tcBorders>
                    <w:top w:val="single" w:sz="4" w:space="0" w:color="BFBFBF" w:themeColor="background2"/>
                  </w:tcBorders>
                  <w:vAlign w:val="center"/>
                </w:tcPr>
                <w:p w:rsidR="008C487D" w:rsidRPr="00D93874" w:rsidRDefault="008C487D" w:rsidP="009C456B">
                  <w:pPr>
                    <w:pStyle w:val="TableBodyText"/>
                    <w:spacing w:before="60" w:after="0" w:line="240" w:lineRule="auto"/>
                    <w:ind w:left="0" w:right="0"/>
                    <w:jc w:val="left"/>
                    <w:rPr>
                      <w:color w:val="000000" w:themeColor="text1"/>
                    </w:rPr>
                  </w:pPr>
                  <w:r w:rsidRPr="00D93874">
                    <w:rPr>
                      <w:color w:val="000000" w:themeColor="text1"/>
                    </w:rPr>
                    <w:t>2009</w:t>
                  </w:r>
                </w:p>
              </w:tc>
              <w:tc>
                <w:tcPr>
                  <w:tcW w:w="457" w:type="pct"/>
                  <w:tcBorders>
                    <w:top w:val="single" w:sz="4" w:space="0" w:color="BFBFBF" w:themeColor="background2"/>
                  </w:tcBorders>
                  <w:vAlign w:val="center"/>
                </w:tcPr>
                <w:p w:rsidR="008C487D" w:rsidRPr="00D93874" w:rsidRDefault="008C487D" w:rsidP="009C456B">
                  <w:pPr>
                    <w:pStyle w:val="TableBodyText"/>
                    <w:spacing w:before="60"/>
                  </w:pPr>
                  <w:r w:rsidRPr="00D93874">
                    <w:t>25.1</w:t>
                  </w:r>
                </w:p>
              </w:tc>
              <w:tc>
                <w:tcPr>
                  <w:tcW w:w="458" w:type="pct"/>
                  <w:tcBorders>
                    <w:top w:val="single" w:sz="4" w:space="0" w:color="BFBFBF" w:themeColor="background2"/>
                  </w:tcBorders>
                  <w:vAlign w:val="center"/>
                </w:tcPr>
                <w:p w:rsidR="008C487D" w:rsidRPr="00D93874" w:rsidRDefault="008C487D" w:rsidP="009C456B">
                  <w:pPr>
                    <w:pStyle w:val="TableBodyText"/>
                    <w:spacing w:before="60"/>
                  </w:pPr>
                  <w:r w:rsidRPr="00D93874">
                    <w:t>0.8</w:t>
                  </w:r>
                </w:p>
              </w:tc>
              <w:tc>
                <w:tcPr>
                  <w:tcW w:w="456" w:type="pct"/>
                  <w:tcBorders>
                    <w:top w:val="single" w:sz="4" w:space="0" w:color="BFBFBF" w:themeColor="background2"/>
                  </w:tcBorders>
                  <w:vAlign w:val="center"/>
                </w:tcPr>
                <w:p w:rsidR="008C487D" w:rsidRPr="00D93874" w:rsidRDefault="008C487D" w:rsidP="009C456B">
                  <w:pPr>
                    <w:pStyle w:val="TableBodyText"/>
                    <w:spacing w:before="60"/>
                  </w:pPr>
                  <w:r w:rsidRPr="00D93874">
                    <w:t>32.5</w:t>
                  </w:r>
                </w:p>
              </w:tc>
              <w:tc>
                <w:tcPr>
                  <w:tcW w:w="455" w:type="pct"/>
                  <w:tcBorders>
                    <w:top w:val="single" w:sz="4" w:space="0" w:color="BFBFBF" w:themeColor="background2"/>
                  </w:tcBorders>
                  <w:vAlign w:val="center"/>
                </w:tcPr>
                <w:p w:rsidR="008C487D" w:rsidRPr="00D93874" w:rsidRDefault="008C487D" w:rsidP="009C456B">
                  <w:pPr>
                    <w:pStyle w:val="TableBodyText"/>
                    <w:spacing w:before="60"/>
                  </w:pPr>
                  <w:r w:rsidRPr="00D93874">
                    <w:t>na</w:t>
                  </w:r>
                </w:p>
              </w:tc>
              <w:tc>
                <w:tcPr>
                  <w:tcW w:w="455" w:type="pct"/>
                  <w:tcBorders>
                    <w:top w:val="single" w:sz="4" w:space="0" w:color="BFBFBF" w:themeColor="background2"/>
                  </w:tcBorders>
                  <w:vAlign w:val="center"/>
                </w:tcPr>
                <w:p w:rsidR="008C487D" w:rsidRPr="00D93874" w:rsidRDefault="008C487D" w:rsidP="009C456B">
                  <w:pPr>
                    <w:pStyle w:val="TableBodyText"/>
                    <w:spacing w:before="60"/>
                  </w:pPr>
                  <w:r w:rsidRPr="00D93874">
                    <w:t>31.8</w:t>
                  </w:r>
                </w:p>
              </w:tc>
              <w:tc>
                <w:tcPr>
                  <w:tcW w:w="455" w:type="pct"/>
                  <w:tcBorders>
                    <w:top w:val="single" w:sz="4" w:space="0" w:color="BFBFBF" w:themeColor="background2"/>
                  </w:tcBorders>
                  <w:vAlign w:val="center"/>
                </w:tcPr>
                <w:p w:rsidR="008C487D" w:rsidRPr="00D93874" w:rsidRDefault="008C487D" w:rsidP="009C456B">
                  <w:pPr>
                    <w:pStyle w:val="TableBodyText"/>
                    <w:spacing w:before="60"/>
                  </w:pPr>
                  <w:r w:rsidRPr="00D93874">
                    <w:t>..</w:t>
                  </w:r>
                </w:p>
              </w:tc>
              <w:tc>
                <w:tcPr>
                  <w:tcW w:w="455" w:type="pct"/>
                  <w:tcBorders>
                    <w:top w:val="single" w:sz="4" w:space="0" w:color="BFBFBF" w:themeColor="background2"/>
                  </w:tcBorders>
                  <w:vAlign w:val="center"/>
                </w:tcPr>
                <w:p w:rsidR="008C487D" w:rsidRPr="00D93874" w:rsidRDefault="008C487D" w:rsidP="009C456B">
                  <w:pPr>
                    <w:pStyle w:val="TableBodyText"/>
                    <w:spacing w:before="60"/>
                  </w:pPr>
                  <w:r w:rsidRPr="00D93874">
                    <w:t>–</w:t>
                  </w:r>
                </w:p>
              </w:tc>
              <w:tc>
                <w:tcPr>
                  <w:tcW w:w="455" w:type="pct"/>
                  <w:tcBorders>
                    <w:top w:val="single" w:sz="4" w:space="0" w:color="BFBFBF" w:themeColor="background2"/>
                  </w:tcBorders>
                  <w:vAlign w:val="center"/>
                </w:tcPr>
                <w:p w:rsidR="008C487D" w:rsidRPr="00D93874" w:rsidRDefault="008C487D" w:rsidP="009C456B">
                  <w:pPr>
                    <w:pStyle w:val="TableBodyText"/>
                    <w:spacing w:before="60"/>
                  </w:pPr>
                  <w:r w:rsidRPr="00D93874">
                    <w:t>na</w:t>
                  </w:r>
                </w:p>
              </w:tc>
              <w:tc>
                <w:tcPr>
                  <w:tcW w:w="455" w:type="pct"/>
                  <w:tcBorders>
                    <w:top w:val="single" w:sz="4" w:space="0" w:color="BFBFBF" w:themeColor="background2"/>
                  </w:tcBorders>
                  <w:vAlign w:val="center"/>
                </w:tcPr>
                <w:p w:rsidR="008C487D" w:rsidRPr="00D93874" w:rsidRDefault="008C487D" w:rsidP="009C456B">
                  <w:pPr>
                    <w:pStyle w:val="TableBodyText"/>
                    <w:spacing w:before="60"/>
                  </w:pPr>
                  <w:r w:rsidRPr="00D93874">
                    <w:t>13.7</w:t>
                  </w:r>
                </w:p>
              </w:tc>
              <w:tc>
                <w:tcPr>
                  <w:tcW w:w="443" w:type="pct"/>
                  <w:tcBorders>
                    <w:top w:val="single" w:sz="4" w:space="0" w:color="BFBFBF" w:themeColor="background2"/>
                  </w:tcBorders>
                  <w:vAlign w:val="center"/>
                </w:tcPr>
                <w:p w:rsidR="008C487D" w:rsidRPr="00D93874" w:rsidRDefault="008C487D" w:rsidP="009C456B">
                  <w:pPr>
                    <w:pStyle w:val="TableBodyText"/>
                    <w:spacing w:before="60"/>
                  </w:pPr>
                  <w:r w:rsidRPr="00D93874">
                    <w:t>na</w:t>
                  </w:r>
                </w:p>
              </w:tc>
            </w:tr>
            <w:tr w:rsidR="008C487D" w:rsidRPr="00D93874" w:rsidTr="00FF35FF">
              <w:tc>
                <w:tcPr>
                  <w:tcW w:w="455"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2010</w:t>
                  </w:r>
                </w:p>
              </w:tc>
              <w:tc>
                <w:tcPr>
                  <w:tcW w:w="457" w:type="pct"/>
                  <w:shd w:val="clear" w:color="auto" w:fill="auto"/>
                  <w:vAlign w:val="center"/>
                </w:tcPr>
                <w:p w:rsidR="008C487D" w:rsidRPr="00D93874" w:rsidRDefault="008C487D" w:rsidP="000D1E7F">
                  <w:pPr>
                    <w:pStyle w:val="TableBodyText"/>
                  </w:pPr>
                  <w:r w:rsidRPr="00D93874">
                    <w:t>na</w:t>
                  </w:r>
                </w:p>
              </w:tc>
              <w:tc>
                <w:tcPr>
                  <w:tcW w:w="458" w:type="pct"/>
                  <w:vAlign w:val="center"/>
                </w:tcPr>
                <w:p w:rsidR="008C487D" w:rsidRPr="00D93874" w:rsidRDefault="008C487D" w:rsidP="000D1E7F">
                  <w:pPr>
                    <w:pStyle w:val="TableBodyText"/>
                  </w:pPr>
                  <w:r w:rsidRPr="00D93874">
                    <w:t>6.3</w:t>
                  </w:r>
                </w:p>
              </w:tc>
              <w:tc>
                <w:tcPr>
                  <w:tcW w:w="456" w:type="pct"/>
                  <w:vAlign w:val="center"/>
                </w:tcPr>
                <w:p w:rsidR="008C487D" w:rsidRPr="00D93874" w:rsidRDefault="008C487D" w:rsidP="000D1E7F">
                  <w:pPr>
                    <w:pStyle w:val="TableBodyText"/>
                  </w:pPr>
                  <w:r w:rsidRPr="00D93874">
                    <w:t>43.8</w:t>
                  </w:r>
                </w:p>
              </w:tc>
              <w:tc>
                <w:tcPr>
                  <w:tcW w:w="455" w:type="pct"/>
                  <w:vAlign w:val="center"/>
                </w:tcPr>
                <w:p w:rsidR="008C487D" w:rsidRPr="00D93874" w:rsidRDefault="008C487D" w:rsidP="000D1E7F">
                  <w:pPr>
                    <w:pStyle w:val="TableBodyText"/>
                  </w:pPr>
                  <w:r w:rsidRPr="00D93874">
                    <w:t>28.4</w:t>
                  </w:r>
                </w:p>
              </w:tc>
              <w:tc>
                <w:tcPr>
                  <w:tcW w:w="455" w:type="pct"/>
                  <w:vAlign w:val="center"/>
                </w:tcPr>
                <w:p w:rsidR="008C487D" w:rsidRPr="00D93874" w:rsidRDefault="008C487D" w:rsidP="000D1E7F">
                  <w:pPr>
                    <w:pStyle w:val="TableBodyText"/>
                  </w:pPr>
                  <w:r w:rsidRPr="00D93874">
                    <w:t>48.4</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w:t>
                  </w:r>
                </w:p>
              </w:tc>
              <w:tc>
                <w:tcPr>
                  <w:tcW w:w="443" w:type="pct"/>
                  <w:shd w:val="clear" w:color="auto" w:fill="auto"/>
                  <w:vAlign w:val="center"/>
                </w:tcPr>
                <w:p w:rsidR="008C487D" w:rsidRPr="00D93874" w:rsidRDefault="008C487D" w:rsidP="000D1E7F">
                  <w:pPr>
                    <w:pStyle w:val="TableBodyText"/>
                  </w:pPr>
                  <w:r w:rsidRPr="00D93874">
                    <w:t>28.5</w:t>
                  </w:r>
                </w:p>
              </w:tc>
            </w:tr>
            <w:tr w:rsidR="008C487D" w:rsidRPr="00D93874" w:rsidTr="00FF35FF">
              <w:tc>
                <w:tcPr>
                  <w:tcW w:w="455"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2011</w:t>
                  </w:r>
                </w:p>
              </w:tc>
              <w:tc>
                <w:tcPr>
                  <w:tcW w:w="457" w:type="pct"/>
                  <w:shd w:val="clear" w:color="auto" w:fill="auto"/>
                  <w:vAlign w:val="center"/>
                </w:tcPr>
                <w:p w:rsidR="008C487D" w:rsidRPr="00D93874" w:rsidRDefault="008C487D" w:rsidP="000D1E7F">
                  <w:pPr>
                    <w:pStyle w:val="TableBodyText"/>
                  </w:pPr>
                  <w:r w:rsidRPr="00D93874">
                    <w:t>na</w:t>
                  </w:r>
                </w:p>
              </w:tc>
              <w:tc>
                <w:tcPr>
                  <w:tcW w:w="458" w:type="pct"/>
                  <w:vAlign w:val="center"/>
                </w:tcPr>
                <w:p w:rsidR="008C487D" w:rsidRPr="00D93874" w:rsidRDefault="008C487D" w:rsidP="000D1E7F">
                  <w:pPr>
                    <w:pStyle w:val="TableBodyText"/>
                  </w:pPr>
                  <w:r w:rsidRPr="00D93874">
                    <w:t>5.7</w:t>
                  </w:r>
                </w:p>
              </w:tc>
              <w:tc>
                <w:tcPr>
                  <w:tcW w:w="456" w:type="pct"/>
                  <w:vAlign w:val="center"/>
                </w:tcPr>
                <w:p w:rsidR="008C487D" w:rsidRPr="00D93874" w:rsidRDefault="008C487D" w:rsidP="000D1E7F">
                  <w:pPr>
                    <w:pStyle w:val="TableBodyText"/>
                  </w:pPr>
                  <w:r w:rsidRPr="00D93874">
                    <w:t>34.3</w:t>
                  </w:r>
                </w:p>
              </w:tc>
              <w:tc>
                <w:tcPr>
                  <w:tcW w:w="455" w:type="pct"/>
                  <w:vAlign w:val="center"/>
                </w:tcPr>
                <w:p w:rsidR="008C487D" w:rsidRPr="00D93874" w:rsidRDefault="008C487D" w:rsidP="000D1E7F">
                  <w:pPr>
                    <w:pStyle w:val="TableBodyText"/>
                  </w:pPr>
                  <w:r w:rsidRPr="00D93874">
                    <w:t>32.9</w:t>
                  </w:r>
                </w:p>
              </w:tc>
              <w:tc>
                <w:tcPr>
                  <w:tcW w:w="455" w:type="pct"/>
                  <w:vAlign w:val="center"/>
                </w:tcPr>
                <w:p w:rsidR="008C487D" w:rsidRPr="00D93874" w:rsidRDefault="008C487D" w:rsidP="000D1E7F">
                  <w:pPr>
                    <w:pStyle w:val="TableBodyText"/>
                  </w:pPr>
                  <w:r w:rsidRPr="00D93874">
                    <w:t>52.0</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w:t>
                  </w:r>
                </w:p>
              </w:tc>
              <w:tc>
                <w:tcPr>
                  <w:tcW w:w="443" w:type="pct"/>
                  <w:shd w:val="clear" w:color="auto" w:fill="auto"/>
                  <w:vAlign w:val="center"/>
                </w:tcPr>
                <w:p w:rsidR="008C487D" w:rsidRPr="00D93874" w:rsidRDefault="008C487D" w:rsidP="000D1E7F">
                  <w:pPr>
                    <w:pStyle w:val="TableBodyText"/>
                  </w:pPr>
                  <w:r w:rsidRPr="00D93874">
                    <w:t>30.8</w:t>
                  </w:r>
                </w:p>
              </w:tc>
            </w:tr>
            <w:tr w:rsidR="008C487D" w:rsidRPr="00D93874" w:rsidTr="009C456B">
              <w:tc>
                <w:tcPr>
                  <w:tcW w:w="455" w:type="pct"/>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2012</w:t>
                  </w:r>
                </w:p>
              </w:tc>
              <w:tc>
                <w:tcPr>
                  <w:tcW w:w="457" w:type="pct"/>
                  <w:shd w:val="clear" w:color="auto" w:fill="auto"/>
                  <w:vAlign w:val="center"/>
                </w:tcPr>
                <w:p w:rsidR="008C487D" w:rsidRPr="00D93874" w:rsidRDefault="008C487D" w:rsidP="000D1E7F">
                  <w:pPr>
                    <w:pStyle w:val="TableBodyText"/>
                  </w:pPr>
                  <w:r w:rsidRPr="00D93874">
                    <w:t>na</w:t>
                  </w:r>
                </w:p>
              </w:tc>
              <w:tc>
                <w:tcPr>
                  <w:tcW w:w="458" w:type="pct"/>
                  <w:vAlign w:val="center"/>
                </w:tcPr>
                <w:p w:rsidR="008C487D" w:rsidRPr="00D93874" w:rsidRDefault="008C487D" w:rsidP="000D1E7F">
                  <w:pPr>
                    <w:pStyle w:val="TableBodyText"/>
                  </w:pPr>
                  <w:r w:rsidRPr="00D93874">
                    <w:t>9.7</w:t>
                  </w:r>
                </w:p>
              </w:tc>
              <w:tc>
                <w:tcPr>
                  <w:tcW w:w="456" w:type="pct"/>
                  <w:vAlign w:val="center"/>
                </w:tcPr>
                <w:p w:rsidR="008C487D" w:rsidRPr="00D93874" w:rsidRDefault="008C487D" w:rsidP="000D1E7F">
                  <w:pPr>
                    <w:pStyle w:val="TableBodyText"/>
                  </w:pPr>
                  <w:r w:rsidRPr="00D93874">
                    <w:t>33.3</w:t>
                  </w:r>
                </w:p>
              </w:tc>
              <w:tc>
                <w:tcPr>
                  <w:tcW w:w="455" w:type="pct"/>
                  <w:vAlign w:val="center"/>
                </w:tcPr>
                <w:p w:rsidR="008C487D" w:rsidRPr="00D93874" w:rsidRDefault="008C487D" w:rsidP="000D1E7F">
                  <w:pPr>
                    <w:pStyle w:val="TableBodyText"/>
                  </w:pPr>
                  <w:r w:rsidRPr="00D93874">
                    <w:t>30.3</w:t>
                  </w:r>
                </w:p>
              </w:tc>
              <w:tc>
                <w:tcPr>
                  <w:tcW w:w="455" w:type="pct"/>
                  <w:vAlign w:val="center"/>
                </w:tcPr>
                <w:p w:rsidR="008C487D" w:rsidRPr="00D93874" w:rsidRDefault="008C487D" w:rsidP="000D1E7F">
                  <w:pPr>
                    <w:pStyle w:val="TableBodyText"/>
                  </w:pPr>
                  <w:r w:rsidRPr="00D93874">
                    <w:t>31.7</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na</w:t>
                  </w:r>
                </w:p>
              </w:tc>
              <w:tc>
                <w:tcPr>
                  <w:tcW w:w="455" w:type="pct"/>
                  <w:vAlign w:val="center"/>
                </w:tcPr>
                <w:p w:rsidR="008C487D" w:rsidRPr="00D93874" w:rsidRDefault="008C487D" w:rsidP="000D1E7F">
                  <w:pPr>
                    <w:pStyle w:val="TableBodyText"/>
                  </w:pPr>
                  <w:r w:rsidRPr="00D93874">
                    <w:t>..</w:t>
                  </w:r>
                </w:p>
              </w:tc>
              <w:tc>
                <w:tcPr>
                  <w:tcW w:w="443" w:type="pct"/>
                  <w:shd w:val="clear" w:color="auto" w:fill="auto"/>
                  <w:vAlign w:val="center"/>
                </w:tcPr>
                <w:p w:rsidR="008C487D" w:rsidRPr="00D93874" w:rsidRDefault="008C487D" w:rsidP="000D1E7F">
                  <w:pPr>
                    <w:pStyle w:val="TableBodyText"/>
                  </w:pPr>
                  <w:r w:rsidRPr="00D93874">
                    <w:t>26.1</w:t>
                  </w:r>
                </w:p>
              </w:tc>
            </w:tr>
            <w:tr w:rsidR="008C487D" w:rsidRPr="00D93874" w:rsidTr="009C456B">
              <w:tc>
                <w:tcPr>
                  <w:tcW w:w="455" w:type="pct"/>
                  <w:tcBorders>
                    <w:bottom w:val="single" w:sz="4" w:space="0" w:color="BFBFBF" w:themeColor="background2"/>
                  </w:tcBorders>
                  <w:shd w:val="clear" w:color="auto" w:fill="auto"/>
                  <w:vAlign w:val="center"/>
                </w:tcPr>
                <w:p w:rsidR="008C487D" w:rsidRPr="00D93874" w:rsidRDefault="008C487D" w:rsidP="00FF35FF">
                  <w:pPr>
                    <w:pStyle w:val="TableBodyText"/>
                    <w:spacing w:before="40" w:after="0" w:line="240" w:lineRule="auto"/>
                    <w:ind w:left="0" w:right="0"/>
                    <w:jc w:val="left"/>
                    <w:rPr>
                      <w:color w:val="000000" w:themeColor="text1"/>
                    </w:rPr>
                  </w:pPr>
                  <w:r w:rsidRPr="00D93874">
                    <w:rPr>
                      <w:color w:val="000000" w:themeColor="text1"/>
                    </w:rPr>
                    <w:t>2013</w:t>
                  </w:r>
                </w:p>
              </w:tc>
              <w:tc>
                <w:tcPr>
                  <w:tcW w:w="457" w:type="pct"/>
                  <w:tcBorders>
                    <w:bottom w:val="single" w:sz="4" w:space="0" w:color="BFBFBF" w:themeColor="background2"/>
                  </w:tcBorders>
                  <w:shd w:val="clear" w:color="auto" w:fill="auto"/>
                  <w:vAlign w:val="center"/>
                </w:tcPr>
                <w:p w:rsidR="008C487D" w:rsidRPr="00D93874" w:rsidRDefault="008C487D" w:rsidP="000D1E7F">
                  <w:pPr>
                    <w:pStyle w:val="TableBodyText"/>
                    <w:rPr>
                      <w:color w:val="000000" w:themeColor="text1"/>
                    </w:rPr>
                  </w:pPr>
                  <w:r w:rsidRPr="00D93874">
                    <w:rPr>
                      <w:color w:val="000000" w:themeColor="text1"/>
                    </w:rPr>
                    <w:t>na</w:t>
                  </w:r>
                </w:p>
              </w:tc>
              <w:tc>
                <w:tcPr>
                  <w:tcW w:w="458"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9.9</w:t>
                  </w:r>
                </w:p>
              </w:tc>
              <w:tc>
                <w:tcPr>
                  <w:tcW w:w="456"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31.9</w:t>
                  </w:r>
                </w:p>
              </w:tc>
              <w:tc>
                <w:tcPr>
                  <w:tcW w:w="455"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27.4</w:t>
                  </w:r>
                </w:p>
              </w:tc>
              <w:tc>
                <w:tcPr>
                  <w:tcW w:w="455"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na</w:t>
                  </w:r>
                </w:p>
              </w:tc>
              <w:tc>
                <w:tcPr>
                  <w:tcW w:w="455"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na</w:t>
                  </w:r>
                </w:p>
              </w:tc>
              <w:tc>
                <w:tcPr>
                  <w:tcW w:w="455"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na</w:t>
                  </w:r>
                </w:p>
              </w:tc>
              <w:tc>
                <w:tcPr>
                  <w:tcW w:w="455"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na</w:t>
                  </w:r>
                </w:p>
              </w:tc>
              <w:tc>
                <w:tcPr>
                  <w:tcW w:w="455" w:type="pct"/>
                  <w:tcBorders>
                    <w:bottom w:val="single" w:sz="4" w:space="0" w:color="BFBFBF" w:themeColor="background2"/>
                  </w:tcBorders>
                  <w:vAlign w:val="center"/>
                </w:tcPr>
                <w:p w:rsidR="008C487D" w:rsidRPr="00D93874" w:rsidRDefault="008C487D" w:rsidP="000D1E7F">
                  <w:pPr>
                    <w:pStyle w:val="TableBodyText"/>
                    <w:rPr>
                      <w:color w:val="000000" w:themeColor="text1"/>
                    </w:rPr>
                  </w:pPr>
                  <w:r w:rsidRPr="00D93874">
                    <w:rPr>
                      <w:color w:val="000000" w:themeColor="text1"/>
                    </w:rPr>
                    <w:t>..</w:t>
                  </w:r>
                </w:p>
              </w:tc>
              <w:tc>
                <w:tcPr>
                  <w:tcW w:w="443" w:type="pct"/>
                  <w:tcBorders>
                    <w:bottom w:val="single" w:sz="4" w:space="0" w:color="BFBFBF" w:themeColor="background2"/>
                  </w:tcBorders>
                  <w:shd w:val="clear" w:color="auto" w:fill="auto"/>
                  <w:vAlign w:val="center"/>
                </w:tcPr>
                <w:p w:rsidR="008C487D" w:rsidRPr="00D93874" w:rsidRDefault="008C487D" w:rsidP="000D1E7F">
                  <w:pPr>
                    <w:pStyle w:val="TableBodyText"/>
                    <w:rPr>
                      <w:color w:val="000000" w:themeColor="text1"/>
                    </w:rPr>
                  </w:pPr>
                  <w:r w:rsidRPr="00D93874">
                    <w:rPr>
                      <w:color w:val="000000" w:themeColor="text1"/>
                    </w:rPr>
                    <w:t>na</w:t>
                  </w:r>
                </w:p>
              </w:tc>
            </w:tr>
          </w:tbl>
          <w:p w:rsidR="008C487D" w:rsidRPr="00D93874" w:rsidRDefault="008C487D" w:rsidP="00FF35FF">
            <w:pPr>
              <w:pStyle w:val="Box"/>
            </w:pPr>
          </w:p>
        </w:tc>
      </w:tr>
      <w:tr w:rsidR="008C487D" w:rsidRPr="00D93874" w:rsidTr="009C456B">
        <w:trPr>
          <w:cantSplit/>
        </w:trPr>
        <w:tc>
          <w:tcPr>
            <w:tcW w:w="5000" w:type="pct"/>
            <w:tcBorders>
              <w:top w:val="nil"/>
              <w:left w:val="nil"/>
              <w:bottom w:val="nil"/>
              <w:right w:val="nil"/>
            </w:tcBorders>
            <w:shd w:val="clear" w:color="auto" w:fill="auto"/>
          </w:tcPr>
          <w:p w:rsidR="008C487D" w:rsidRPr="00D93874" w:rsidRDefault="008C487D" w:rsidP="00FF35FF">
            <w:pPr>
              <w:pStyle w:val="Note"/>
              <w:rPr>
                <w:i/>
              </w:rPr>
            </w:pPr>
            <w:r w:rsidRPr="00D93874">
              <w:rPr>
                <w:rStyle w:val="NoteLabel"/>
              </w:rPr>
              <w:t>a</w:t>
            </w:r>
            <w:r w:rsidRPr="00D93874">
              <w:t xml:space="preserve"> Data may not be comparable across jurisdictions and comparisons could be misleading. Table 17A.49 provides further information. </w:t>
            </w:r>
            <w:r w:rsidRPr="00D93874">
              <w:rPr>
                <w:rStyle w:val="NoteLabel"/>
              </w:rPr>
              <w:t>b</w:t>
            </w:r>
            <w:r w:rsidRPr="00D93874">
              <w:t xml:space="preserve"> Australian totals may not represent national totals because data were not available for all jurisdictions. </w:t>
            </w:r>
            <w:r w:rsidRPr="00D93874">
              <w:rPr>
                <w:b/>
              </w:rPr>
              <w:t>na</w:t>
            </w:r>
            <w:r w:rsidRPr="00D93874">
              <w:t xml:space="preserve"> Not available. </w:t>
            </w:r>
            <w:r w:rsidRPr="00D93874">
              <w:rPr>
                <w:b/>
              </w:rPr>
              <w:t>—</w:t>
            </w:r>
            <w:r w:rsidRPr="00D93874">
              <w:t xml:space="preserve"> nil or rounded to zero. </w:t>
            </w:r>
            <w:r w:rsidRPr="00D93874">
              <w:rPr>
                <w:b/>
              </w:rPr>
              <w:t xml:space="preserve">.. </w:t>
            </w:r>
            <w:r w:rsidRPr="00D93874">
              <w:t>not applicable.</w:t>
            </w:r>
          </w:p>
        </w:tc>
      </w:tr>
      <w:tr w:rsidR="008C487D" w:rsidRPr="00D93874" w:rsidTr="00AB1E8F">
        <w:trPr>
          <w:cantSplit/>
        </w:trPr>
        <w:tc>
          <w:tcPr>
            <w:tcW w:w="5000" w:type="pct"/>
            <w:tcBorders>
              <w:top w:val="nil"/>
              <w:left w:val="nil"/>
              <w:bottom w:val="nil"/>
              <w:right w:val="nil"/>
            </w:tcBorders>
            <w:shd w:val="clear" w:color="auto" w:fill="auto"/>
          </w:tcPr>
          <w:p w:rsidR="008C487D" w:rsidRPr="00D93874" w:rsidRDefault="008C487D" w:rsidP="00AB1E8F">
            <w:pPr>
              <w:pStyle w:val="Source"/>
            </w:pPr>
            <w:r w:rsidRPr="00D93874">
              <w:rPr>
                <w:i/>
              </w:rPr>
              <w:t>Source</w:t>
            </w:r>
            <w:r w:rsidRPr="00D93874">
              <w:t xml:space="preserve">: AIHW (unpublished) </w:t>
            </w:r>
            <w:r w:rsidRPr="00D93874">
              <w:rPr>
                <w:i/>
              </w:rPr>
              <w:t>National Housing Assistance Data Repository</w:t>
            </w:r>
            <w:r w:rsidR="00AB1E8F" w:rsidRPr="00D93874">
              <w:t xml:space="preserve">; table 17A.49; 2015 Report, </w:t>
            </w:r>
            <w:r w:rsidR="00AB1E8F" w:rsidRPr="00D93874">
              <w:br/>
              <w:t>table 17.8, p. 17.48.</w:t>
            </w:r>
          </w:p>
        </w:tc>
      </w:tr>
      <w:tr w:rsidR="008C487D" w:rsidRPr="00D93874" w:rsidTr="00AB1E8F">
        <w:trPr>
          <w:cantSplit/>
        </w:trPr>
        <w:tc>
          <w:tcPr>
            <w:tcW w:w="5000" w:type="pct"/>
            <w:tcBorders>
              <w:top w:val="nil"/>
              <w:left w:val="nil"/>
              <w:bottom w:val="single" w:sz="6" w:space="0" w:color="78A22F" w:themeColor="accent1"/>
              <w:right w:val="nil"/>
            </w:tcBorders>
            <w:shd w:val="clear" w:color="auto" w:fill="auto"/>
          </w:tcPr>
          <w:p w:rsidR="008C487D" w:rsidRPr="00D93874" w:rsidRDefault="008C487D" w:rsidP="00FF35FF">
            <w:pPr>
              <w:pStyle w:val="Box"/>
              <w:spacing w:before="0" w:line="120" w:lineRule="exact"/>
            </w:pPr>
          </w:p>
        </w:tc>
      </w:tr>
      <w:tr w:rsidR="008C487D" w:rsidRPr="00D93874" w:rsidTr="00AB1E8F">
        <w:tc>
          <w:tcPr>
            <w:tcW w:w="5000" w:type="pct"/>
            <w:tcBorders>
              <w:top w:val="single" w:sz="6" w:space="0" w:color="78A22F" w:themeColor="accent1"/>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spacing w:after="240"/>
      </w:pPr>
      <w:r w:rsidRPr="00D93874">
        <w:t>Other information relating to overcrowding of Aboriginal and Torres Strait Islander households in social housing includes:</w:t>
      </w:r>
    </w:p>
    <w:p w:rsidR="008C487D" w:rsidRPr="00D93874" w:rsidRDefault="008C487D" w:rsidP="008C487D">
      <w:pPr>
        <w:pStyle w:val="ListBullet"/>
        <w:spacing w:after="120"/>
      </w:pPr>
      <w:r w:rsidRPr="00D93874">
        <w:lastRenderedPageBreak/>
        <w:t>people living in overcrowded conditions in public housing and SO</w:t>
      </w:r>
      <w:r w:rsidR="00AB1E8F" w:rsidRPr="00D93874">
        <w:t xml:space="preserve">MIH, by remoteness area (tables </w:t>
      </w:r>
      <w:r w:rsidRPr="00D93874">
        <w:t>17A.50–51)</w:t>
      </w:r>
    </w:p>
    <w:p w:rsidR="008C487D" w:rsidRPr="00D93874" w:rsidRDefault="008C487D" w:rsidP="008C487D">
      <w:pPr>
        <w:pStyle w:val="ListBullet"/>
        <w:spacing w:before="240" w:after="240"/>
      </w:pPr>
      <w:r w:rsidRPr="00D93874">
        <w:t>the number of bedrooms required for people living in overcrowded conditions in Indigenous community housing (table 17A.52).</w:t>
      </w:r>
    </w:p>
    <w:p w:rsidR="008C487D" w:rsidRPr="00D93874" w:rsidRDefault="008C487D" w:rsidP="008C487D">
      <w:pPr>
        <w:pStyle w:val="Heading5"/>
        <w:spacing w:before="360"/>
      </w:pPr>
      <w:r w:rsidRPr="00D93874">
        <w:t>Customer satisfaction</w:t>
      </w:r>
    </w:p>
    <w:p w:rsidR="008C487D" w:rsidRPr="00D93874" w:rsidRDefault="008C487D" w:rsidP="008C487D">
      <w:pPr>
        <w:pStyle w:val="BodyText"/>
        <w:spacing w:after="240"/>
        <w:rPr>
          <w:szCs w:val="24"/>
        </w:rPr>
      </w:pPr>
      <w:r w:rsidRPr="00D93874">
        <w:t xml:space="preserve">‘Customer satisfaction’ is an indicator of governments’ objective to provide housing </w:t>
      </w:r>
      <w:r w:rsidRPr="00D93874">
        <w:rPr>
          <w:szCs w:val="24"/>
        </w:rPr>
        <w:t>assistance that is appropriate for different households (box 17.1</w:t>
      </w:r>
      <w:r w:rsidR="00AB1E8F" w:rsidRPr="00D93874">
        <w:rPr>
          <w:szCs w:val="24"/>
        </w:rPr>
        <w:t>4</w:t>
      </w:r>
      <w:r w:rsidRPr="00D93874">
        <w:rPr>
          <w:szCs w:val="24"/>
        </w:rPr>
        <w:t>).</w:t>
      </w:r>
    </w:p>
    <w:p w:rsidR="008C487D" w:rsidRPr="00D93874" w:rsidRDefault="008C487D" w:rsidP="008C487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C487D" w:rsidRPr="00D93874" w:rsidTr="00AB1E8F">
        <w:tc>
          <w:tcPr>
            <w:tcW w:w="5000" w:type="pct"/>
            <w:tcBorders>
              <w:top w:val="single" w:sz="6" w:space="0" w:color="78A22F"/>
              <w:left w:val="nil"/>
              <w:bottom w:val="nil"/>
              <w:right w:val="nil"/>
            </w:tcBorders>
            <w:shd w:val="clear" w:color="auto" w:fill="F2F2F2" w:themeFill="background1" w:themeFillShade="F2"/>
          </w:tcPr>
          <w:p w:rsidR="008C487D" w:rsidRPr="00D93874" w:rsidRDefault="008C487D" w:rsidP="00AB1E8F">
            <w:pPr>
              <w:pStyle w:val="BoxTitle"/>
            </w:pPr>
            <w:r w:rsidRPr="00D93874">
              <w:rPr>
                <w:b w:val="0"/>
              </w:rPr>
              <w:t>Box 17.1</w:t>
            </w:r>
            <w:r w:rsidR="00AB1E8F" w:rsidRPr="00D93874">
              <w:rPr>
                <w:b w:val="0"/>
              </w:rPr>
              <w:t>4</w:t>
            </w:r>
            <w:r w:rsidRPr="00D93874">
              <w:tab/>
              <w:t>Customer satisfaction</w:t>
            </w:r>
          </w:p>
        </w:tc>
      </w:tr>
      <w:tr w:rsidR="008C487D" w:rsidRPr="00D93874" w:rsidTr="00AB1E8F">
        <w:trPr>
          <w:cantSplit/>
        </w:trPr>
        <w:tc>
          <w:tcPr>
            <w:tcW w:w="5000" w:type="pct"/>
            <w:tcBorders>
              <w:top w:val="nil"/>
              <w:left w:val="nil"/>
              <w:bottom w:val="nil"/>
              <w:right w:val="nil"/>
            </w:tcBorders>
            <w:shd w:val="clear" w:color="auto" w:fill="F2F2F2" w:themeFill="background1" w:themeFillShade="F2"/>
          </w:tcPr>
          <w:p w:rsidR="008C487D" w:rsidRPr="00D93874" w:rsidRDefault="008C487D" w:rsidP="00FF35FF">
            <w:pPr>
              <w:pStyle w:val="Box"/>
            </w:pPr>
            <w:r w:rsidRPr="00D93874">
              <w:t>‘Customer satisfaction’ is defined as the proportion of tenants in social housing who said they were satisfied or very satisfied with the overall service provided by their housing service provider.</w:t>
            </w:r>
          </w:p>
          <w:p w:rsidR="008C487D" w:rsidRPr="00D93874" w:rsidRDefault="008C487D" w:rsidP="00FF35FF">
            <w:pPr>
              <w:pStyle w:val="Box"/>
            </w:pPr>
            <w:r w:rsidRPr="00D93874">
              <w:t>A high or increasing percentage for customer satisfaction can imply better housing assistance provision.</w:t>
            </w:r>
          </w:p>
          <w:p w:rsidR="008C487D" w:rsidRPr="00D93874" w:rsidRDefault="008C487D" w:rsidP="00FF35FF">
            <w:pPr>
              <w:pStyle w:val="Box"/>
            </w:pPr>
            <w:r w:rsidRPr="00D93874">
              <w:t>Data are reported for public housing, SOMIH and community housing. There were no data available for Indigenous community housing.</w:t>
            </w:r>
          </w:p>
          <w:p w:rsidR="008C487D" w:rsidRPr="00D93874" w:rsidRDefault="008C487D" w:rsidP="00FF35FF">
            <w:pPr>
              <w:pStyle w:val="Box"/>
            </w:pPr>
            <w:r w:rsidRPr="00D93874">
              <w:t xml:space="preserve">Data comparability and completeness vary for this indicator. Data reported are: </w:t>
            </w:r>
          </w:p>
          <w:p w:rsidR="008C487D" w:rsidRPr="00D93874" w:rsidRDefault="008C487D" w:rsidP="003D125A">
            <w:pPr>
              <w:pStyle w:val="BoxListBullet"/>
            </w:pPr>
            <w:r w:rsidRPr="00D93874">
              <w:t>comparable (subject to caveats) across jurisdictions for the current reporting period but are not comparable with data for 2012 and earlier surveys</w:t>
            </w:r>
          </w:p>
          <w:p w:rsidR="008C487D" w:rsidRPr="00D93874" w:rsidRDefault="008C487D" w:rsidP="003D125A">
            <w:pPr>
              <w:pStyle w:val="BoxListBullet"/>
            </w:pPr>
            <w:r w:rsidRPr="00D93874">
              <w:t>are not comparable across public housi</w:t>
            </w:r>
            <w:r w:rsidR="00AB1E8F" w:rsidRPr="00D93874">
              <w:t>ng, SOMIH and community housing</w:t>
            </w:r>
          </w:p>
          <w:p w:rsidR="008C487D" w:rsidRPr="00D93874" w:rsidRDefault="008C487D" w:rsidP="003D125A">
            <w:pPr>
              <w:pStyle w:val="BoxListBullet"/>
            </w:pPr>
            <w:r w:rsidRPr="00D93874">
              <w:t>complete for public housing and SOMIH for the current reporting period (subject to caveats). All required 2014 data are available for all jurisdictions providing the service</w:t>
            </w:r>
          </w:p>
          <w:p w:rsidR="008C487D" w:rsidRPr="00D93874" w:rsidRDefault="008C487D" w:rsidP="003D125A">
            <w:pPr>
              <w:pStyle w:val="BoxListBullet"/>
            </w:pPr>
            <w:r w:rsidRPr="00D93874">
              <w:t xml:space="preserve">incomplete for community housing. All required 2014 data were not available for the </w:t>
            </w:r>
            <w:r w:rsidR="00D56784" w:rsidRPr="00D93874">
              <w:t>Northern Territory.</w:t>
            </w:r>
          </w:p>
          <w:p w:rsidR="008C487D" w:rsidRPr="00D93874" w:rsidRDefault="008C487D" w:rsidP="00FF35FF">
            <w:pPr>
              <w:pStyle w:val="Box"/>
            </w:pPr>
            <w:r w:rsidRPr="00D93874">
              <w:t xml:space="preserve">Data quality information for this indicator is at </w:t>
            </w:r>
            <w:r w:rsidR="00984569">
              <w:t>www.pc.gov.au/research/recurring/report-on-government-services</w:t>
            </w:r>
            <w:r w:rsidRPr="00D93874">
              <w:t>.</w:t>
            </w:r>
          </w:p>
        </w:tc>
      </w:tr>
      <w:tr w:rsidR="008C487D" w:rsidRPr="00D93874" w:rsidTr="00AB1E8F">
        <w:trPr>
          <w:cantSplit/>
        </w:trPr>
        <w:tc>
          <w:tcPr>
            <w:tcW w:w="5000" w:type="pct"/>
            <w:tcBorders>
              <w:top w:val="nil"/>
              <w:left w:val="nil"/>
              <w:bottom w:val="single" w:sz="6" w:space="0" w:color="78A22F"/>
              <w:right w:val="nil"/>
            </w:tcBorders>
            <w:shd w:val="clear" w:color="auto" w:fill="F2F2F2" w:themeFill="background1" w:themeFillShade="F2"/>
          </w:tcPr>
          <w:p w:rsidR="008C487D" w:rsidRPr="00D93874" w:rsidRDefault="008C487D" w:rsidP="00FF35FF">
            <w:pPr>
              <w:pStyle w:val="Box"/>
              <w:spacing w:before="0" w:line="120" w:lineRule="exact"/>
            </w:pPr>
          </w:p>
        </w:tc>
      </w:tr>
      <w:tr w:rsidR="008C487D" w:rsidRPr="00D93874" w:rsidTr="00AB1E8F">
        <w:tc>
          <w:tcPr>
            <w:tcW w:w="5000" w:type="pct"/>
            <w:tcBorders>
              <w:top w:val="single" w:sz="6" w:space="0" w:color="78A22F"/>
              <w:left w:val="nil"/>
              <w:bottom w:val="nil"/>
              <w:right w:val="nil"/>
            </w:tcBorders>
          </w:tcPr>
          <w:p w:rsidR="008C487D" w:rsidRPr="00D93874" w:rsidRDefault="008C487D" w:rsidP="00FF35FF">
            <w:pPr>
              <w:pStyle w:val="BoxSpaceBelow"/>
            </w:pPr>
          </w:p>
        </w:tc>
      </w:tr>
    </w:tbl>
    <w:p w:rsidR="008C487D" w:rsidRPr="00D93874" w:rsidRDefault="008C487D" w:rsidP="008C487D">
      <w:pPr>
        <w:pStyle w:val="BodyText"/>
        <w:spacing w:after="240"/>
        <w:rPr>
          <w:color w:val="000000"/>
        </w:rPr>
      </w:pPr>
      <w:r w:rsidRPr="00D93874">
        <w:rPr>
          <w:color w:val="000000"/>
        </w:rPr>
        <w:t>Data for this indicator are sourced from the NSHS. Data from the 2014 survey are reported for public and community housing and SOMIH. Data from earlier surveys (2012, 2010 and 2007) were included in earlier reports.</w:t>
      </w:r>
    </w:p>
    <w:p w:rsidR="008C487D" w:rsidRPr="00D93874" w:rsidRDefault="008C487D" w:rsidP="004A66A7">
      <w:pPr>
        <w:pStyle w:val="BodyText"/>
        <w:spacing w:after="240"/>
        <w:rPr>
          <w:color w:val="000000" w:themeColor="text1"/>
        </w:rPr>
      </w:pPr>
      <w:r w:rsidRPr="00D93874">
        <w:rPr>
          <w:color w:val="000000"/>
        </w:rPr>
        <w:t>Nationally in 2014, the NSHS found that</w:t>
      </w:r>
      <w:r w:rsidR="00AD1633" w:rsidRPr="00D93874">
        <w:rPr>
          <w:color w:val="000000"/>
        </w:rPr>
        <w:t xml:space="preserve"> </w:t>
      </w:r>
      <w:r w:rsidRPr="00D93874">
        <w:rPr>
          <w:color w:val="000000"/>
        </w:rPr>
        <w:t>for SOMIH, 58.3 per cent of SOMIH responde</w:t>
      </w:r>
      <w:r w:rsidR="00AD1633" w:rsidRPr="00D93874">
        <w:rPr>
          <w:color w:val="000000"/>
        </w:rPr>
        <w:t xml:space="preserve">nts were either satisfied (44.9 per </w:t>
      </w:r>
      <w:r w:rsidRPr="00D93874">
        <w:rPr>
          <w:color w:val="000000"/>
        </w:rPr>
        <w:t>cent) or very satisfied (13.4 per cent) with the service provided by the</w:t>
      </w:r>
      <w:r w:rsidR="00AD1633" w:rsidRPr="00D93874">
        <w:rPr>
          <w:color w:val="000000"/>
        </w:rPr>
        <w:t xml:space="preserve"> State housing authority (table </w:t>
      </w:r>
      <w:r w:rsidRPr="00D93874">
        <w:rPr>
          <w:color w:val="000000"/>
        </w:rPr>
        <w:t>17A.35)</w:t>
      </w:r>
      <w:r w:rsidR="00AD1633" w:rsidRPr="00D93874">
        <w:rPr>
          <w:color w:val="000000"/>
        </w:rPr>
        <w:t>.</w:t>
      </w:r>
    </w:p>
    <w:p w:rsidR="008C487D" w:rsidRPr="00D93874" w:rsidRDefault="008C487D" w:rsidP="008C487D">
      <w:pPr>
        <w:pStyle w:val="BodyText"/>
      </w:pPr>
      <w:r w:rsidRPr="00D93874">
        <w:t xml:space="preserve">Confidence intervals at 95 per cent and relative standard errors for these data are in </w:t>
      </w:r>
      <w:r w:rsidR="004A66A7" w:rsidRPr="00D93874">
        <w:br/>
      </w:r>
      <w:r w:rsidRPr="00D93874">
        <w:t>table</w:t>
      </w:r>
      <w:r w:rsidR="004A66A7" w:rsidRPr="00D93874">
        <w:t xml:space="preserve"> 17A.35</w:t>
      </w:r>
      <w:r w:rsidRPr="00D93874">
        <w:t>.</w:t>
      </w:r>
    </w:p>
    <w:p w:rsidR="008C487D" w:rsidRPr="00D93874" w:rsidRDefault="008C487D" w:rsidP="008C487D">
      <w:pPr>
        <w:pStyle w:val="BodyText"/>
        <w:spacing w:before="360" w:after="120"/>
      </w:pPr>
      <w:r w:rsidRPr="00D93874">
        <w:t>The next NSHS is expected to be conducted in 2016.</w:t>
      </w:r>
    </w:p>
    <w:p w:rsidR="008C487D" w:rsidRPr="00D93874" w:rsidRDefault="008C487D" w:rsidP="004A66A7">
      <w:pPr>
        <w:pStyle w:val="Heading3"/>
      </w:pPr>
      <w:bookmarkStart w:id="35" w:name="_Toc314211350"/>
      <w:bookmarkStart w:id="36" w:name="_Toc396143033"/>
      <w:bookmarkStart w:id="37" w:name="_Toc411861014"/>
      <w:r w:rsidRPr="00D93874">
        <w:lastRenderedPageBreak/>
        <w:t>Future directions in performance reporting</w:t>
      </w:r>
      <w:bookmarkEnd w:id="33"/>
      <w:bookmarkEnd w:id="35"/>
      <w:bookmarkEnd w:id="36"/>
      <w:bookmarkEnd w:id="37"/>
    </w:p>
    <w:p w:rsidR="008C487D" w:rsidRPr="00D93874" w:rsidRDefault="008C487D" w:rsidP="004A66A7">
      <w:pPr>
        <w:pStyle w:val="Heading4"/>
      </w:pPr>
      <w:r w:rsidRPr="00D93874">
        <w:t>Further developing indicators and data</w:t>
      </w:r>
    </w:p>
    <w:p w:rsidR="008C487D" w:rsidRPr="00D93874" w:rsidRDefault="008C487D" w:rsidP="008C487D">
      <w:pPr>
        <w:pStyle w:val="BodyText"/>
      </w:pPr>
      <w:r w:rsidRPr="00D93874">
        <w:t>The Housing and Homelessness Working Group will continue to improve the quality of community housing, Indigenous community housing and financial data in this Report.</w:t>
      </w:r>
    </w:p>
    <w:p w:rsidR="008C487D" w:rsidRPr="00D93874" w:rsidRDefault="008C487D" w:rsidP="008C487D">
      <w:pPr>
        <w:pStyle w:val="BodyText"/>
      </w:pPr>
      <w:r w:rsidRPr="00D93874">
        <w:t>Development work is underway to enable better reporting on community housing (including Indigenous community housing).</w:t>
      </w:r>
    </w:p>
    <w:p w:rsidR="008C487D" w:rsidRPr="00D93874" w:rsidRDefault="008C487D" w:rsidP="004A66A7">
      <w:pPr>
        <w:pStyle w:val="Heading3"/>
      </w:pPr>
      <w:bookmarkStart w:id="38" w:name="_Toc314211352"/>
      <w:bookmarkStart w:id="39" w:name="_Toc396143035"/>
      <w:bookmarkStart w:id="40" w:name="_Toc411861015"/>
      <w:r w:rsidRPr="00D93874">
        <w:lastRenderedPageBreak/>
        <w:t xml:space="preserve">Definitions of key </w:t>
      </w:r>
      <w:bookmarkEnd w:id="34"/>
      <w:r w:rsidRPr="00D93874">
        <w:t>terms</w:t>
      </w:r>
      <w:bookmarkEnd w:id="38"/>
      <w:bookmarkEnd w:id="39"/>
      <w:bookmarkEnd w:id="40"/>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8C487D" w:rsidRPr="00D93874" w:rsidTr="00FF35FF">
        <w:tc>
          <w:tcPr>
            <w:tcW w:w="2410" w:type="dxa"/>
          </w:tcPr>
          <w:p w:rsidR="008C487D" w:rsidRPr="00D93874" w:rsidRDefault="008C487D" w:rsidP="00FF35FF">
            <w:pPr>
              <w:pStyle w:val="TableBodyText"/>
              <w:spacing w:before="120" w:after="120"/>
              <w:jc w:val="left"/>
            </w:pPr>
            <w:r w:rsidRPr="00D93874">
              <w:rPr>
                <w:b/>
              </w:rPr>
              <w:t>Aboriginal and Torres Strait Islander household</w:t>
            </w:r>
          </w:p>
        </w:tc>
        <w:tc>
          <w:tcPr>
            <w:tcW w:w="6379" w:type="dxa"/>
          </w:tcPr>
          <w:p w:rsidR="008C487D" w:rsidRPr="00D93874" w:rsidRDefault="008C487D" w:rsidP="00FF35FF">
            <w:pPr>
              <w:pStyle w:val="TableBodyText"/>
              <w:spacing w:before="120" w:after="120"/>
              <w:jc w:val="both"/>
            </w:pPr>
            <w:r w:rsidRPr="00D93874">
              <w:t>A household with one or more members (including children) who identify as Aboriginal and/or Torres Strait Islander.</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Administration costs</w:t>
            </w:r>
          </w:p>
        </w:tc>
        <w:tc>
          <w:tcPr>
            <w:tcW w:w="6379" w:type="dxa"/>
          </w:tcPr>
          <w:p w:rsidR="008C487D" w:rsidRPr="00D93874" w:rsidRDefault="008C487D" w:rsidP="00FF35FF">
            <w:pPr>
              <w:pStyle w:val="TableBodyText"/>
              <w:spacing w:before="120" w:after="120"/>
              <w:jc w:val="both"/>
            </w:pPr>
            <w:r w:rsidRPr="00D93874">
              <w:t>Those costs associated with the administration offices of the property manager and tenancy manager. They include the general accounting and personnel function costs relating to:</w:t>
            </w:r>
          </w:p>
          <w:p w:rsidR="008C487D" w:rsidRPr="00D93874" w:rsidRDefault="008C487D" w:rsidP="00FF35FF">
            <w:pPr>
              <w:pStyle w:val="TableBullet"/>
              <w:spacing w:before="120" w:after="120"/>
              <w:jc w:val="both"/>
            </w:pPr>
            <w:r w:rsidRPr="00D93874">
              <w:t>employee expenses (for example, superannuation, compensation, accrued leave and training)</w:t>
            </w:r>
          </w:p>
          <w:p w:rsidR="008C487D" w:rsidRPr="00D93874" w:rsidRDefault="008C487D" w:rsidP="00FF35FF">
            <w:pPr>
              <w:pStyle w:val="TableBullet"/>
              <w:spacing w:before="120" w:after="120"/>
              <w:jc w:val="both"/>
            </w:pPr>
            <w:r w:rsidRPr="00D93874">
              <w:t>supplies and services expenses (including stationery, postage, telephone, office equipment, information systems and vehicle expenses)</w:t>
            </w:r>
          </w:p>
          <w:p w:rsidR="008C487D" w:rsidRPr="00D93874" w:rsidRDefault="008C487D" w:rsidP="00FF35FF">
            <w:pPr>
              <w:pStyle w:val="TableBullet"/>
              <w:spacing w:before="120" w:after="120"/>
              <w:jc w:val="both"/>
            </w:pPr>
            <w:r w:rsidRPr="00D93874">
              <w:t>rent</w:t>
            </w:r>
          </w:p>
          <w:p w:rsidR="008C487D" w:rsidRPr="00D93874" w:rsidRDefault="008C487D" w:rsidP="00FF35FF">
            <w:pPr>
              <w:pStyle w:val="TableBullet"/>
              <w:spacing w:before="120" w:after="120"/>
              <w:jc w:val="both"/>
            </w:pPr>
            <w:r w:rsidRPr="00D93874">
              <w:t>grants and subsidies (excluding rental subsidies)</w:t>
            </w:r>
          </w:p>
          <w:p w:rsidR="008C487D" w:rsidRPr="00D93874" w:rsidRDefault="008C487D" w:rsidP="00FF35FF">
            <w:pPr>
              <w:pStyle w:val="TableBullet"/>
              <w:spacing w:before="120" w:after="120"/>
              <w:jc w:val="both"/>
            </w:pPr>
            <w:r w:rsidRPr="00D93874">
              <w:t>expenditure incurred by other government agencies on behalf of the public housing agency</w:t>
            </w:r>
          </w:p>
          <w:p w:rsidR="008C487D" w:rsidRPr="00D93874" w:rsidRDefault="008C487D" w:rsidP="00FF35FF">
            <w:pPr>
              <w:pStyle w:val="TableBullet"/>
              <w:spacing w:before="120" w:after="120"/>
              <w:jc w:val="both"/>
            </w:pPr>
            <w:r w:rsidRPr="00D93874">
              <w:t>contracted public housing management services.</w:t>
            </w:r>
          </w:p>
        </w:tc>
      </w:tr>
      <w:tr w:rsidR="008C487D" w:rsidRPr="00D93874" w:rsidTr="00FF35FF">
        <w:tc>
          <w:tcPr>
            <w:tcW w:w="2410" w:type="dxa"/>
          </w:tcPr>
          <w:p w:rsidR="008C487D" w:rsidRPr="00D93874" w:rsidRDefault="008C487D" w:rsidP="00FF35FF">
            <w:pPr>
              <w:pStyle w:val="TableBodyText"/>
              <w:spacing w:before="120" w:after="120"/>
              <w:jc w:val="left"/>
              <w:rPr>
                <w:b/>
              </w:rPr>
            </w:pPr>
            <w:r w:rsidRPr="00D93874">
              <w:rPr>
                <w:b/>
              </w:rPr>
              <w:t>Canadian National Occupancy Standard (CNOS)</w:t>
            </w:r>
          </w:p>
        </w:tc>
        <w:tc>
          <w:tcPr>
            <w:tcW w:w="6379" w:type="dxa"/>
          </w:tcPr>
          <w:p w:rsidR="008C487D" w:rsidRPr="00D93874" w:rsidRDefault="008C487D" w:rsidP="00FF35FF">
            <w:pPr>
              <w:pStyle w:val="TableBodyText"/>
              <w:spacing w:before="120" w:after="120"/>
              <w:jc w:val="both"/>
            </w:pPr>
            <w:r w:rsidRPr="00D93874">
              <w:t>A standardised measure of housing utilisation and overcrowding. This measure assesses a household's bedroom requirements by specifying that:</w:t>
            </w:r>
          </w:p>
          <w:p w:rsidR="008C487D" w:rsidRPr="00D93874" w:rsidRDefault="008C487D" w:rsidP="00FF35FF">
            <w:pPr>
              <w:pStyle w:val="TableBullet"/>
              <w:spacing w:before="120" w:after="120"/>
            </w:pPr>
            <w:r w:rsidRPr="00D93874">
              <w:t>there should be no more than two people per bedroom</w:t>
            </w:r>
          </w:p>
          <w:p w:rsidR="008C487D" w:rsidRPr="00D93874" w:rsidRDefault="008C487D" w:rsidP="00FF35FF">
            <w:pPr>
              <w:pStyle w:val="TableBullet"/>
              <w:spacing w:before="120" w:after="120"/>
            </w:pPr>
            <w:r w:rsidRPr="00D93874">
              <w:t>a household of one unattached individual may reasonably occupy a bed–sit (i.e. have no bedroom)</w:t>
            </w:r>
          </w:p>
          <w:p w:rsidR="008C487D" w:rsidRPr="00D93874" w:rsidRDefault="008C487D" w:rsidP="00FF35FF">
            <w:pPr>
              <w:pStyle w:val="TableBullet"/>
              <w:spacing w:before="120" w:after="120"/>
            </w:pPr>
            <w:r w:rsidRPr="00D93874">
              <w:t>couples and parents should have a separate bedroom</w:t>
            </w:r>
          </w:p>
          <w:p w:rsidR="008C487D" w:rsidRPr="00D93874" w:rsidRDefault="008C487D" w:rsidP="00FF35FF">
            <w:pPr>
              <w:pStyle w:val="TableBullet"/>
              <w:spacing w:before="120" w:after="120"/>
            </w:pPr>
            <w:r w:rsidRPr="00D93874">
              <w:t>children less than five years of age, of different sexes, may reasonably share a bedroom</w:t>
            </w:r>
          </w:p>
          <w:p w:rsidR="008C487D" w:rsidRPr="00D93874" w:rsidRDefault="008C487D" w:rsidP="00FF35FF">
            <w:pPr>
              <w:pStyle w:val="TableBullet"/>
              <w:spacing w:before="120" w:after="120"/>
            </w:pPr>
            <w:r w:rsidRPr="00D93874">
              <w:t>children five years of age or over, of the opposite sex, should not share a bedroom</w:t>
            </w:r>
          </w:p>
          <w:p w:rsidR="008C487D" w:rsidRPr="00D93874" w:rsidRDefault="008C487D" w:rsidP="00FF35FF">
            <w:pPr>
              <w:pStyle w:val="TableBullet"/>
              <w:spacing w:before="120" w:after="120"/>
            </w:pPr>
            <w:r w:rsidRPr="00D93874">
              <w:t>children less than 18 years of age and of the same sex may reasonably share a bedroom; and</w:t>
            </w:r>
          </w:p>
          <w:p w:rsidR="008C487D" w:rsidRPr="00D93874" w:rsidRDefault="008C487D" w:rsidP="00FF35FF">
            <w:pPr>
              <w:pStyle w:val="TableBullet"/>
              <w:spacing w:before="120" w:after="120"/>
            </w:pPr>
            <w:r w:rsidRPr="00D93874">
              <w:t>single household members aged 18 years or over should have a separate bedroom.</w:t>
            </w:r>
          </w:p>
        </w:tc>
      </w:tr>
      <w:tr w:rsidR="008C487D" w:rsidRPr="00D93874" w:rsidTr="00FF35FF">
        <w:tc>
          <w:tcPr>
            <w:tcW w:w="2410" w:type="dxa"/>
            <w:shd w:val="clear" w:color="auto" w:fill="auto"/>
          </w:tcPr>
          <w:p w:rsidR="008C487D" w:rsidRPr="00D93874" w:rsidRDefault="008C487D" w:rsidP="00FF35FF">
            <w:pPr>
              <w:pStyle w:val="TableBodyText"/>
              <w:spacing w:before="120" w:after="120"/>
              <w:jc w:val="left"/>
              <w:rPr>
                <w:b/>
              </w:rPr>
            </w:pPr>
            <w:r w:rsidRPr="00D93874">
              <w:rPr>
                <w:b/>
              </w:rPr>
              <w:t>Comparability</w:t>
            </w:r>
          </w:p>
        </w:tc>
        <w:tc>
          <w:tcPr>
            <w:tcW w:w="6379" w:type="dxa"/>
            <w:shd w:val="clear" w:color="auto" w:fill="auto"/>
          </w:tcPr>
          <w:p w:rsidR="008C487D" w:rsidRPr="00D93874" w:rsidRDefault="008C487D" w:rsidP="00FF35FF">
            <w:pPr>
              <w:pStyle w:val="TableBodyText"/>
              <w:spacing w:before="120" w:after="120"/>
              <w:jc w:val="both"/>
            </w:pPr>
            <w:r w:rsidRPr="00D93874">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8C487D" w:rsidRPr="00D93874" w:rsidTr="00FF35FF">
        <w:tc>
          <w:tcPr>
            <w:tcW w:w="2410" w:type="dxa"/>
            <w:shd w:val="clear" w:color="auto" w:fill="auto"/>
          </w:tcPr>
          <w:p w:rsidR="008C487D" w:rsidRPr="00D93874" w:rsidRDefault="008C487D" w:rsidP="00FF35FF">
            <w:pPr>
              <w:pStyle w:val="TableBodyText"/>
              <w:spacing w:before="120" w:after="120"/>
              <w:jc w:val="left"/>
              <w:rPr>
                <w:b/>
              </w:rPr>
            </w:pPr>
            <w:r w:rsidRPr="00D93874">
              <w:rPr>
                <w:b/>
              </w:rPr>
              <w:t>Completeness</w:t>
            </w:r>
          </w:p>
        </w:tc>
        <w:tc>
          <w:tcPr>
            <w:tcW w:w="6379" w:type="dxa"/>
            <w:shd w:val="clear" w:color="auto" w:fill="auto"/>
          </w:tcPr>
          <w:p w:rsidR="008C487D" w:rsidRPr="00D93874" w:rsidRDefault="008C487D" w:rsidP="00FF35FF">
            <w:pPr>
              <w:pStyle w:val="TableBodyText"/>
              <w:spacing w:before="120" w:after="120"/>
              <w:jc w:val="both"/>
            </w:pPr>
            <w:r w:rsidRPr="00D93874">
              <w:t>Data are considered complete if all required data are available for all jurisdictions that provide the service.</w:t>
            </w:r>
          </w:p>
        </w:tc>
      </w:tr>
      <w:tr w:rsidR="008C487D" w:rsidRPr="00D93874" w:rsidTr="00FF35FF">
        <w:tc>
          <w:tcPr>
            <w:tcW w:w="2410" w:type="dxa"/>
          </w:tcPr>
          <w:p w:rsidR="008C487D" w:rsidRPr="00D93874" w:rsidRDefault="0048218A" w:rsidP="00FF35FF">
            <w:pPr>
              <w:pStyle w:val="TableBodyText"/>
              <w:spacing w:before="120" w:after="120"/>
              <w:jc w:val="left"/>
              <w:rPr>
                <w:b/>
              </w:rPr>
            </w:pPr>
            <w:r w:rsidRPr="00D93874">
              <w:rPr>
                <w:b/>
              </w:rPr>
              <w:t>Confidence intervals</w:t>
            </w:r>
          </w:p>
        </w:tc>
        <w:tc>
          <w:tcPr>
            <w:tcW w:w="6379" w:type="dxa"/>
          </w:tcPr>
          <w:p w:rsidR="008C487D" w:rsidRPr="00D93874" w:rsidRDefault="008C487D" w:rsidP="00FF35FF">
            <w:pPr>
              <w:pStyle w:val="TableBodyText"/>
              <w:spacing w:before="120" w:after="120"/>
              <w:jc w:val="both"/>
            </w:pPr>
            <w:r w:rsidRPr="00D93874">
              <w:t>Survey data, for example data from the NSHS, are subject to sampling error because they are based on samples of the total population. Where survey data are shown in charts in this report, error bars are included, showing 95 per cent confidence intervals. There is a 95 per cent chance that the true value of the data item lies within the interval shown by the error bars.</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Depreciation costs</w:t>
            </w:r>
          </w:p>
        </w:tc>
        <w:tc>
          <w:tcPr>
            <w:tcW w:w="6379" w:type="dxa"/>
          </w:tcPr>
          <w:p w:rsidR="008C487D" w:rsidRPr="00D93874" w:rsidRDefault="008C487D" w:rsidP="00FF35FF">
            <w:pPr>
              <w:pStyle w:val="TableBodyText"/>
              <w:spacing w:before="120" w:after="120"/>
              <w:jc w:val="both"/>
            </w:pPr>
            <w:r w:rsidRPr="00D93874">
              <w:rPr>
                <w:snapToGrid w:val="0"/>
                <w:lang w:val="en-US"/>
              </w:rPr>
              <w:t>Depreciation calculated on a straight–line basis at a rate that realistically represents the useful life of the asset (as per the Australian Accounting Standards 13–17).</w:t>
            </w:r>
          </w:p>
        </w:tc>
      </w:tr>
    </w:tbl>
    <w:p w:rsidR="0048218A" w:rsidRPr="00D93874" w:rsidRDefault="0048218A">
      <w:r w:rsidRPr="00D93874">
        <w:br w:type="page"/>
      </w: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8C487D" w:rsidRPr="00D93874" w:rsidTr="00FF35FF">
        <w:tc>
          <w:tcPr>
            <w:tcW w:w="2410" w:type="dxa"/>
            <w:shd w:val="clear" w:color="auto" w:fill="auto"/>
          </w:tcPr>
          <w:p w:rsidR="008C487D" w:rsidRPr="00D93874" w:rsidRDefault="008C487D" w:rsidP="00FF35FF">
            <w:pPr>
              <w:pStyle w:val="TableBodyText"/>
              <w:spacing w:before="120" w:after="120"/>
              <w:jc w:val="left"/>
              <w:rPr>
                <w:snapToGrid w:val="0"/>
                <w:color w:val="000000" w:themeColor="text1"/>
                <w:lang w:val="en-US"/>
              </w:rPr>
            </w:pPr>
            <w:r w:rsidRPr="00D93874">
              <w:rPr>
                <w:b/>
                <w:snapToGrid w:val="0"/>
                <w:color w:val="000000" w:themeColor="text1"/>
              </w:rPr>
              <w:lastRenderedPageBreak/>
              <w:t>Disability</w:t>
            </w:r>
          </w:p>
        </w:tc>
        <w:tc>
          <w:tcPr>
            <w:tcW w:w="6379" w:type="dxa"/>
            <w:shd w:val="clear" w:color="auto" w:fill="auto"/>
          </w:tcPr>
          <w:p w:rsidR="008C487D" w:rsidRPr="00D93874" w:rsidRDefault="008C487D" w:rsidP="00570122">
            <w:pPr>
              <w:pStyle w:val="TableBodyText"/>
              <w:spacing w:before="120" w:after="120"/>
              <w:jc w:val="both"/>
              <w:rPr>
                <w:snapToGrid w:val="0"/>
                <w:color w:val="000000" w:themeColor="text1"/>
              </w:rPr>
            </w:pPr>
            <w:r w:rsidRPr="00D93874">
              <w:rPr>
                <w:snapToGrid w:val="0"/>
                <w:color w:val="000000" w:themeColor="text1"/>
              </w:rPr>
              <w:t>Households with a member with disability are defined as households in which at least one member always or sometimes needs assistance with self-care activities, body movement activities or communication, and the reason for needing assistance is either ‘long</w:t>
            </w:r>
            <w:r w:rsidRPr="00D93874">
              <w:rPr>
                <w:snapToGrid w:val="0"/>
                <w:color w:val="000000" w:themeColor="text1"/>
              </w:rPr>
              <w:noBreakHyphen/>
              <w:t>term health condition lasting six months or more’ or ‘disability’.</w:t>
            </w:r>
          </w:p>
        </w:tc>
      </w:tr>
      <w:tr w:rsidR="008C487D" w:rsidRPr="00D93874" w:rsidTr="00FF35FF">
        <w:tc>
          <w:tcPr>
            <w:tcW w:w="2410" w:type="dxa"/>
          </w:tcPr>
          <w:p w:rsidR="008C487D" w:rsidRPr="00D93874" w:rsidRDefault="008C487D" w:rsidP="00FF35FF">
            <w:pPr>
              <w:pStyle w:val="TableBodyText"/>
              <w:spacing w:before="120" w:after="120"/>
              <w:jc w:val="left"/>
              <w:rPr>
                <w:rFonts w:ascii="Times New Roman" w:hAnsi="Times New Roman"/>
              </w:rPr>
            </w:pPr>
            <w:r w:rsidRPr="00D93874">
              <w:br w:type="page"/>
            </w:r>
            <w:r w:rsidRPr="00D93874">
              <w:rPr>
                <w:rFonts w:ascii="Times New Roman" w:hAnsi="Times New Roman"/>
              </w:rPr>
              <w:br w:type="page"/>
            </w:r>
            <w:r w:rsidRPr="00D93874">
              <w:rPr>
                <w:b/>
              </w:rPr>
              <w:t>Dwelling</w:t>
            </w:r>
          </w:p>
        </w:tc>
        <w:tc>
          <w:tcPr>
            <w:tcW w:w="6379" w:type="dxa"/>
          </w:tcPr>
          <w:p w:rsidR="008C487D" w:rsidRPr="00D93874" w:rsidRDefault="008C487D" w:rsidP="00FF35FF">
            <w:pPr>
              <w:pStyle w:val="TableBodyText"/>
              <w:spacing w:before="120" w:after="120"/>
              <w:jc w:val="both"/>
            </w:pPr>
            <w:r w:rsidRPr="00D93874">
              <w:t>A structure or a discrete space within a structure intended for people to live in or where a person or group of people live. Thus, a structure that people actually live in is a dwelling regardless of its intended purpose, but a vacant structure is a dwelling only if intended for human residence. A dwelling may include one or more rooms that is/are used as an office or workshop, provided the dwelling is in residential use. Dwelling types include:</w:t>
            </w:r>
          </w:p>
          <w:p w:rsidR="008C487D" w:rsidRPr="00D93874" w:rsidRDefault="008C487D" w:rsidP="00FF35FF">
            <w:pPr>
              <w:pStyle w:val="TableBullet"/>
              <w:spacing w:before="120" w:after="120"/>
            </w:pPr>
            <w:r w:rsidRPr="00D93874">
              <w:t>a separate house</w:t>
            </w:r>
          </w:p>
          <w:p w:rsidR="008C487D" w:rsidRPr="00D93874" w:rsidRDefault="008C487D" w:rsidP="00FF35FF">
            <w:pPr>
              <w:pStyle w:val="TableBullet"/>
              <w:spacing w:before="120" w:after="120"/>
            </w:pPr>
            <w:r w:rsidRPr="00D93874">
              <w:t>a semi–detached, row or terrace house, townhouse, etc.</w:t>
            </w:r>
          </w:p>
          <w:p w:rsidR="008C487D" w:rsidRPr="00D93874" w:rsidRDefault="008C487D" w:rsidP="00FF35FF">
            <w:pPr>
              <w:pStyle w:val="TableBullet"/>
              <w:spacing w:before="120" w:after="120"/>
            </w:pPr>
            <w:r w:rsidRPr="00D93874">
              <w:t>a flat, unit or apartment; caravan, tent, cabin etc. either in or not in a caravan park; houseboat in marina, etc.</w:t>
            </w:r>
          </w:p>
          <w:p w:rsidR="008C487D" w:rsidRPr="00D93874" w:rsidRDefault="008C487D" w:rsidP="00FF35FF">
            <w:pPr>
              <w:pStyle w:val="TableBullet"/>
              <w:spacing w:before="120" w:after="120"/>
            </w:pPr>
            <w:r w:rsidRPr="00D93874">
              <w:t>an improvised home, tent, camper</w:t>
            </w:r>
          </w:p>
          <w:p w:rsidR="008C487D" w:rsidRPr="00D93874" w:rsidRDefault="008C487D" w:rsidP="00FF35FF">
            <w:pPr>
              <w:pStyle w:val="TableBullet"/>
              <w:spacing w:before="120" w:after="120"/>
            </w:pPr>
            <w:r w:rsidRPr="00D93874">
              <w:t>a house or flat attached to a shop, office, etc.</w:t>
            </w:r>
          </w:p>
          <w:p w:rsidR="008C487D" w:rsidRPr="00D93874" w:rsidRDefault="008C487D" w:rsidP="00FF35FF">
            <w:pPr>
              <w:pStyle w:val="TableBullet"/>
              <w:spacing w:before="120" w:after="120"/>
            </w:pPr>
            <w:r w:rsidRPr="00D93874">
              <w:t>a boarding/rooming house unit.</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Greatest need</w:t>
            </w:r>
          </w:p>
        </w:tc>
        <w:tc>
          <w:tcPr>
            <w:tcW w:w="6379" w:type="dxa"/>
          </w:tcPr>
          <w:p w:rsidR="008C487D" w:rsidRPr="00D93874" w:rsidRDefault="008C487D" w:rsidP="00FF35FF">
            <w:pPr>
              <w:pStyle w:val="TableBodyText"/>
              <w:spacing w:before="120" w:after="120"/>
              <w:jc w:val="both"/>
            </w:pPr>
            <w:r w:rsidRPr="00D93874">
              <w:t>Applies to low–income households if, at the time of allocation, household members were subject to one or more of the following circumstances:</w:t>
            </w:r>
          </w:p>
          <w:p w:rsidR="008C487D" w:rsidRPr="00D93874" w:rsidRDefault="008C487D" w:rsidP="00FF35FF">
            <w:pPr>
              <w:pStyle w:val="TableBullet"/>
              <w:spacing w:before="120" w:after="120"/>
            </w:pPr>
            <w:r w:rsidRPr="00D93874">
              <w:t>they were homeless</w:t>
            </w:r>
          </w:p>
          <w:p w:rsidR="008C487D" w:rsidRPr="00D93874" w:rsidRDefault="008C487D" w:rsidP="00FF35FF">
            <w:pPr>
              <w:pStyle w:val="TableBullet"/>
              <w:spacing w:before="120" w:after="120"/>
            </w:pPr>
            <w:r w:rsidRPr="00D93874">
              <w:t>their life or safety was at risk in their accommodation</w:t>
            </w:r>
          </w:p>
          <w:p w:rsidR="008C487D" w:rsidRPr="00D93874" w:rsidRDefault="008C487D" w:rsidP="00FF35FF">
            <w:pPr>
              <w:pStyle w:val="TableBullet"/>
              <w:spacing w:before="120" w:after="120"/>
            </w:pPr>
            <w:r w:rsidRPr="00D93874">
              <w:t>their health condition was aggravated by their housing</w:t>
            </w:r>
          </w:p>
          <w:p w:rsidR="008C487D" w:rsidRPr="00D93874" w:rsidRDefault="008C487D" w:rsidP="00FF35FF">
            <w:pPr>
              <w:pStyle w:val="TableBullet"/>
              <w:spacing w:before="120" w:after="120"/>
            </w:pPr>
            <w:r w:rsidRPr="00D93874">
              <w:t>their housing was inappropriate to their needs</w:t>
            </w:r>
          </w:p>
          <w:p w:rsidR="008C487D" w:rsidRPr="00D93874" w:rsidRDefault="008C487D" w:rsidP="00FF35FF">
            <w:pPr>
              <w:pStyle w:val="TableBullet"/>
              <w:spacing w:before="120" w:after="120"/>
            </w:pPr>
            <w:r w:rsidRPr="00D93874">
              <w:t>they had very high rental housing costs.</w:t>
            </w:r>
          </w:p>
          <w:p w:rsidR="008C487D" w:rsidRPr="00D93874" w:rsidRDefault="008C487D" w:rsidP="00FF35FF">
            <w:pPr>
              <w:pStyle w:val="TableBodyText"/>
              <w:spacing w:before="120" w:after="120"/>
              <w:jc w:val="both"/>
            </w:pPr>
            <w:r w:rsidRPr="00D93874">
              <w:t>A low–income household for the greatest need definition is a household that satisfies an eligibility test to receive housing assistance.</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Household</w:t>
            </w:r>
          </w:p>
        </w:tc>
        <w:tc>
          <w:tcPr>
            <w:tcW w:w="6379" w:type="dxa"/>
          </w:tcPr>
          <w:p w:rsidR="008C487D" w:rsidRPr="00D93874" w:rsidRDefault="008C487D" w:rsidP="00FF35FF">
            <w:pPr>
              <w:pStyle w:val="TableBodyText"/>
              <w:spacing w:before="120" w:after="120"/>
              <w:jc w:val="both"/>
            </w:pPr>
            <w:r w:rsidRPr="00D93874">
              <w:t xml:space="preserve">The grouping of people living in a dwelling. Household composition is based on couple and parent–child relationships. A </w:t>
            </w:r>
            <w:r w:rsidRPr="00D93874">
              <w:rPr>
                <w:i/>
                <w:iCs/>
              </w:rPr>
              <w:t xml:space="preserve">single-family </w:t>
            </w:r>
            <w:r w:rsidRPr="00D93874">
              <w:t xml:space="preserve">household contains a main tenant only, or a main tenant residing with a partner and/or the main tenant’s children. </w:t>
            </w:r>
            <w:r w:rsidRPr="00D93874">
              <w:rPr>
                <w:i/>
                <w:iCs/>
              </w:rPr>
              <w:t xml:space="preserve">Group households </w:t>
            </w:r>
            <w:r w:rsidRPr="00D93874">
              <w:t xml:space="preserve">consist of 2 or more tenants aged 16 or over who are not in a couple or parent–child relationship. </w:t>
            </w:r>
            <w:r w:rsidRPr="00D93874">
              <w:rPr>
                <w:i/>
                <w:iCs/>
              </w:rPr>
              <w:t xml:space="preserve">Mixed households </w:t>
            </w:r>
            <w:r w:rsidRPr="00D93874">
              <w:t>are households not described by the other two types—for example, multiple single-family households.</w:t>
            </w:r>
          </w:p>
          <w:p w:rsidR="008C487D" w:rsidRPr="00D93874" w:rsidRDefault="008C487D" w:rsidP="00FF35FF">
            <w:pPr>
              <w:pStyle w:val="TableBodyText"/>
              <w:spacing w:before="120" w:after="120"/>
              <w:jc w:val="both"/>
            </w:pPr>
            <w:r w:rsidRPr="00D93874">
              <w:t>For the purpose of the public housing, SOMIH and community and Indigenous community housing collections,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Low income household</w:t>
            </w:r>
          </w:p>
        </w:tc>
        <w:tc>
          <w:tcPr>
            <w:tcW w:w="6379" w:type="dxa"/>
          </w:tcPr>
          <w:p w:rsidR="008C487D" w:rsidRPr="00D93874" w:rsidRDefault="008C487D" w:rsidP="00FF35FF">
            <w:pPr>
              <w:pStyle w:val="TableBodyText"/>
              <w:spacing w:before="120" w:after="120"/>
              <w:jc w:val="both"/>
            </w:pPr>
            <w:r w:rsidRPr="00D93874">
              <w:t>A household whose equivalised gross income falls in the bottom two-fifths (40%) of the population. This measure does not necessarily indicate eligibility for government assistance targeted at low-income households, and assistance may also be provided to households that do not meet this definition. This definition differs from that used by the ABS; it uses different definitions of low income for different purposes.</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Market rent</w:t>
            </w:r>
          </w:p>
        </w:tc>
        <w:tc>
          <w:tcPr>
            <w:tcW w:w="6379" w:type="dxa"/>
          </w:tcPr>
          <w:p w:rsidR="008C487D" w:rsidRPr="00D93874" w:rsidRDefault="008C487D" w:rsidP="00FF35FF">
            <w:pPr>
              <w:pStyle w:val="TableBodyText"/>
              <w:spacing w:before="120" w:after="120"/>
              <w:jc w:val="both"/>
            </w:pPr>
            <w:r w:rsidRPr="00D93874">
              <w:t>Aggregate market rent that would be collected if the public rental housing properties were available in the private market.</w:t>
            </w:r>
          </w:p>
        </w:tc>
      </w:tr>
    </w:tbl>
    <w:p w:rsidR="0048218A" w:rsidRPr="00D93874" w:rsidRDefault="0048218A">
      <w:r w:rsidRPr="00D93874">
        <w:br w:type="page"/>
      </w: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8C487D" w:rsidRPr="00D93874" w:rsidTr="00FF35FF">
        <w:tc>
          <w:tcPr>
            <w:tcW w:w="2410" w:type="dxa"/>
          </w:tcPr>
          <w:p w:rsidR="008C487D" w:rsidRPr="00D93874" w:rsidRDefault="008C487D" w:rsidP="00FF35FF">
            <w:pPr>
              <w:pStyle w:val="TableBodyText"/>
              <w:spacing w:before="120" w:after="120"/>
              <w:jc w:val="left"/>
            </w:pPr>
            <w:r w:rsidRPr="00D93874">
              <w:rPr>
                <w:rFonts w:ascii="Times New Roman" w:hAnsi="Times New Roman"/>
              </w:rPr>
              <w:lastRenderedPageBreak/>
              <w:br w:type="page"/>
            </w:r>
            <w:r w:rsidRPr="00D93874">
              <w:rPr>
                <w:b/>
              </w:rPr>
              <w:t>New household</w:t>
            </w:r>
          </w:p>
        </w:tc>
        <w:tc>
          <w:tcPr>
            <w:tcW w:w="6379" w:type="dxa"/>
          </w:tcPr>
          <w:p w:rsidR="008C487D" w:rsidRPr="00D93874" w:rsidRDefault="008C487D" w:rsidP="00FF35FF">
            <w:pPr>
              <w:pStyle w:val="TableBodyText"/>
              <w:spacing w:before="120" w:after="120"/>
              <w:jc w:val="both"/>
            </w:pPr>
            <w:r w:rsidRPr="00D93874">
              <w:t>Households that commence receiving assistance during the relevant reporting period (financial year). A new household is recorded if the composition of the household changes i.e. if someone enters or leaves the household.</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rFonts w:ascii="Times New Roman" w:hAnsi="Times New Roman"/>
              </w:rPr>
              <w:br w:type="page"/>
            </w:r>
            <w:r w:rsidRPr="00D93874">
              <w:rPr>
                <w:b/>
              </w:rPr>
              <w:t>Occupancy rate</w:t>
            </w:r>
          </w:p>
        </w:tc>
        <w:tc>
          <w:tcPr>
            <w:tcW w:w="6379" w:type="dxa"/>
          </w:tcPr>
          <w:p w:rsidR="008C487D" w:rsidRPr="00D93874" w:rsidRDefault="008C487D" w:rsidP="00FF35FF">
            <w:pPr>
              <w:pStyle w:val="TableBodyText"/>
              <w:spacing w:before="120" w:after="120"/>
              <w:jc w:val="both"/>
            </w:pPr>
            <w:r w:rsidRPr="00D93874">
              <w:t>The number of dwellings occupied as a proportion of total dwellings.</w:t>
            </w:r>
          </w:p>
        </w:tc>
      </w:tr>
      <w:tr w:rsidR="008C487D" w:rsidRPr="00D93874" w:rsidTr="00FF35FF">
        <w:tc>
          <w:tcPr>
            <w:tcW w:w="2410" w:type="dxa"/>
          </w:tcPr>
          <w:p w:rsidR="008C487D" w:rsidRPr="00D93874" w:rsidRDefault="008C487D" w:rsidP="00FF35FF">
            <w:pPr>
              <w:pStyle w:val="TableBodyText"/>
              <w:spacing w:before="120" w:after="120"/>
              <w:jc w:val="left"/>
            </w:pPr>
            <w:r w:rsidRPr="00D93874">
              <w:br w:type="page"/>
            </w:r>
            <w:r w:rsidRPr="00D93874">
              <w:rPr>
                <w:b/>
              </w:rPr>
              <w:t>Overcrowding</w:t>
            </w:r>
          </w:p>
        </w:tc>
        <w:tc>
          <w:tcPr>
            <w:tcW w:w="6379" w:type="dxa"/>
          </w:tcPr>
          <w:p w:rsidR="008C487D" w:rsidRPr="00D93874" w:rsidRDefault="008C487D" w:rsidP="00FF35FF">
            <w:pPr>
              <w:pStyle w:val="TableBodyText"/>
              <w:spacing w:before="120" w:after="120"/>
              <w:jc w:val="both"/>
            </w:pPr>
            <w:r w:rsidRPr="00D93874">
              <w:rPr>
                <w:rFonts w:cs="Arial"/>
              </w:rPr>
              <w:t>A situation in a dwelling when one or more additional bedrooms are required to meet the Canadian National Occupancy Standard.</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Priority access to those in greatest need</w:t>
            </w:r>
          </w:p>
        </w:tc>
        <w:tc>
          <w:tcPr>
            <w:tcW w:w="6379" w:type="dxa"/>
          </w:tcPr>
          <w:p w:rsidR="008C487D" w:rsidRPr="00D93874" w:rsidRDefault="008C487D" w:rsidP="00FF35FF">
            <w:pPr>
              <w:pStyle w:val="TableBodyText"/>
              <w:spacing w:before="120" w:after="120"/>
              <w:jc w:val="both"/>
            </w:pPr>
            <w:r w:rsidRPr="00D93874">
              <w:t>Allocation processes to ensure those in greatest need have first access to housing. This is measured as the proportion of new allocations to those in greatest need.</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Principal tenant</w:t>
            </w:r>
          </w:p>
        </w:tc>
        <w:tc>
          <w:tcPr>
            <w:tcW w:w="6379" w:type="dxa"/>
          </w:tcPr>
          <w:p w:rsidR="008C487D" w:rsidRPr="00D93874" w:rsidRDefault="008C487D" w:rsidP="00FF35FF">
            <w:pPr>
              <w:pStyle w:val="TableBodyText"/>
              <w:spacing w:before="120" w:after="120"/>
              <w:jc w:val="both"/>
            </w:pPr>
            <w:r w:rsidRPr="00D93874">
              <w:t>The person whose name appears on the tenancy agreement. Where this is not clear, it should be the person who is responsible for rental payments.</w:t>
            </w:r>
          </w:p>
        </w:tc>
      </w:tr>
      <w:tr w:rsidR="008C487D" w:rsidRPr="00D93874" w:rsidTr="00FF35FF">
        <w:tc>
          <w:tcPr>
            <w:tcW w:w="2410" w:type="dxa"/>
          </w:tcPr>
          <w:p w:rsidR="008C487D" w:rsidRPr="00D93874" w:rsidRDefault="008C487D" w:rsidP="00FF35FF">
            <w:pPr>
              <w:pStyle w:val="TableBodyText"/>
              <w:spacing w:before="120" w:after="120"/>
              <w:jc w:val="left"/>
              <w:rPr>
                <w:b/>
              </w:rPr>
            </w:pPr>
            <w:r w:rsidRPr="00D93874">
              <w:rPr>
                <w:b/>
              </w:rPr>
              <w:t>Rebated household</w:t>
            </w:r>
          </w:p>
        </w:tc>
        <w:tc>
          <w:tcPr>
            <w:tcW w:w="6379" w:type="dxa"/>
          </w:tcPr>
          <w:p w:rsidR="008C487D" w:rsidRPr="00D93874" w:rsidRDefault="008C487D" w:rsidP="00FF35FF">
            <w:pPr>
              <w:pStyle w:val="TableBodyText"/>
              <w:spacing w:before="120" w:after="120"/>
              <w:jc w:val="both"/>
            </w:pPr>
            <w:r w:rsidRPr="00D93874">
              <w:t>A household that receives housing assistance and pays less than the market rent value for the dwelling.</w:t>
            </w:r>
          </w:p>
        </w:tc>
      </w:tr>
      <w:tr w:rsidR="008C487D" w:rsidRPr="00D93874" w:rsidTr="00FF35FF">
        <w:tc>
          <w:tcPr>
            <w:tcW w:w="2410" w:type="dxa"/>
          </w:tcPr>
          <w:p w:rsidR="008C487D" w:rsidRPr="00D93874" w:rsidRDefault="008C487D" w:rsidP="00FF35FF">
            <w:pPr>
              <w:pStyle w:val="TableBodyText"/>
              <w:spacing w:before="120" w:after="120"/>
              <w:jc w:val="left"/>
              <w:rPr>
                <w:b/>
              </w:rPr>
            </w:pPr>
            <w:r w:rsidRPr="00D93874">
              <w:rPr>
                <w:b/>
              </w:rPr>
              <w:t>Remoteness areas</w:t>
            </w:r>
          </w:p>
        </w:tc>
        <w:tc>
          <w:tcPr>
            <w:tcW w:w="6379" w:type="dxa"/>
          </w:tcPr>
          <w:p w:rsidR="008C487D" w:rsidRPr="00D93874" w:rsidRDefault="008C487D" w:rsidP="00FF35FF">
            <w:pPr>
              <w:pStyle w:val="TableBodyText"/>
              <w:spacing w:before="120" w:after="120"/>
              <w:jc w:val="both"/>
            </w:pPr>
            <w:r w:rsidRPr="00D93874">
              <w:t>An aggregation of non-continuous geographical areas which share common characteristics of remoteness. The delimitation criteria for remoteness areas (RAs) are based on the Accessibility/Remoteness Index or Australia (ARIA+) which measures the remoteness of a point based on the road distance to the nearest urban centre. Within the Australian Statistical Geography Standard, each RA is created from a grouping of Statistical Areas Level 1 having a particular degree of remoteness.</w:t>
            </w:r>
          </w:p>
          <w:p w:rsidR="008C487D" w:rsidRPr="00D93874" w:rsidRDefault="008C487D" w:rsidP="00FF35FF">
            <w:pPr>
              <w:pStyle w:val="TableBodyText"/>
              <w:spacing w:before="120" w:after="120"/>
              <w:jc w:val="both"/>
            </w:pPr>
            <w:r w:rsidRPr="00D93874">
              <w:t>Remoteness areas comprise the following six categories:</w:t>
            </w:r>
          </w:p>
          <w:p w:rsidR="008C487D" w:rsidRPr="00D93874" w:rsidRDefault="008C487D" w:rsidP="008C487D">
            <w:pPr>
              <w:pStyle w:val="TableBullet"/>
              <w:numPr>
                <w:ilvl w:val="0"/>
                <w:numId w:val="39"/>
              </w:numPr>
              <w:spacing w:before="120" w:after="120"/>
              <w:ind w:left="284" w:hanging="284"/>
              <w:jc w:val="both"/>
            </w:pPr>
            <w:r w:rsidRPr="00D93874">
              <w:t xml:space="preserve">major cities of Australia </w:t>
            </w:r>
          </w:p>
          <w:p w:rsidR="008C487D" w:rsidRPr="00D93874" w:rsidRDefault="008C487D" w:rsidP="008C487D">
            <w:pPr>
              <w:pStyle w:val="TableBullet"/>
              <w:numPr>
                <w:ilvl w:val="0"/>
                <w:numId w:val="39"/>
              </w:numPr>
              <w:spacing w:before="120" w:after="120"/>
              <w:ind w:left="284" w:hanging="284"/>
              <w:jc w:val="both"/>
            </w:pPr>
            <w:r w:rsidRPr="00D93874">
              <w:t xml:space="preserve">inner regional Australia </w:t>
            </w:r>
          </w:p>
          <w:p w:rsidR="008C487D" w:rsidRPr="00D93874" w:rsidRDefault="008C487D" w:rsidP="008C487D">
            <w:pPr>
              <w:pStyle w:val="TableBullet"/>
              <w:numPr>
                <w:ilvl w:val="0"/>
                <w:numId w:val="39"/>
              </w:numPr>
              <w:spacing w:before="120" w:after="120"/>
              <w:ind w:left="284" w:hanging="284"/>
              <w:jc w:val="both"/>
            </w:pPr>
            <w:r w:rsidRPr="00D93874">
              <w:t xml:space="preserve">outer regional Australia </w:t>
            </w:r>
          </w:p>
          <w:p w:rsidR="008C487D" w:rsidRPr="00D93874" w:rsidRDefault="008C487D" w:rsidP="008C487D">
            <w:pPr>
              <w:pStyle w:val="TableBullet"/>
              <w:numPr>
                <w:ilvl w:val="0"/>
                <w:numId w:val="39"/>
              </w:numPr>
              <w:spacing w:before="120" w:after="120"/>
              <w:ind w:left="284" w:hanging="284"/>
              <w:jc w:val="both"/>
            </w:pPr>
            <w:r w:rsidRPr="00D93874">
              <w:t xml:space="preserve">remote Australia </w:t>
            </w:r>
          </w:p>
          <w:p w:rsidR="008C487D" w:rsidRPr="00D93874" w:rsidRDefault="008C487D" w:rsidP="008C487D">
            <w:pPr>
              <w:pStyle w:val="TableBullet"/>
              <w:numPr>
                <w:ilvl w:val="0"/>
                <w:numId w:val="39"/>
              </w:numPr>
              <w:spacing w:before="120" w:after="120"/>
              <w:ind w:left="284" w:hanging="284"/>
              <w:jc w:val="both"/>
              <w:rPr>
                <w:szCs w:val="24"/>
              </w:rPr>
            </w:pPr>
            <w:r w:rsidRPr="00D93874">
              <w:t xml:space="preserve">very remote Australia </w:t>
            </w:r>
          </w:p>
          <w:p w:rsidR="008C487D" w:rsidRPr="00D93874" w:rsidRDefault="008C487D" w:rsidP="008C487D">
            <w:pPr>
              <w:pStyle w:val="TableBullet"/>
              <w:numPr>
                <w:ilvl w:val="0"/>
                <w:numId w:val="39"/>
              </w:numPr>
              <w:spacing w:before="120" w:after="120"/>
              <w:ind w:left="284" w:hanging="284"/>
              <w:jc w:val="both"/>
              <w:rPr>
                <w:szCs w:val="24"/>
              </w:rPr>
            </w:pPr>
            <w:r w:rsidRPr="00D93874">
              <w:t>migratory — off-shore — shipping.</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Rent charged</w:t>
            </w:r>
          </w:p>
        </w:tc>
        <w:tc>
          <w:tcPr>
            <w:tcW w:w="6379" w:type="dxa"/>
          </w:tcPr>
          <w:p w:rsidR="008C487D" w:rsidRPr="00D93874" w:rsidRDefault="008C487D" w:rsidP="00FF35FF">
            <w:pPr>
              <w:pStyle w:val="TableBodyText"/>
              <w:spacing w:before="120" w:after="120"/>
              <w:jc w:val="both"/>
            </w:pPr>
            <w:r w:rsidRPr="00D93874">
              <w:t>The amount in dollars that households are charged based on the rents they are expected to pay. The rents charged to tenants may or may not have been received.</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Special needs household</w:t>
            </w:r>
          </w:p>
        </w:tc>
        <w:tc>
          <w:tcPr>
            <w:tcW w:w="6379" w:type="dxa"/>
          </w:tcPr>
          <w:p w:rsidR="008C487D" w:rsidRPr="00D93874" w:rsidRDefault="008C487D" w:rsidP="00570122">
            <w:pPr>
              <w:pStyle w:val="TableBodyText"/>
              <w:spacing w:before="120" w:after="120"/>
              <w:jc w:val="both"/>
            </w:pPr>
            <w:r w:rsidRPr="00D93874">
              <w:t>Households that have a member with disability, a main tenant aged</w:t>
            </w:r>
            <w:r w:rsidR="00570122">
              <w:t xml:space="preserve"> </w:t>
            </w:r>
            <w:r w:rsidRPr="00D93874">
              <w:t>under 25 or 75 and over, or households defined as Indigenous households. Indigenous households in SOMIH are not considered special needs households, as SOMIH is an Indigenous–targeted program. For SOMIH, special needs households are those that have either a household member with disability or a principal tenant aged 24 years or under, or 50 years or over.</w:t>
            </w:r>
          </w:p>
        </w:tc>
      </w:tr>
      <w:tr w:rsidR="008C487D" w:rsidRPr="00D93874" w:rsidTr="00FF35FF">
        <w:tc>
          <w:tcPr>
            <w:tcW w:w="2410" w:type="dxa"/>
          </w:tcPr>
          <w:p w:rsidR="008C487D" w:rsidRPr="00D93874" w:rsidRDefault="008C487D" w:rsidP="00FF35FF">
            <w:pPr>
              <w:pStyle w:val="TableBodyText"/>
              <w:spacing w:before="120" w:after="120"/>
              <w:jc w:val="left"/>
              <w:rPr>
                <w:snapToGrid w:val="0"/>
                <w:lang w:val="en-US"/>
              </w:rPr>
            </w:pPr>
            <w:r w:rsidRPr="00D93874">
              <w:rPr>
                <w:b/>
              </w:rPr>
              <w:t>Tenancy (rental) unit</w:t>
            </w:r>
          </w:p>
        </w:tc>
        <w:tc>
          <w:tcPr>
            <w:tcW w:w="6379" w:type="dxa"/>
          </w:tcPr>
          <w:p w:rsidR="008C487D" w:rsidRPr="00D93874" w:rsidRDefault="008C487D" w:rsidP="00FF35FF">
            <w:pPr>
              <w:pStyle w:val="TableBodyText"/>
              <w:spacing w:before="120" w:after="120"/>
              <w:jc w:val="both"/>
              <w:rPr>
                <w:snapToGrid w:val="0"/>
                <w:lang w:val="en-US"/>
              </w:rPr>
            </w:pPr>
            <w:r w:rsidRPr="00D93874">
              <w:t>A tenancy (rental) unit is the unit of accommodation for which a rental agreement can be made. In the majority of cases, there will be only one tenancy (rental) unit within a dwelling; in a small number of cases (for example, boarding houses, special group homes, semi–institutional dwellings), there may be more than one tenancy (rental) unit.</w:t>
            </w:r>
          </w:p>
        </w:tc>
      </w:tr>
    </w:tbl>
    <w:p w:rsidR="002B6C88" w:rsidRPr="00D93874" w:rsidRDefault="002B6C88">
      <w:r w:rsidRPr="00D93874">
        <w:br w:type="page"/>
      </w: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8C487D" w:rsidRPr="00D93874" w:rsidTr="00FF35FF">
        <w:tc>
          <w:tcPr>
            <w:tcW w:w="2410" w:type="dxa"/>
          </w:tcPr>
          <w:p w:rsidR="008C487D" w:rsidRPr="00D93874" w:rsidRDefault="008C487D" w:rsidP="00FF35FF">
            <w:pPr>
              <w:pStyle w:val="TableBodyText"/>
              <w:spacing w:before="120" w:after="120"/>
              <w:jc w:val="left"/>
            </w:pPr>
            <w:r w:rsidRPr="00D93874">
              <w:rPr>
                <w:b/>
              </w:rPr>
              <w:lastRenderedPageBreak/>
              <w:t>Total gross household income</w:t>
            </w:r>
          </w:p>
        </w:tc>
        <w:tc>
          <w:tcPr>
            <w:tcW w:w="6379" w:type="dxa"/>
          </w:tcPr>
          <w:p w:rsidR="008C487D" w:rsidRPr="00D93874" w:rsidRDefault="008C487D" w:rsidP="00FF35FF">
            <w:pPr>
              <w:pStyle w:val="TableBodyText"/>
              <w:spacing w:before="120" w:after="120"/>
              <w:jc w:val="both"/>
            </w:pPr>
            <w:r w:rsidRPr="00D93874">
              <w:t>The value of gross weekly income from all sources (before deductions for income tax, superannuation etc.) for all household members, expressed as dollars per week. The main components of gross income are current usual wages and salary; income derived from self–employment, government pensions, benefits and allowances; and other income comprising investments and other regular income. CRA payments are not included as income.</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Turnaround time</w:t>
            </w:r>
          </w:p>
        </w:tc>
        <w:tc>
          <w:tcPr>
            <w:tcW w:w="6379" w:type="dxa"/>
          </w:tcPr>
          <w:p w:rsidR="008C487D" w:rsidRPr="00D93874" w:rsidRDefault="008C487D" w:rsidP="00FF35FF">
            <w:pPr>
              <w:pStyle w:val="TableBodyText"/>
              <w:spacing w:before="120" w:after="120"/>
              <w:jc w:val="both"/>
            </w:pPr>
            <w:r w:rsidRPr="00D93874">
              <w:t>The average time taken in days for vacant dwellings, which are available for letting, to be occupied.</w:t>
            </w:r>
          </w:p>
        </w:tc>
      </w:tr>
      <w:tr w:rsidR="008C487D" w:rsidRPr="00D93874" w:rsidTr="00FF35FF">
        <w:tc>
          <w:tcPr>
            <w:tcW w:w="2410" w:type="dxa"/>
          </w:tcPr>
          <w:p w:rsidR="008C487D" w:rsidRPr="00D93874" w:rsidRDefault="008C487D" w:rsidP="00FF35FF">
            <w:pPr>
              <w:pStyle w:val="TableBodyText"/>
              <w:spacing w:before="120" w:after="120"/>
              <w:jc w:val="left"/>
            </w:pPr>
            <w:r w:rsidRPr="00D93874">
              <w:rPr>
                <w:b/>
              </w:rPr>
              <w:t>Underutilisation</w:t>
            </w:r>
          </w:p>
        </w:tc>
        <w:tc>
          <w:tcPr>
            <w:tcW w:w="6379" w:type="dxa"/>
          </w:tcPr>
          <w:p w:rsidR="008C487D" w:rsidRPr="00D93874" w:rsidRDefault="008C487D" w:rsidP="00FF35FF">
            <w:pPr>
              <w:pStyle w:val="TableBodyText"/>
              <w:spacing w:before="120" w:after="120"/>
              <w:jc w:val="both"/>
              <w:rPr>
                <w:rStyle w:val="DraftingNote"/>
                <w:b w:val="0"/>
                <w:color w:val="auto"/>
                <w:sz w:val="20"/>
                <w:u w:val="none"/>
              </w:rPr>
            </w:pPr>
            <w:r w:rsidRPr="00D93874">
              <w:t>A situation where a dwelling contains two or more bedrooms surplus to the needs of the household occupying it, according to the Canadian National Occupancy Standard.</w:t>
            </w:r>
          </w:p>
        </w:tc>
      </w:tr>
    </w:tbl>
    <w:p w:rsidR="002B6C88" w:rsidRPr="00D93874" w:rsidRDefault="002B6C88" w:rsidP="002B6C88">
      <w:pPr>
        <w:pStyle w:val="Heading3"/>
        <w:spacing w:before="240"/>
      </w:pPr>
      <w:bookmarkStart w:id="41" w:name="_Toc290293211"/>
      <w:bookmarkStart w:id="42" w:name="_Toc319998386"/>
      <w:bookmarkStart w:id="43" w:name="_Toc321219890"/>
      <w:bookmarkStart w:id="44" w:name="_Toc321223475"/>
      <w:bookmarkStart w:id="45" w:name="_Toc349025860"/>
      <w:bookmarkStart w:id="46" w:name="_Toc349050059"/>
      <w:bookmarkStart w:id="47" w:name="_Toc381108804"/>
      <w:bookmarkStart w:id="48" w:name="_Toc411861016"/>
      <w:r w:rsidRPr="00D93874">
        <w:t>List of attachment tables</w:t>
      </w:r>
      <w:bookmarkEnd w:id="41"/>
      <w:bookmarkEnd w:id="42"/>
      <w:bookmarkEnd w:id="43"/>
      <w:bookmarkEnd w:id="44"/>
      <w:bookmarkEnd w:id="45"/>
      <w:bookmarkEnd w:id="46"/>
      <w:bookmarkEnd w:id="47"/>
      <w:bookmarkEnd w:id="48"/>
    </w:p>
    <w:p w:rsidR="002B6C88" w:rsidRPr="00D93874" w:rsidRDefault="002B6C88" w:rsidP="002B6C88">
      <w:pPr>
        <w:pStyle w:val="BodyText"/>
      </w:pPr>
      <w:r w:rsidRPr="00D93874">
        <w:t>Attachment tables for data within this chapter are contained in the attachment to the Compendium. These tables are identified in references throughout this chapter by an ‘17A’ prefix (for example, table 17A.1 is table 1 in the Housing attachment). Attachment tables are on the Review website (www.pc.gov.au/</w:t>
      </w:r>
      <w:r w:rsidR="001F22F9">
        <w:t>research/recurring/report-on-government-services</w:t>
      </w:r>
      <w:r w:rsidRPr="00D93874">
        <w:t>).</w:t>
      </w:r>
    </w:p>
    <w:p w:rsidR="002B6C88" w:rsidRPr="00D93874" w:rsidRDefault="002B6C88" w:rsidP="002B6C88">
      <w:pPr>
        <w:pStyle w:val="BodyText"/>
      </w:pPr>
    </w:p>
    <w:tbl>
      <w:tblPr>
        <w:tblW w:w="8804" w:type="dxa"/>
        <w:tblInd w:w="93" w:type="dxa"/>
        <w:tblLook w:val="04A0" w:firstRow="1" w:lastRow="0" w:firstColumn="1" w:lastColumn="0" w:noHBand="0" w:noVBand="1"/>
      </w:tblPr>
      <w:tblGrid>
        <w:gridCol w:w="1440"/>
        <w:gridCol w:w="7364"/>
      </w:tblGrid>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17A.1</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State and Territory Government nominal expenditure on social housing</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Table 17A.2</w:t>
            </w:r>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State and Territory Government real expenditure on social housing (2013–14 dollars)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17A.3</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Descriptive data ― number of social housing dwellings, at 30 June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17A.4</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Descriptive data ― number of households in social housing, at 30 June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17A.5</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Descriptive data ― public housing, at 30 June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17A.6</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Descriptive data ― State owned and managed Indigenous housing, at 30 June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17A.7</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Descriptive data ― community housing, at 30 June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17A.8</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Descriptive data ― Indigenous community housing, at 30 June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17A.10</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new tenancies allocated to households with special needs — SOMIH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17A.13</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Greatest need allocations as a proportion of all new allocations — SOMIH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17A.15</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Dwelling condition, public housing, 2014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17A.16</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Dwelling condition, SOMIH, 2014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17A.17</w:t>
            </w:r>
            <w:proofErr w:type="spellEnd"/>
          </w:p>
        </w:tc>
        <w:tc>
          <w:tcPr>
            <w:tcW w:w="7364" w:type="dxa"/>
            <w:tcBorders>
              <w:top w:val="nil"/>
              <w:left w:val="nil"/>
              <w:bottom w:val="nil"/>
              <w:right w:val="nil"/>
            </w:tcBorders>
            <w:shd w:val="clear" w:color="auto" w:fill="auto"/>
            <w:hideMark/>
          </w:tcPr>
          <w:p w:rsidR="002B6C88" w:rsidRPr="00D93874" w:rsidRDefault="002B6C88" w:rsidP="001F22F9">
            <w:pPr>
              <w:jc w:val="both"/>
              <w:rPr>
                <w:rFonts w:ascii="Arial" w:hAnsi="Arial" w:cs="Arial"/>
                <w:sz w:val="20"/>
                <w:szCs w:val="20"/>
              </w:rPr>
            </w:pPr>
            <w:r w:rsidRPr="00D93874">
              <w:rPr>
                <w:rFonts w:ascii="Arial" w:hAnsi="Arial" w:cs="Arial"/>
                <w:sz w:val="20"/>
                <w:szCs w:val="20"/>
              </w:rPr>
              <w:t>Dwelling condition, commu</w:t>
            </w:r>
            <w:r w:rsidR="001F22F9">
              <w:rPr>
                <w:rFonts w:ascii="Arial" w:hAnsi="Arial" w:cs="Arial"/>
                <w:sz w:val="20"/>
                <w:szCs w:val="20"/>
              </w:rPr>
              <w:t>nity housing, 2014 (per cent)</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17A.20</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Net recurrent cost of providing assistance per dwelling (excluding the cost of capital) — SOMIH ($ per dwelling)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17A.22</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Net recurrent cost per dwelling — Indigenous community housing (2012–13 dollars)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17A.24</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SOMIH occupancy rates as at 30 June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17A.26</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Indigenous community housing occupancy rates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lastRenderedPageBreak/>
              <w:t xml:space="preserve">Table </w:t>
            </w:r>
            <w:proofErr w:type="spellStart"/>
            <w:r w:rsidRPr="00D93874">
              <w:rPr>
                <w:rFonts w:ascii="Arial" w:hAnsi="Arial" w:cs="Arial"/>
                <w:b/>
                <w:bCs/>
                <w:color w:val="0000FF"/>
                <w:sz w:val="20"/>
                <w:szCs w:val="20"/>
              </w:rPr>
              <w:t>17A.28</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Average turnaround times for vacant stock — SOMIH (days)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17A.30</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SOMIH rent collection rate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17A.32</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Indigenous community housing rent collection rate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17A.35</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Amenity, location and customer satisfaction with SOMIH, 2014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17A.39</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Average weekly subsidy per rebated household, at 30 June — SOMIH ($ per week)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17A.40</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Low income households in social housing, at 30 June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17A.41</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low income households in social housing spending more than 30 per cent of their gross income on rent, at 30 June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17A.44</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household gross income spent on rent — low income households in SOMIH, at 30 June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17A.47</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overcrowded households at 30 June — SOMIH </w:t>
            </w:r>
            <w:r w:rsidRPr="00D93874">
              <w:rPr>
                <w:rFonts w:ascii="Arial" w:hAnsi="Arial" w:cs="Arial"/>
                <w:sz w:val="20"/>
                <w:szCs w:val="20"/>
              </w:rPr>
              <w:br/>
              <w:t xml:space="preserve">(per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17A.49</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overcrowded households in Indigenous community housing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17A.50</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Aboriginal and Torres Strait Islander households in public housing living in overcrowded conditions, by remoteness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17A.51</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Aboriginal and Torres Strait Islander households in SOMIH living in overcrowded conditions, by remoteness (per cent)  </w:t>
            </w:r>
          </w:p>
        </w:tc>
      </w:tr>
      <w:tr w:rsidR="002B6C88" w:rsidRPr="00D93874" w:rsidTr="002B6C88">
        <w:trPr>
          <w:trHeight w:val="612"/>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17A.52</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Proportion of households in Indigenous community housing living in overcrowded conditions, for which overcrowding conditions are known (per cent) </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17A.53</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Underutilisation in social housing at 30 June (per cent)    </w:t>
            </w:r>
          </w:p>
        </w:tc>
      </w:tr>
      <w:tr w:rsidR="002B6C88" w:rsidRPr="00D93874" w:rsidTr="002B6C88">
        <w:trPr>
          <w:trHeight w:val="357"/>
        </w:trPr>
        <w:tc>
          <w:tcPr>
            <w:tcW w:w="8804" w:type="dxa"/>
            <w:gridSpan w:val="2"/>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Contextual information</w:t>
            </w:r>
          </w:p>
        </w:tc>
      </w:tr>
      <w:tr w:rsidR="002B6C88" w:rsidRPr="00D93874" w:rsidTr="002B6C88">
        <w:trPr>
          <w:trHeight w:val="357"/>
        </w:trPr>
        <w:tc>
          <w:tcPr>
            <w:tcW w:w="1440" w:type="dxa"/>
            <w:tcBorders>
              <w:top w:val="nil"/>
              <w:left w:val="nil"/>
              <w:bottom w:val="nil"/>
              <w:right w:val="nil"/>
            </w:tcBorders>
            <w:shd w:val="clear" w:color="auto" w:fill="auto"/>
            <w:noWrap/>
            <w:hideMark/>
          </w:tcPr>
          <w:p w:rsidR="002B6C88" w:rsidRPr="00D93874" w:rsidRDefault="002B6C88" w:rsidP="002B6C88">
            <w:pPr>
              <w:rPr>
                <w:rFonts w:ascii="Arial" w:hAnsi="Arial" w:cs="Arial"/>
                <w:b/>
                <w:bCs/>
                <w:color w:val="0000FF"/>
                <w:sz w:val="20"/>
                <w:szCs w:val="20"/>
              </w:rPr>
            </w:pPr>
            <w:r w:rsidRPr="00D93874">
              <w:rPr>
                <w:rFonts w:ascii="Arial" w:hAnsi="Arial" w:cs="Arial"/>
                <w:b/>
                <w:bCs/>
                <w:color w:val="0000FF"/>
                <w:sz w:val="20"/>
                <w:szCs w:val="20"/>
              </w:rPr>
              <w:t xml:space="preserve">Table </w:t>
            </w:r>
            <w:proofErr w:type="spellStart"/>
            <w:r w:rsidRPr="00D93874">
              <w:rPr>
                <w:rFonts w:ascii="Arial" w:hAnsi="Arial" w:cs="Arial"/>
                <w:b/>
                <w:bCs/>
                <w:color w:val="0000FF"/>
                <w:sz w:val="20"/>
                <w:szCs w:val="20"/>
              </w:rPr>
              <w:t>17A.60</w:t>
            </w:r>
            <w:proofErr w:type="spellEnd"/>
          </w:p>
        </w:tc>
        <w:tc>
          <w:tcPr>
            <w:tcW w:w="7364" w:type="dxa"/>
            <w:tcBorders>
              <w:top w:val="nil"/>
              <w:left w:val="nil"/>
              <w:bottom w:val="nil"/>
              <w:right w:val="nil"/>
            </w:tcBorders>
            <w:shd w:val="clear" w:color="auto" w:fill="auto"/>
            <w:hideMark/>
          </w:tcPr>
          <w:p w:rsidR="002B6C88" w:rsidRPr="00D93874" w:rsidRDefault="002B6C88" w:rsidP="002B6C88">
            <w:pPr>
              <w:jc w:val="both"/>
              <w:rPr>
                <w:rFonts w:ascii="Arial" w:hAnsi="Arial" w:cs="Arial"/>
                <w:sz w:val="20"/>
                <w:szCs w:val="20"/>
              </w:rPr>
            </w:pPr>
            <w:r w:rsidRPr="00D93874">
              <w:rPr>
                <w:rFonts w:ascii="Arial" w:hAnsi="Arial" w:cs="Arial"/>
                <w:sz w:val="20"/>
                <w:szCs w:val="20"/>
              </w:rPr>
              <w:t xml:space="preserve">SOMIH housing policy context, 2014 </w:t>
            </w:r>
          </w:p>
        </w:tc>
      </w:tr>
    </w:tbl>
    <w:p w:rsidR="002005EF" w:rsidRPr="00D93874" w:rsidRDefault="002005EF" w:rsidP="002005EF">
      <w:pPr>
        <w:pStyle w:val="Heading3"/>
        <w:spacing w:before="480"/>
      </w:pPr>
      <w:bookmarkStart w:id="49" w:name="_Toc290293212"/>
      <w:bookmarkStart w:id="50" w:name="_Toc319998387"/>
      <w:bookmarkStart w:id="51" w:name="_Toc321219891"/>
      <w:bookmarkStart w:id="52" w:name="_Toc321223476"/>
      <w:bookmarkStart w:id="53" w:name="_Toc349025861"/>
      <w:bookmarkStart w:id="54" w:name="_Toc349050060"/>
      <w:bookmarkStart w:id="55" w:name="_Toc381108805"/>
      <w:bookmarkStart w:id="56" w:name="_Toc411861017"/>
      <w:bookmarkEnd w:id="3"/>
      <w:bookmarkEnd w:id="4"/>
      <w:bookmarkEnd w:id="5"/>
      <w:r w:rsidRPr="00D93874">
        <w:t>References</w:t>
      </w:r>
      <w:bookmarkEnd w:id="49"/>
      <w:bookmarkEnd w:id="50"/>
      <w:bookmarkEnd w:id="51"/>
      <w:bookmarkEnd w:id="52"/>
      <w:bookmarkEnd w:id="53"/>
      <w:bookmarkEnd w:id="54"/>
      <w:bookmarkEnd w:id="55"/>
      <w:bookmarkEnd w:id="56"/>
    </w:p>
    <w:p w:rsidR="002005EF" w:rsidRPr="00D93874" w:rsidRDefault="002005EF" w:rsidP="002005EF">
      <w:pPr>
        <w:pStyle w:val="Reference"/>
      </w:pPr>
      <w:r w:rsidRPr="00D93874">
        <w:t xml:space="preserve">ABS (Australian Bureau of Statistics) 2012, </w:t>
      </w:r>
      <w:r w:rsidRPr="00D93874">
        <w:rPr>
          <w:i/>
        </w:rPr>
        <w:t xml:space="preserve">2011 Census of Population and Housing — Basic Community Profile, </w:t>
      </w:r>
      <w:r w:rsidRPr="00D93874">
        <w:t>Cat no. 2001.0 Canberra</w:t>
      </w:r>
    </w:p>
    <w:p w:rsidR="002005EF" w:rsidRPr="00D93874" w:rsidRDefault="002005EF" w:rsidP="002005EF">
      <w:pPr>
        <w:pStyle w:val="Reference"/>
      </w:pPr>
      <w:r w:rsidRPr="00D93874">
        <w:t xml:space="preserve">—— 2013, </w:t>
      </w:r>
      <w:r w:rsidRPr="00D93874">
        <w:rPr>
          <w:i/>
        </w:rPr>
        <w:t>Household Income and Income Distribution, Australia 2011–12</w:t>
      </w:r>
      <w:r w:rsidRPr="00D93874">
        <w:t>, Cat. no. 6523.0, Canberra</w:t>
      </w:r>
    </w:p>
    <w:p w:rsidR="002005EF" w:rsidRPr="00D93874" w:rsidRDefault="002005EF" w:rsidP="002005EF">
      <w:pPr>
        <w:pStyle w:val="Reference"/>
      </w:pPr>
      <w:r w:rsidRPr="00D93874">
        <w:t xml:space="preserve">AIHW (Australian Institute of Health and Welfare) 2006, </w:t>
      </w:r>
      <w:r w:rsidRPr="00D93874">
        <w:rPr>
          <w:i/>
        </w:rPr>
        <w:t>National Housing Assistance Data Dictionary Version 3</w:t>
      </w:r>
      <w:r w:rsidRPr="00D93874">
        <w:t>, Cat. no. HOU–147, Canberra</w:t>
      </w:r>
    </w:p>
    <w:p w:rsidR="002005EF" w:rsidRPr="00D93874" w:rsidRDefault="002005EF" w:rsidP="002005EF">
      <w:pPr>
        <w:pStyle w:val="Reference"/>
      </w:pPr>
      <w:r w:rsidRPr="00D93874">
        <w:t xml:space="preserve">COAG (Council of Australian Governments) 2009, </w:t>
      </w:r>
      <w:r w:rsidRPr="00D93874">
        <w:rPr>
          <w:i/>
        </w:rPr>
        <w:t>National Affordable Housing Agreement</w:t>
      </w:r>
      <w:r w:rsidRPr="00D93874">
        <w:t>, Intergovernmental Agreement on Federal Financial Relations, Australian Government, Council of Australian Governments, Canberra</w:t>
      </w:r>
    </w:p>
    <w:p w:rsidR="002005EF" w:rsidRPr="00D93874" w:rsidRDefault="002005EF" w:rsidP="002005EF">
      <w:pPr>
        <w:pStyle w:val="Reference"/>
      </w:pPr>
      <w:r w:rsidRPr="00D93874">
        <w:t xml:space="preserve">Yates, J. and Gabriel, M. 2006, </w:t>
      </w:r>
      <w:r w:rsidRPr="00D93874">
        <w:rPr>
          <w:i/>
        </w:rPr>
        <w:t>Housing Affordability in Australia</w:t>
      </w:r>
      <w:r w:rsidRPr="00D93874">
        <w:t>, Research Paper No. 3, Australian Housing and Urban Research Institute, Melbourne</w:t>
      </w:r>
    </w:p>
    <w:p w:rsidR="006043A3" w:rsidRPr="003E38B8" w:rsidRDefault="002005EF" w:rsidP="002005EF">
      <w:pPr>
        <w:pStyle w:val="Reference"/>
      </w:pPr>
      <w:r w:rsidRPr="00D93874">
        <w:t xml:space="preserve">Yates, J. and Milligan, V. 2007, </w:t>
      </w:r>
      <w:r w:rsidRPr="00D93874">
        <w:rPr>
          <w:i/>
        </w:rPr>
        <w:t>Housing affordability: a 21st century problem</w:t>
      </w:r>
      <w:r w:rsidRPr="00D93874">
        <w:t>, Final Report No. 105, Australian Housing and Urban Research Institute, Melbourne.</w:t>
      </w:r>
    </w:p>
    <w:sectPr w:rsidR="006043A3" w:rsidRPr="003E38B8" w:rsidSect="00B3570B">
      <w:headerReference w:type="even" r:id="rId28"/>
      <w:headerReference w:type="default" r:id="rId29"/>
      <w:footerReference w:type="even" r:id="rId30"/>
      <w:footerReference w:type="default" r:id="rId31"/>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343" w:rsidRDefault="00091343">
      <w:r>
        <w:separator/>
      </w:r>
    </w:p>
  </w:endnote>
  <w:endnote w:type="continuationSeparator" w:id="0">
    <w:p w:rsidR="00091343" w:rsidRDefault="0009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91343" w:rsidTr="001E414C">
      <w:trPr>
        <w:trHeight w:hRule="exact" w:val="567"/>
      </w:trPr>
      <w:tc>
        <w:tcPr>
          <w:tcW w:w="510" w:type="dxa"/>
        </w:tcPr>
        <w:p w:rsidR="00091343" w:rsidRPr="00A24443" w:rsidRDefault="00091343"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9C456B">
            <w:rPr>
              <w:rStyle w:val="PageNumber"/>
            </w:rPr>
            <w:t>17.</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374E76">
            <w:rPr>
              <w:rStyle w:val="PageNumber"/>
              <w:noProof/>
            </w:rPr>
            <w:t>8</w:t>
          </w:r>
          <w:r>
            <w:rPr>
              <w:rStyle w:val="PageNumber"/>
            </w:rPr>
            <w:fldChar w:fldCharType="end"/>
          </w:r>
        </w:p>
      </w:tc>
      <w:tc>
        <w:tcPr>
          <w:tcW w:w="7767" w:type="dxa"/>
        </w:tcPr>
        <w:p w:rsidR="00091343" w:rsidRPr="0013739A" w:rsidRDefault="00091343" w:rsidP="001E414C">
          <w:pPr>
            <w:pStyle w:val="Footer"/>
            <w:rPr>
              <w:rFonts w:cs="Arial"/>
            </w:rPr>
          </w:pPr>
          <w:r>
            <w:rPr>
              <w:rFonts w:cs="Arial"/>
            </w:rPr>
            <w:t>Report on Government Services 2015</w:t>
          </w:r>
          <w:bookmarkStart w:id="57" w:name="DraftReportEven"/>
          <w:bookmarkEnd w:id="57"/>
        </w:p>
      </w:tc>
      <w:tc>
        <w:tcPr>
          <w:tcW w:w="510" w:type="dxa"/>
        </w:tcPr>
        <w:p w:rsidR="00091343" w:rsidRDefault="00091343" w:rsidP="0019293B">
          <w:pPr>
            <w:pStyle w:val="Footer"/>
          </w:pPr>
        </w:p>
      </w:tc>
    </w:tr>
  </w:tbl>
  <w:p w:rsidR="00091343" w:rsidRDefault="00091343" w:rsidP="0019293B">
    <w:pPr>
      <w:pStyle w:val="FooterEnd"/>
    </w:pPr>
  </w:p>
  <w:p w:rsidR="00091343" w:rsidRDefault="0009134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91343" w:rsidTr="001E414C">
      <w:trPr>
        <w:trHeight w:hRule="exact" w:val="567"/>
      </w:trPr>
      <w:tc>
        <w:tcPr>
          <w:tcW w:w="510" w:type="dxa"/>
        </w:tcPr>
        <w:p w:rsidR="00091343" w:rsidRDefault="00091343">
          <w:pPr>
            <w:pStyle w:val="Footer"/>
            <w:ind w:right="360" w:firstLine="360"/>
          </w:pPr>
        </w:p>
      </w:tc>
      <w:tc>
        <w:tcPr>
          <w:tcW w:w="7767" w:type="dxa"/>
        </w:tcPr>
        <w:p w:rsidR="00091343" w:rsidRPr="00BA5B14" w:rsidRDefault="00091343" w:rsidP="001E414C">
          <w:pPr>
            <w:pStyle w:val="Footer"/>
            <w:jc w:val="right"/>
            <w:rPr>
              <w:rFonts w:cs="Arial"/>
            </w:rPr>
          </w:pPr>
          <w:r>
            <w:rPr>
              <w:rFonts w:cs="Arial"/>
            </w:rPr>
            <w:t>Indigenous Compendium 2015</w:t>
          </w:r>
        </w:p>
      </w:tc>
      <w:tc>
        <w:tcPr>
          <w:tcW w:w="510" w:type="dxa"/>
        </w:tcPr>
        <w:p w:rsidR="00091343" w:rsidRPr="00A24443" w:rsidRDefault="00091343">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9C456B">
            <w:rPr>
              <w:rStyle w:val="PageNumber"/>
            </w:rPr>
            <w:t>17.</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374E76">
            <w:rPr>
              <w:rStyle w:val="PageNumber"/>
              <w:noProof/>
            </w:rPr>
            <w:t>9</w:t>
          </w:r>
          <w:r>
            <w:rPr>
              <w:rStyle w:val="PageNumber"/>
            </w:rPr>
            <w:fldChar w:fldCharType="end"/>
          </w:r>
        </w:p>
      </w:tc>
    </w:tr>
  </w:tbl>
  <w:p w:rsidR="00091343" w:rsidRDefault="00091343">
    <w:pPr>
      <w:pStyle w:val="FooterEnd"/>
    </w:pPr>
  </w:p>
  <w:p w:rsidR="00091343" w:rsidRDefault="0009134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343" w:rsidRDefault="00091343">
      <w:r>
        <w:separator/>
      </w:r>
    </w:p>
  </w:footnote>
  <w:footnote w:type="continuationSeparator" w:id="0">
    <w:p w:rsidR="00091343" w:rsidRDefault="00091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1343">
      <w:tc>
        <w:tcPr>
          <w:tcW w:w="2155" w:type="dxa"/>
          <w:tcBorders>
            <w:top w:val="single" w:sz="24" w:space="0" w:color="auto"/>
          </w:tcBorders>
        </w:tcPr>
        <w:p w:rsidR="00091343" w:rsidRDefault="00091343" w:rsidP="0019293B">
          <w:pPr>
            <w:pStyle w:val="HeaderEven"/>
          </w:pPr>
        </w:p>
      </w:tc>
      <w:tc>
        <w:tcPr>
          <w:tcW w:w="6634" w:type="dxa"/>
          <w:tcBorders>
            <w:top w:val="single" w:sz="6" w:space="0" w:color="auto"/>
          </w:tcBorders>
        </w:tcPr>
        <w:p w:rsidR="00091343" w:rsidRDefault="00091343" w:rsidP="00DC492D">
          <w:pPr>
            <w:pStyle w:val="HeaderEven"/>
            <w:jc w:val="right"/>
          </w:pPr>
        </w:p>
      </w:tc>
    </w:tr>
  </w:tbl>
  <w:p w:rsidR="00091343" w:rsidRDefault="0009134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1343">
      <w:tc>
        <w:tcPr>
          <w:tcW w:w="6634" w:type="dxa"/>
          <w:tcBorders>
            <w:top w:val="single" w:sz="6" w:space="0" w:color="auto"/>
          </w:tcBorders>
        </w:tcPr>
        <w:p w:rsidR="00091343" w:rsidRDefault="00091343" w:rsidP="00E669E2">
          <w:pPr>
            <w:pStyle w:val="HeaderOdd"/>
          </w:pPr>
        </w:p>
      </w:tc>
      <w:tc>
        <w:tcPr>
          <w:tcW w:w="2155" w:type="dxa"/>
          <w:tcBorders>
            <w:top w:val="single" w:sz="24" w:space="0" w:color="auto"/>
          </w:tcBorders>
        </w:tcPr>
        <w:p w:rsidR="00091343" w:rsidRDefault="00091343" w:rsidP="00E669E2">
          <w:pPr>
            <w:pStyle w:val="HeaderOdd"/>
          </w:pPr>
        </w:p>
      </w:tc>
    </w:tr>
  </w:tbl>
  <w:p w:rsidR="00091343" w:rsidRDefault="0009134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BE3422D"/>
    <w:multiLevelType w:val="hybridMultilevel"/>
    <w:tmpl w:val="FD7E8178"/>
    <w:lvl w:ilvl="0" w:tplc="A0B4C768">
      <w:start w:val="1"/>
      <w:numFmt w:val="bullet"/>
      <w:pStyle w:val="DHSBulletTex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6">
    <w:nsid w:val="28B720D8"/>
    <w:multiLevelType w:val="multilevel"/>
    <w:tmpl w:val="54220C8A"/>
    <w:lvl w:ilvl="0">
      <w:start w:val="17"/>
      <w:numFmt w:val="decimal"/>
      <w:lvlText w:val="%1"/>
      <w:lvlJc w:val="left"/>
      <w:pPr>
        <w:ind w:left="630" w:hanging="63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2C853038"/>
    <w:multiLevelType w:val="hybridMultilevel"/>
    <w:tmpl w:val="387AED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4BB21FD3"/>
    <w:multiLevelType w:val="hybridMultilevel"/>
    <w:tmpl w:val="1F7A12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C331634"/>
    <w:multiLevelType w:val="multilevel"/>
    <w:tmpl w:val="171A8AB6"/>
    <w:lvl w:ilvl="0">
      <w:start w:val="15"/>
      <w:numFmt w:val="decimal"/>
      <w:lvlText w:val="%1"/>
      <w:lvlJc w:val="left"/>
      <w:pPr>
        <w:tabs>
          <w:tab w:val="num" w:pos="912"/>
        </w:tabs>
        <w:ind w:left="912" w:hanging="912"/>
      </w:pPr>
      <w:rPr>
        <w:rFonts w:hint="default"/>
      </w:rPr>
    </w:lvl>
    <w:lvl w:ilvl="1">
      <w:start w:val="10"/>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5D582C11"/>
    <w:multiLevelType w:val="hybridMultilevel"/>
    <w:tmpl w:val="797039B4"/>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0">
    <w:nsid w:val="66A0525F"/>
    <w:multiLevelType w:val="hybridMultilevel"/>
    <w:tmpl w:val="A57C0C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D6B5FCB"/>
    <w:multiLevelType w:val="hybridMultilevel"/>
    <w:tmpl w:val="7A22E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6EA503B"/>
    <w:multiLevelType w:val="hybridMultilevel"/>
    <w:tmpl w:val="5282B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5">
    <w:nsid w:val="7B147C3B"/>
    <w:multiLevelType w:val="multilevel"/>
    <w:tmpl w:val="8F0AE852"/>
    <w:lvl w:ilvl="0">
      <w:start w:val="17"/>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7">
    <w:nsid w:val="7F595FBE"/>
    <w:multiLevelType w:val="hybridMultilevel"/>
    <w:tmpl w:val="D910B34C"/>
    <w:lvl w:ilvl="0" w:tplc="346A1F66">
      <w:start w:val="1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34"/>
  </w:num>
  <w:num w:numId="4">
    <w:abstractNumId w:val="4"/>
  </w:num>
  <w:num w:numId="5">
    <w:abstractNumId w:val="23"/>
  </w:num>
  <w:num w:numId="6">
    <w:abstractNumId w:val="5"/>
  </w:num>
  <w:num w:numId="7">
    <w:abstractNumId w:val="29"/>
  </w:num>
  <w:num w:numId="8">
    <w:abstractNumId w:val="25"/>
  </w:num>
  <w:num w:numId="9">
    <w:abstractNumId w:val="36"/>
  </w:num>
  <w:num w:numId="10">
    <w:abstractNumId w:val="14"/>
  </w:num>
  <w:num w:numId="11">
    <w:abstractNumId w:val="11"/>
  </w:num>
  <w:num w:numId="12">
    <w:abstractNumId w:val="24"/>
  </w:num>
  <w:num w:numId="13">
    <w:abstractNumId w:val="10"/>
  </w:num>
  <w:num w:numId="14">
    <w:abstractNumId w:val="9"/>
  </w:num>
  <w:num w:numId="15">
    <w:abstractNumId w:val="17"/>
  </w:num>
  <w:num w:numId="16">
    <w:abstractNumId w:val="21"/>
  </w:num>
  <w:num w:numId="17">
    <w:abstractNumId w:val="26"/>
  </w:num>
  <w:num w:numId="18">
    <w:abstractNumId w:val="28"/>
  </w:num>
  <w:num w:numId="19">
    <w:abstractNumId w:val="12"/>
  </w:num>
  <w:num w:numId="20">
    <w:abstractNumId w:val="15"/>
  </w:num>
  <w:num w:numId="21">
    <w:abstractNumId w:val="13"/>
  </w:num>
  <w:num w:numId="22">
    <w:abstractNumId w:val="23"/>
  </w:num>
  <w:num w:numId="23">
    <w:abstractNumId w:val="5"/>
  </w:num>
  <w:num w:numId="24">
    <w:abstractNumId w:val="0"/>
  </w:num>
  <w:num w:numId="25">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1"/>
  </w:num>
  <w:num w:numId="27">
    <w:abstractNumId w:val="31"/>
  </w:num>
  <w:num w:numId="28">
    <w:abstractNumId w:val="27"/>
  </w:num>
  <w:num w:numId="29">
    <w:abstractNumId w:val="33"/>
  </w:num>
  <w:num w:numId="30">
    <w:abstractNumId w:val="30"/>
  </w:num>
  <w:num w:numId="31">
    <w:abstractNumId w:val="8"/>
  </w:num>
  <w:num w:numId="32">
    <w:abstractNumId w:val="22"/>
  </w:num>
  <w:num w:numId="33">
    <w:abstractNumId w:val="37"/>
  </w:num>
  <w:num w:numId="34">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5">
    <w:abstractNumId w:val="35"/>
  </w:num>
  <w:num w:numId="36">
    <w:abstractNumId w:val="16"/>
  </w:num>
  <w:num w:numId="37">
    <w:abstractNumId w:val="7"/>
  </w:num>
  <w:num w:numId="38">
    <w:abstractNumId w:val="2"/>
  </w:num>
  <w:num w:numId="39">
    <w:abstractNumId w:val="32"/>
  </w:num>
  <w:num w:numId="40">
    <w:abstractNumId w:val="20"/>
  </w:num>
  <w:num w:numId="4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51E0"/>
    <w:rsid w:val="00006455"/>
    <w:rsid w:val="000065E2"/>
    <w:rsid w:val="00010BF3"/>
    <w:rsid w:val="0002224F"/>
    <w:rsid w:val="000227D5"/>
    <w:rsid w:val="000245AA"/>
    <w:rsid w:val="00024F19"/>
    <w:rsid w:val="00030032"/>
    <w:rsid w:val="00032342"/>
    <w:rsid w:val="000333AA"/>
    <w:rsid w:val="000337A8"/>
    <w:rsid w:val="0003664B"/>
    <w:rsid w:val="00036FB1"/>
    <w:rsid w:val="00037649"/>
    <w:rsid w:val="0004111F"/>
    <w:rsid w:val="00042EB0"/>
    <w:rsid w:val="00043CAB"/>
    <w:rsid w:val="000475A9"/>
    <w:rsid w:val="0005037C"/>
    <w:rsid w:val="00050D19"/>
    <w:rsid w:val="000565B3"/>
    <w:rsid w:val="00056E65"/>
    <w:rsid w:val="0006615C"/>
    <w:rsid w:val="0007150B"/>
    <w:rsid w:val="00071F24"/>
    <w:rsid w:val="00073FFB"/>
    <w:rsid w:val="00074B96"/>
    <w:rsid w:val="000801A4"/>
    <w:rsid w:val="000847C4"/>
    <w:rsid w:val="00087DEB"/>
    <w:rsid w:val="00091343"/>
    <w:rsid w:val="00092C45"/>
    <w:rsid w:val="000938F5"/>
    <w:rsid w:val="00094D77"/>
    <w:rsid w:val="00095E57"/>
    <w:rsid w:val="00096B70"/>
    <w:rsid w:val="00096D07"/>
    <w:rsid w:val="00096E55"/>
    <w:rsid w:val="00097DB9"/>
    <w:rsid w:val="000A0927"/>
    <w:rsid w:val="000A1EF5"/>
    <w:rsid w:val="000A29F8"/>
    <w:rsid w:val="000A488F"/>
    <w:rsid w:val="000A5121"/>
    <w:rsid w:val="000B2363"/>
    <w:rsid w:val="000B4499"/>
    <w:rsid w:val="000B5375"/>
    <w:rsid w:val="000B53BD"/>
    <w:rsid w:val="000B601B"/>
    <w:rsid w:val="000B7811"/>
    <w:rsid w:val="000C1914"/>
    <w:rsid w:val="000C207E"/>
    <w:rsid w:val="000C7B64"/>
    <w:rsid w:val="000D0442"/>
    <w:rsid w:val="000D1E7F"/>
    <w:rsid w:val="000D394F"/>
    <w:rsid w:val="000D3AB2"/>
    <w:rsid w:val="000D4674"/>
    <w:rsid w:val="000D5C0D"/>
    <w:rsid w:val="000D6F89"/>
    <w:rsid w:val="000E14F8"/>
    <w:rsid w:val="000E1D4D"/>
    <w:rsid w:val="000E4832"/>
    <w:rsid w:val="000E6F58"/>
    <w:rsid w:val="000F0035"/>
    <w:rsid w:val="000F420B"/>
    <w:rsid w:val="000F7074"/>
    <w:rsid w:val="000F7408"/>
    <w:rsid w:val="00100AE9"/>
    <w:rsid w:val="00100B08"/>
    <w:rsid w:val="00104AE5"/>
    <w:rsid w:val="0010578D"/>
    <w:rsid w:val="00110116"/>
    <w:rsid w:val="001105CD"/>
    <w:rsid w:val="00113F09"/>
    <w:rsid w:val="00114DDC"/>
    <w:rsid w:val="001179F5"/>
    <w:rsid w:val="00120072"/>
    <w:rsid w:val="00121091"/>
    <w:rsid w:val="00121DD7"/>
    <w:rsid w:val="00122D0E"/>
    <w:rsid w:val="00126EB8"/>
    <w:rsid w:val="00127257"/>
    <w:rsid w:val="001274D4"/>
    <w:rsid w:val="00130114"/>
    <w:rsid w:val="0013242F"/>
    <w:rsid w:val="00132AEF"/>
    <w:rsid w:val="00133F06"/>
    <w:rsid w:val="00134980"/>
    <w:rsid w:val="001357A0"/>
    <w:rsid w:val="00136039"/>
    <w:rsid w:val="001363AA"/>
    <w:rsid w:val="00137DA4"/>
    <w:rsid w:val="0014191A"/>
    <w:rsid w:val="0014285A"/>
    <w:rsid w:val="00143317"/>
    <w:rsid w:val="00144283"/>
    <w:rsid w:val="00144950"/>
    <w:rsid w:val="00150569"/>
    <w:rsid w:val="0015350C"/>
    <w:rsid w:val="00153A43"/>
    <w:rsid w:val="00155D7C"/>
    <w:rsid w:val="00157863"/>
    <w:rsid w:val="00157A03"/>
    <w:rsid w:val="001636F7"/>
    <w:rsid w:val="00164B1E"/>
    <w:rsid w:val="00165B2A"/>
    <w:rsid w:val="00167E2F"/>
    <w:rsid w:val="00171248"/>
    <w:rsid w:val="001733AB"/>
    <w:rsid w:val="0017516A"/>
    <w:rsid w:val="0017519E"/>
    <w:rsid w:val="00175391"/>
    <w:rsid w:val="0017671A"/>
    <w:rsid w:val="00177684"/>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A7663"/>
    <w:rsid w:val="001B5B4C"/>
    <w:rsid w:val="001B6232"/>
    <w:rsid w:val="001B6595"/>
    <w:rsid w:val="001C044A"/>
    <w:rsid w:val="001C0865"/>
    <w:rsid w:val="001C36DE"/>
    <w:rsid w:val="001C3ABA"/>
    <w:rsid w:val="001C555C"/>
    <w:rsid w:val="001D0B09"/>
    <w:rsid w:val="001D0C58"/>
    <w:rsid w:val="001E291B"/>
    <w:rsid w:val="001E414C"/>
    <w:rsid w:val="001E7BE8"/>
    <w:rsid w:val="001F0248"/>
    <w:rsid w:val="001F1AF9"/>
    <w:rsid w:val="001F22F9"/>
    <w:rsid w:val="001F3B16"/>
    <w:rsid w:val="001F3EB3"/>
    <w:rsid w:val="001F4F86"/>
    <w:rsid w:val="001F5F43"/>
    <w:rsid w:val="00200150"/>
    <w:rsid w:val="002005EF"/>
    <w:rsid w:val="002021B5"/>
    <w:rsid w:val="00202C2C"/>
    <w:rsid w:val="00203630"/>
    <w:rsid w:val="002043FE"/>
    <w:rsid w:val="00211004"/>
    <w:rsid w:val="0021241A"/>
    <w:rsid w:val="002135AB"/>
    <w:rsid w:val="002144BE"/>
    <w:rsid w:val="00217669"/>
    <w:rsid w:val="00220B0B"/>
    <w:rsid w:val="0022188E"/>
    <w:rsid w:val="00222E9B"/>
    <w:rsid w:val="00227112"/>
    <w:rsid w:val="0023012A"/>
    <w:rsid w:val="00230CED"/>
    <w:rsid w:val="0023514C"/>
    <w:rsid w:val="00236CA4"/>
    <w:rsid w:val="00240C58"/>
    <w:rsid w:val="002417C0"/>
    <w:rsid w:val="00242279"/>
    <w:rsid w:val="00245C82"/>
    <w:rsid w:val="00251A28"/>
    <w:rsid w:val="002534DC"/>
    <w:rsid w:val="002669C4"/>
    <w:rsid w:val="00267172"/>
    <w:rsid w:val="00271323"/>
    <w:rsid w:val="00272BB2"/>
    <w:rsid w:val="00274820"/>
    <w:rsid w:val="00275757"/>
    <w:rsid w:val="002766BC"/>
    <w:rsid w:val="002823BB"/>
    <w:rsid w:val="00285D78"/>
    <w:rsid w:val="00286082"/>
    <w:rsid w:val="00287153"/>
    <w:rsid w:val="00291B40"/>
    <w:rsid w:val="00293C0B"/>
    <w:rsid w:val="00296E34"/>
    <w:rsid w:val="00296FF4"/>
    <w:rsid w:val="002974CB"/>
    <w:rsid w:val="00297C98"/>
    <w:rsid w:val="002A596D"/>
    <w:rsid w:val="002A718A"/>
    <w:rsid w:val="002B0B58"/>
    <w:rsid w:val="002B4008"/>
    <w:rsid w:val="002B414C"/>
    <w:rsid w:val="002B6C88"/>
    <w:rsid w:val="002C13D4"/>
    <w:rsid w:val="002C4B5A"/>
    <w:rsid w:val="002C5470"/>
    <w:rsid w:val="002D0E8E"/>
    <w:rsid w:val="002D17C2"/>
    <w:rsid w:val="002D5282"/>
    <w:rsid w:val="002D614F"/>
    <w:rsid w:val="002D6C94"/>
    <w:rsid w:val="002E3CFD"/>
    <w:rsid w:val="002E5719"/>
    <w:rsid w:val="002E5B45"/>
    <w:rsid w:val="002F4222"/>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047"/>
    <w:rsid w:val="003723C2"/>
    <w:rsid w:val="00372961"/>
    <w:rsid w:val="00374731"/>
    <w:rsid w:val="00374E76"/>
    <w:rsid w:val="00375FF2"/>
    <w:rsid w:val="00376E59"/>
    <w:rsid w:val="00382FD7"/>
    <w:rsid w:val="003859AA"/>
    <w:rsid w:val="00386B15"/>
    <w:rsid w:val="003919F9"/>
    <w:rsid w:val="00391F6E"/>
    <w:rsid w:val="003924CE"/>
    <w:rsid w:val="00392706"/>
    <w:rsid w:val="003934F7"/>
    <w:rsid w:val="00393FCC"/>
    <w:rsid w:val="00395A7F"/>
    <w:rsid w:val="00397311"/>
    <w:rsid w:val="003A0BAE"/>
    <w:rsid w:val="003A1516"/>
    <w:rsid w:val="003A1E3D"/>
    <w:rsid w:val="003A402F"/>
    <w:rsid w:val="003A4D42"/>
    <w:rsid w:val="003B2F13"/>
    <w:rsid w:val="003B541A"/>
    <w:rsid w:val="003C0956"/>
    <w:rsid w:val="003C26BE"/>
    <w:rsid w:val="003C38B5"/>
    <w:rsid w:val="003C5D99"/>
    <w:rsid w:val="003C7476"/>
    <w:rsid w:val="003D125A"/>
    <w:rsid w:val="003D5969"/>
    <w:rsid w:val="003E2B02"/>
    <w:rsid w:val="003E2F59"/>
    <w:rsid w:val="003E36B4"/>
    <w:rsid w:val="003E3BF3"/>
    <w:rsid w:val="003E7BDD"/>
    <w:rsid w:val="003F0789"/>
    <w:rsid w:val="003F0CF3"/>
    <w:rsid w:val="003F2A46"/>
    <w:rsid w:val="003F37B1"/>
    <w:rsid w:val="003F5421"/>
    <w:rsid w:val="00400707"/>
    <w:rsid w:val="00401882"/>
    <w:rsid w:val="00402CB4"/>
    <w:rsid w:val="00405282"/>
    <w:rsid w:val="00405F06"/>
    <w:rsid w:val="004100C8"/>
    <w:rsid w:val="00411AB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47B64"/>
    <w:rsid w:val="00450810"/>
    <w:rsid w:val="00454488"/>
    <w:rsid w:val="004636E9"/>
    <w:rsid w:val="00467A54"/>
    <w:rsid w:val="00471A27"/>
    <w:rsid w:val="0047368E"/>
    <w:rsid w:val="00474F6E"/>
    <w:rsid w:val="00477144"/>
    <w:rsid w:val="0048218A"/>
    <w:rsid w:val="00482F36"/>
    <w:rsid w:val="00486C7F"/>
    <w:rsid w:val="00491380"/>
    <w:rsid w:val="00492D9A"/>
    <w:rsid w:val="00492E82"/>
    <w:rsid w:val="00493A5A"/>
    <w:rsid w:val="0049459F"/>
    <w:rsid w:val="0049603D"/>
    <w:rsid w:val="00497141"/>
    <w:rsid w:val="004A166D"/>
    <w:rsid w:val="004A26A8"/>
    <w:rsid w:val="004A38DD"/>
    <w:rsid w:val="004A66A7"/>
    <w:rsid w:val="004A71CC"/>
    <w:rsid w:val="004B43AE"/>
    <w:rsid w:val="004B73EE"/>
    <w:rsid w:val="004B7EB2"/>
    <w:rsid w:val="004C1916"/>
    <w:rsid w:val="004C30ED"/>
    <w:rsid w:val="004C3EBA"/>
    <w:rsid w:val="004C59A1"/>
    <w:rsid w:val="004D3BE7"/>
    <w:rsid w:val="004D5675"/>
    <w:rsid w:val="004D5D4F"/>
    <w:rsid w:val="004E4DE7"/>
    <w:rsid w:val="004E622C"/>
    <w:rsid w:val="004F0AC0"/>
    <w:rsid w:val="004F17F0"/>
    <w:rsid w:val="004F31EB"/>
    <w:rsid w:val="004F485E"/>
    <w:rsid w:val="004F5196"/>
    <w:rsid w:val="004F6BE7"/>
    <w:rsid w:val="00503055"/>
    <w:rsid w:val="00504ED9"/>
    <w:rsid w:val="005106A3"/>
    <w:rsid w:val="00512F9B"/>
    <w:rsid w:val="00512F9F"/>
    <w:rsid w:val="00514610"/>
    <w:rsid w:val="005204F1"/>
    <w:rsid w:val="00520DA1"/>
    <w:rsid w:val="005212AE"/>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5630"/>
    <w:rsid w:val="00565A09"/>
    <w:rsid w:val="00566F46"/>
    <w:rsid w:val="00570122"/>
    <w:rsid w:val="0057368E"/>
    <w:rsid w:val="00574BEA"/>
    <w:rsid w:val="00576BB4"/>
    <w:rsid w:val="00577989"/>
    <w:rsid w:val="0058248F"/>
    <w:rsid w:val="00583C39"/>
    <w:rsid w:val="00585BB7"/>
    <w:rsid w:val="00586FD8"/>
    <w:rsid w:val="0058720B"/>
    <w:rsid w:val="00587F28"/>
    <w:rsid w:val="00590245"/>
    <w:rsid w:val="005909CF"/>
    <w:rsid w:val="00591E71"/>
    <w:rsid w:val="00594C12"/>
    <w:rsid w:val="0059616E"/>
    <w:rsid w:val="005A0D41"/>
    <w:rsid w:val="005A30D1"/>
    <w:rsid w:val="005A4543"/>
    <w:rsid w:val="005A4B2A"/>
    <w:rsid w:val="005A75D5"/>
    <w:rsid w:val="005A7FC9"/>
    <w:rsid w:val="005B176B"/>
    <w:rsid w:val="005B24AE"/>
    <w:rsid w:val="005B5291"/>
    <w:rsid w:val="005C0622"/>
    <w:rsid w:val="005C534B"/>
    <w:rsid w:val="005D2238"/>
    <w:rsid w:val="005D5116"/>
    <w:rsid w:val="005D5452"/>
    <w:rsid w:val="005D62DA"/>
    <w:rsid w:val="005E10C5"/>
    <w:rsid w:val="005E25E9"/>
    <w:rsid w:val="005E3476"/>
    <w:rsid w:val="005F2132"/>
    <w:rsid w:val="005F2414"/>
    <w:rsid w:val="005F3237"/>
    <w:rsid w:val="005F6D42"/>
    <w:rsid w:val="00600B2E"/>
    <w:rsid w:val="00602D8E"/>
    <w:rsid w:val="006043A3"/>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60CCE"/>
    <w:rsid w:val="00664657"/>
    <w:rsid w:val="0066582F"/>
    <w:rsid w:val="00667801"/>
    <w:rsid w:val="00671E40"/>
    <w:rsid w:val="00674A89"/>
    <w:rsid w:val="00675B32"/>
    <w:rsid w:val="006829A8"/>
    <w:rsid w:val="00684EDD"/>
    <w:rsid w:val="00690218"/>
    <w:rsid w:val="00691EB4"/>
    <w:rsid w:val="00694FB0"/>
    <w:rsid w:val="00695CED"/>
    <w:rsid w:val="0069673D"/>
    <w:rsid w:val="006A0617"/>
    <w:rsid w:val="006A2E87"/>
    <w:rsid w:val="006A39A4"/>
    <w:rsid w:val="006A4655"/>
    <w:rsid w:val="006B2B3C"/>
    <w:rsid w:val="006B41A9"/>
    <w:rsid w:val="006C1D81"/>
    <w:rsid w:val="006C6034"/>
    <w:rsid w:val="006C7038"/>
    <w:rsid w:val="006D2983"/>
    <w:rsid w:val="006D50AD"/>
    <w:rsid w:val="006D534A"/>
    <w:rsid w:val="006D5FD8"/>
    <w:rsid w:val="006D7C98"/>
    <w:rsid w:val="006E2E8A"/>
    <w:rsid w:val="006E412C"/>
    <w:rsid w:val="006E50A7"/>
    <w:rsid w:val="006E68FE"/>
    <w:rsid w:val="006E73EF"/>
    <w:rsid w:val="006E75D9"/>
    <w:rsid w:val="006F70D2"/>
    <w:rsid w:val="007050C3"/>
    <w:rsid w:val="00705996"/>
    <w:rsid w:val="007119F9"/>
    <w:rsid w:val="007126B5"/>
    <w:rsid w:val="00714D4D"/>
    <w:rsid w:val="00715343"/>
    <w:rsid w:val="007164D6"/>
    <w:rsid w:val="007165E7"/>
    <w:rsid w:val="00726E22"/>
    <w:rsid w:val="00730BAF"/>
    <w:rsid w:val="00731308"/>
    <w:rsid w:val="0073146B"/>
    <w:rsid w:val="00731518"/>
    <w:rsid w:val="00731EFE"/>
    <w:rsid w:val="00734AF9"/>
    <w:rsid w:val="00735482"/>
    <w:rsid w:val="00737D86"/>
    <w:rsid w:val="007402C3"/>
    <w:rsid w:val="00742CEE"/>
    <w:rsid w:val="007512E2"/>
    <w:rsid w:val="00752EEE"/>
    <w:rsid w:val="0075352A"/>
    <w:rsid w:val="00756587"/>
    <w:rsid w:val="0075718A"/>
    <w:rsid w:val="007604BB"/>
    <w:rsid w:val="007665EF"/>
    <w:rsid w:val="00766872"/>
    <w:rsid w:val="00774B4C"/>
    <w:rsid w:val="00775C7E"/>
    <w:rsid w:val="00776543"/>
    <w:rsid w:val="00782CC9"/>
    <w:rsid w:val="007834F2"/>
    <w:rsid w:val="00785232"/>
    <w:rsid w:val="00787241"/>
    <w:rsid w:val="00787A48"/>
    <w:rsid w:val="00787C12"/>
    <w:rsid w:val="00790681"/>
    <w:rsid w:val="007908DF"/>
    <w:rsid w:val="00792AAD"/>
    <w:rsid w:val="00793015"/>
    <w:rsid w:val="00793CAA"/>
    <w:rsid w:val="007A0846"/>
    <w:rsid w:val="007A21EB"/>
    <w:rsid w:val="007A38A6"/>
    <w:rsid w:val="007A4E8C"/>
    <w:rsid w:val="007A5D47"/>
    <w:rsid w:val="007A7826"/>
    <w:rsid w:val="007B1A93"/>
    <w:rsid w:val="007C0A72"/>
    <w:rsid w:val="007C2204"/>
    <w:rsid w:val="007C36C9"/>
    <w:rsid w:val="007C3F8F"/>
    <w:rsid w:val="007C7411"/>
    <w:rsid w:val="007D22E7"/>
    <w:rsid w:val="007D252F"/>
    <w:rsid w:val="007D6401"/>
    <w:rsid w:val="007E01E4"/>
    <w:rsid w:val="007E0335"/>
    <w:rsid w:val="007E1044"/>
    <w:rsid w:val="007E23D5"/>
    <w:rsid w:val="007E4C14"/>
    <w:rsid w:val="007F18BF"/>
    <w:rsid w:val="007F56F4"/>
    <w:rsid w:val="007F5A73"/>
    <w:rsid w:val="007F7107"/>
    <w:rsid w:val="007F733F"/>
    <w:rsid w:val="007F738D"/>
    <w:rsid w:val="00800D4C"/>
    <w:rsid w:val="0080116D"/>
    <w:rsid w:val="008039DB"/>
    <w:rsid w:val="008041EC"/>
    <w:rsid w:val="00806AEC"/>
    <w:rsid w:val="00810283"/>
    <w:rsid w:val="0081030F"/>
    <w:rsid w:val="008107B6"/>
    <w:rsid w:val="00812252"/>
    <w:rsid w:val="008143C3"/>
    <w:rsid w:val="00816555"/>
    <w:rsid w:val="0082087D"/>
    <w:rsid w:val="0082141A"/>
    <w:rsid w:val="00831865"/>
    <w:rsid w:val="00835771"/>
    <w:rsid w:val="008361D1"/>
    <w:rsid w:val="00842277"/>
    <w:rsid w:val="00842933"/>
    <w:rsid w:val="008457B2"/>
    <w:rsid w:val="00847D86"/>
    <w:rsid w:val="00851036"/>
    <w:rsid w:val="0085187C"/>
    <w:rsid w:val="00856145"/>
    <w:rsid w:val="00856E61"/>
    <w:rsid w:val="0086082C"/>
    <w:rsid w:val="00861D89"/>
    <w:rsid w:val="0086262E"/>
    <w:rsid w:val="00864ADC"/>
    <w:rsid w:val="00865A60"/>
    <w:rsid w:val="00867C89"/>
    <w:rsid w:val="00870332"/>
    <w:rsid w:val="0087110E"/>
    <w:rsid w:val="008722E4"/>
    <w:rsid w:val="008727C1"/>
    <w:rsid w:val="00873B9D"/>
    <w:rsid w:val="0087717D"/>
    <w:rsid w:val="00880153"/>
    <w:rsid w:val="00880D54"/>
    <w:rsid w:val="00880F97"/>
    <w:rsid w:val="0088133A"/>
    <w:rsid w:val="00882459"/>
    <w:rsid w:val="00884C96"/>
    <w:rsid w:val="008874EC"/>
    <w:rsid w:val="00887A43"/>
    <w:rsid w:val="00887EEE"/>
    <w:rsid w:val="008912AB"/>
    <w:rsid w:val="008914EC"/>
    <w:rsid w:val="0089285E"/>
    <w:rsid w:val="0089436C"/>
    <w:rsid w:val="00895E25"/>
    <w:rsid w:val="00897718"/>
    <w:rsid w:val="008A1584"/>
    <w:rsid w:val="008A402C"/>
    <w:rsid w:val="008A67A1"/>
    <w:rsid w:val="008B00EB"/>
    <w:rsid w:val="008B4F65"/>
    <w:rsid w:val="008C013B"/>
    <w:rsid w:val="008C0AB4"/>
    <w:rsid w:val="008C2099"/>
    <w:rsid w:val="008C487D"/>
    <w:rsid w:val="008C55A2"/>
    <w:rsid w:val="008C6EA6"/>
    <w:rsid w:val="008D365C"/>
    <w:rsid w:val="008D48D3"/>
    <w:rsid w:val="008D6C8C"/>
    <w:rsid w:val="008E0CCC"/>
    <w:rsid w:val="008E278D"/>
    <w:rsid w:val="008E3D21"/>
    <w:rsid w:val="008E5B61"/>
    <w:rsid w:val="008F04C1"/>
    <w:rsid w:val="008F4FDC"/>
    <w:rsid w:val="008F66C0"/>
    <w:rsid w:val="009030BF"/>
    <w:rsid w:val="009069D8"/>
    <w:rsid w:val="009070BD"/>
    <w:rsid w:val="0091032F"/>
    <w:rsid w:val="00910C3E"/>
    <w:rsid w:val="00910ECC"/>
    <w:rsid w:val="00914368"/>
    <w:rsid w:val="00914D7A"/>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6328"/>
    <w:rsid w:val="00947BF5"/>
    <w:rsid w:val="0095323B"/>
    <w:rsid w:val="0095484C"/>
    <w:rsid w:val="00956A0C"/>
    <w:rsid w:val="00956BD9"/>
    <w:rsid w:val="00956DD2"/>
    <w:rsid w:val="00962156"/>
    <w:rsid w:val="00962489"/>
    <w:rsid w:val="00963BE6"/>
    <w:rsid w:val="00965E99"/>
    <w:rsid w:val="00975552"/>
    <w:rsid w:val="00976CE5"/>
    <w:rsid w:val="009774EF"/>
    <w:rsid w:val="0098048E"/>
    <w:rsid w:val="009806FE"/>
    <w:rsid w:val="00981798"/>
    <w:rsid w:val="00981EA4"/>
    <w:rsid w:val="00983322"/>
    <w:rsid w:val="009837D7"/>
    <w:rsid w:val="00984111"/>
    <w:rsid w:val="009842B2"/>
    <w:rsid w:val="00984569"/>
    <w:rsid w:val="00985409"/>
    <w:rsid w:val="009907C3"/>
    <w:rsid w:val="00990C2C"/>
    <w:rsid w:val="00993337"/>
    <w:rsid w:val="009A08C6"/>
    <w:rsid w:val="009A1073"/>
    <w:rsid w:val="009A3348"/>
    <w:rsid w:val="009A6F85"/>
    <w:rsid w:val="009B3A39"/>
    <w:rsid w:val="009C1C14"/>
    <w:rsid w:val="009C456B"/>
    <w:rsid w:val="009C616D"/>
    <w:rsid w:val="009C6EAA"/>
    <w:rsid w:val="009D39A5"/>
    <w:rsid w:val="009E1844"/>
    <w:rsid w:val="009E3759"/>
    <w:rsid w:val="009F0D1B"/>
    <w:rsid w:val="009F1762"/>
    <w:rsid w:val="009F1AD3"/>
    <w:rsid w:val="009F20AC"/>
    <w:rsid w:val="009F2860"/>
    <w:rsid w:val="009F3EEE"/>
    <w:rsid w:val="009F51A2"/>
    <w:rsid w:val="009F696D"/>
    <w:rsid w:val="009F6A75"/>
    <w:rsid w:val="009F6BC6"/>
    <w:rsid w:val="00A0077B"/>
    <w:rsid w:val="00A00BF9"/>
    <w:rsid w:val="00A148E5"/>
    <w:rsid w:val="00A16EB9"/>
    <w:rsid w:val="00A171AE"/>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4AAE"/>
    <w:rsid w:val="00A45B44"/>
    <w:rsid w:val="00A4797C"/>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4440"/>
    <w:rsid w:val="00A94FA6"/>
    <w:rsid w:val="00A95062"/>
    <w:rsid w:val="00A95CAE"/>
    <w:rsid w:val="00A97C7F"/>
    <w:rsid w:val="00A97D49"/>
    <w:rsid w:val="00AA0BC8"/>
    <w:rsid w:val="00AA1294"/>
    <w:rsid w:val="00AA2904"/>
    <w:rsid w:val="00AA2A0B"/>
    <w:rsid w:val="00AA3A62"/>
    <w:rsid w:val="00AA49A0"/>
    <w:rsid w:val="00AA6710"/>
    <w:rsid w:val="00AA6E50"/>
    <w:rsid w:val="00AB0681"/>
    <w:rsid w:val="00AB1E8F"/>
    <w:rsid w:val="00AB22E4"/>
    <w:rsid w:val="00AB4333"/>
    <w:rsid w:val="00AB4978"/>
    <w:rsid w:val="00AB4C70"/>
    <w:rsid w:val="00AB6BFD"/>
    <w:rsid w:val="00AC674D"/>
    <w:rsid w:val="00AC711E"/>
    <w:rsid w:val="00AD1633"/>
    <w:rsid w:val="00AD33C7"/>
    <w:rsid w:val="00AD5101"/>
    <w:rsid w:val="00AD520B"/>
    <w:rsid w:val="00AE4818"/>
    <w:rsid w:val="00AF0B9A"/>
    <w:rsid w:val="00AF27D5"/>
    <w:rsid w:val="00AF6717"/>
    <w:rsid w:val="00B00B62"/>
    <w:rsid w:val="00B011C0"/>
    <w:rsid w:val="00B035C9"/>
    <w:rsid w:val="00B05A59"/>
    <w:rsid w:val="00B05C0B"/>
    <w:rsid w:val="00B07210"/>
    <w:rsid w:val="00B14863"/>
    <w:rsid w:val="00B23BAC"/>
    <w:rsid w:val="00B26CFA"/>
    <w:rsid w:val="00B30B3C"/>
    <w:rsid w:val="00B32B52"/>
    <w:rsid w:val="00B3570B"/>
    <w:rsid w:val="00B35B6C"/>
    <w:rsid w:val="00B35FCE"/>
    <w:rsid w:val="00B40CD2"/>
    <w:rsid w:val="00B4110A"/>
    <w:rsid w:val="00B425C3"/>
    <w:rsid w:val="00B43331"/>
    <w:rsid w:val="00B43358"/>
    <w:rsid w:val="00B440AD"/>
    <w:rsid w:val="00B47550"/>
    <w:rsid w:val="00B479BB"/>
    <w:rsid w:val="00B51522"/>
    <w:rsid w:val="00B53E7E"/>
    <w:rsid w:val="00B561B6"/>
    <w:rsid w:val="00B62365"/>
    <w:rsid w:val="00B6342E"/>
    <w:rsid w:val="00B67781"/>
    <w:rsid w:val="00B7113F"/>
    <w:rsid w:val="00B719B0"/>
    <w:rsid w:val="00B762DB"/>
    <w:rsid w:val="00B802DD"/>
    <w:rsid w:val="00B8234F"/>
    <w:rsid w:val="00B82819"/>
    <w:rsid w:val="00B82BCB"/>
    <w:rsid w:val="00B83BDE"/>
    <w:rsid w:val="00B86B35"/>
    <w:rsid w:val="00B87333"/>
    <w:rsid w:val="00B90AB7"/>
    <w:rsid w:val="00B9316E"/>
    <w:rsid w:val="00B94F94"/>
    <w:rsid w:val="00BA0F27"/>
    <w:rsid w:val="00BA39A3"/>
    <w:rsid w:val="00BA7166"/>
    <w:rsid w:val="00BA73B6"/>
    <w:rsid w:val="00BA7E27"/>
    <w:rsid w:val="00BB2603"/>
    <w:rsid w:val="00BB32A5"/>
    <w:rsid w:val="00BB3850"/>
    <w:rsid w:val="00BB4B7B"/>
    <w:rsid w:val="00BB4FCD"/>
    <w:rsid w:val="00BC04E9"/>
    <w:rsid w:val="00BC2EFE"/>
    <w:rsid w:val="00BC381B"/>
    <w:rsid w:val="00BC3A7C"/>
    <w:rsid w:val="00BD13EA"/>
    <w:rsid w:val="00BD4991"/>
    <w:rsid w:val="00BD6160"/>
    <w:rsid w:val="00BE1BA8"/>
    <w:rsid w:val="00BE3808"/>
    <w:rsid w:val="00BE4663"/>
    <w:rsid w:val="00BE5B48"/>
    <w:rsid w:val="00BE7F41"/>
    <w:rsid w:val="00BF0451"/>
    <w:rsid w:val="00BF2097"/>
    <w:rsid w:val="00BF3B2F"/>
    <w:rsid w:val="00BF4CB4"/>
    <w:rsid w:val="00BF5AA4"/>
    <w:rsid w:val="00BF5AEF"/>
    <w:rsid w:val="00C034BF"/>
    <w:rsid w:val="00C04F3D"/>
    <w:rsid w:val="00C062E9"/>
    <w:rsid w:val="00C07B64"/>
    <w:rsid w:val="00C11D74"/>
    <w:rsid w:val="00C13721"/>
    <w:rsid w:val="00C13C82"/>
    <w:rsid w:val="00C14FE4"/>
    <w:rsid w:val="00C15C2C"/>
    <w:rsid w:val="00C21B4B"/>
    <w:rsid w:val="00C25B16"/>
    <w:rsid w:val="00C26E94"/>
    <w:rsid w:val="00C3066D"/>
    <w:rsid w:val="00C32C65"/>
    <w:rsid w:val="00C3342D"/>
    <w:rsid w:val="00C3533E"/>
    <w:rsid w:val="00C3770E"/>
    <w:rsid w:val="00C41B88"/>
    <w:rsid w:val="00C45679"/>
    <w:rsid w:val="00C50AD9"/>
    <w:rsid w:val="00C52416"/>
    <w:rsid w:val="00C53138"/>
    <w:rsid w:val="00C53A31"/>
    <w:rsid w:val="00C543F4"/>
    <w:rsid w:val="00C54991"/>
    <w:rsid w:val="00C55085"/>
    <w:rsid w:val="00C5751E"/>
    <w:rsid w:val="00C575C2"/>
    <w:rsid w:val="00C6291C"/>
    <w:rsid w:val="00C633CB"/>
    <w:rsid w:val="00C64475"/>
    <w:rsid w:val="00C6572B"/>
    <w:rsid w:val="00C6589A"/>
    <w:rsid w:val="00C679B6"/>
    <w:rsid w:val="00C67CBC"/>
    <w:rsid w:val="00C711C3"/>
    <w:rsid w:val="00C72C32"/>
    <w:rsid w:val="00C736B7"/>
    <w:rsid w:val="00C74987"/>
    <w:rsid w:val="00C75076"/>
    <w:rsid w:val="00C7519F"/>
    <w:rsid w:val="00C811A2"/>
    <w:rsid w:val="00C81C57"/>
    <w:rsid w:val="00C81D4A"/>
    <w:rsid w:val="00C859B0"/>
    <w:rsid w:val="00C8762C"/>
    <w:rsid w:val="00C8784E"/>
    <w:rsid w:val="00C90CB6"/>
    <w:rsid w:val="00C91699"/>
    <w:rsid w:val="00C96F56"/>
    <w:rsid w:val="00CA00F9"/>
    <w:rsid w:val="00CA2961"/>
    <w:rsid w:val="00CA724B"/>
    <w:rsid w:val="00CB032D"/>
    <w:rsid w:val="00CB09F0"/>
    <w:rsid w:val="00CB50D7"/>
    <w:rsid w:val="00CB5F40"/>
    <w:rsid w:val="00CB7177"/>
    <w:rsid w:val="00CB7BDF"/>
    <w:rsid w:val="00CC1998"/>
    <w:rsid w:val="00CC4946"/>
    <w:rsid w:val="00CC69C3"/>
    <w:rsid w:val="00CC6D26"/>
    <w:rsid w:val="00CC7EE4"/>
    <w:rsid w:val="00CD0705"/>
    <w:rsid w:val="00CD0D10"/>
    <w:rsid w:val="00CD1009"/>
    <w:rsid w:val="00CD5B65"/>
    <w:rsid w:val="00CD60DA"/>
    <w:rsid w:val="00CE0F13"/>
    <w:rsid w:val="00CE45DE"/>
    <w:rsid w:val="00CE592B"/>
    <w:rsid w:val="00CE74B9"/>
    <w:rsid w:val="00CF455C"/>
    <w:rsid w:val="00CF7AA0"/>
    <w:rsid w:val="00D013C9"/>
    <w:rsid w:val="00D01C12"/>
    <w:rsid w:val="00D15695"/>
    <w:rsid w:val="00D15AC3"/>
    <w:rsid w:val="00D15D44"/>
    <w:rsid w:val="00D165A2"/>
    <w:rsid w:val="00D17FFC"/>
    <w:rsid w:val="00D22E2B"/>
    <w:rsid w:val="00D253E4"/>
    <w:rsid w:val="00D25CE5"/>
    <w:rsid w:val="00D25DBC"/>
    <w:rsid w:val="00D270A4"/>
    <w:rsid w:val="00D306A1"/>
    <w:rsid w:val="00D31379"/>
    <w:rsid w:val="00D31FE9"/>
    <w:rsid w:val="00D33BDB"/>
    <w:rsid w:val="00D33F42"/>
    <w:rsid w:val="00D34E1B"/>
    <w:rsid w:val="00D35DCC"/>
    <w:rsid w:val="00D376BA"/>
    <w:rsid w:val="00D41997"/>
    <w:rsid w:val="00D45634"/>
    <w:rsid w:val="00D45A66"/>
    <w:rsid w:val="00D45EB6"/>
    <w:rsid w:val="00D51744"/>
    <w:rsid w:val="00D5568A"/>
    <w:rsid w:val="00D56784"/>
    <w:rsid w:val="00D56978"/>
    <w:rsid w:val="00D637B9"/>
    <w:rsid w:val="00D63D73"/>
    <w:rsid w:val="00D64452"/>
    <w:rsid w:val="00D66E1E"/>
    <w:rsid w:val="00D7003C"/>
    <w:rsid w:val="00D72A50"/>
    <w:rsid w:val="00D75722"/>
    <w:rsid w:val="00D76276"/>
    <w:rsid w:val="00D80CF5"/>
    <w:rsid w:val="00D93874"/>
    <w:rsid w:val="00D93C68"/>
    <w:rsid w:val="00D944E1"/>
    <w:rsid w:val="00D95DC2"/>
    <w:rsid w:val="00DA4D0D"/>
    <w:rsid w:val="00DA5BBA"/>
    <w:rsid w:val="00DA6791"/>
    <w:rsid w:val="00DB075E"/>
    <w:rsid w:val="00DB26D2"/>
    <w:rsid w:val="00DB2EB3"/>
    <w:rsid w:val="00DB2EEE"/>
    <w:rsid w:val="00DB3FCB"/>
    <w:rsid w:val="00DB4396"/>
    <w:rsid w:val="00DB494F"/>
    <w:rsid w:val="00DB67C9"/>
    <w:rsid w:val="00DC0C95"/>
    <w:rsid w:val="00DC2F7C"/>
    <w:rsid w:val="00DC43B1"/>
    <w:rsid w:val="00DC492D"/>
    <w:rsid w:val="00DC632B"/>
    <w:rsid w:val="00DC73DC"/>
    <w:rsid w:val="00DD2CE6"/>
    <w:rsid w:val="00DD43D1"/>
    <w:rsid w:val="00DD4C39"/>
    <w:rsid w:val="00DD6580"/>
    <w:rsid w:val="00DD6F52"/>
    <w:rsid w:val="00DD7005"/>
    <w:rsid w:val="00DE21B3"/>
    <w:rsid w:val="00DE3734"/>
    <w:rsid w:val="00DE7C1C"/>
    <w:rsid w:val="00DE7F35"/>
    <w:rsid w:val="00DF06AA"/>
    <w:rsid w:val="00DF458A"/>
    <w:rsid w:val="00E00848"/>
    <w:rsid w:val="00E01487"/>
    <w:rsid w:val="00E03FEB"/>
    <w:rsid w:val="00E074C9"/>
    <w:rsid w:val="00E07E98"/>
    <w:rsid w:val="00E104FA"/>
    <w:rsid w:val="00E17635"/>
    <w:rsid w:val="00E17C72"/>
    <w:rsid w:val="00E21FC6"/>
    <w:rsid w:val="00E23CA3"/>
    <w:rsid w:val="00E241D7"/>
    <w:rsid w:val="00E24249"/>
    <w:rsid w:val="00E248D1"/>
    <w:rsid w:val="00E25767"/>
    <w:rsid w:val="00E2590C"/>
    <w:rsid w:val="00E321B2"/>
    <w:rsid w:val="00E359F8"/>
    <w:rsid w:val="00E361CF"/>
    <w:rsid w:val="00E36487"/>
    <w:rsid w:val="00E4134D"/>
    <w:rsid w:val="00E431A9"/>
    <w:rsid w:val="00E45592"/>
    <w:rsid w:val="00E46FC3"/>
    <w:rsid w:val="00E477E8"/>
    <w:rsid w:val="00E4784B"/>
    <w:rsid w:val="00E47A31"/>
    <w:rsid w:val="00E51F94"/>
    <w:rsid w:val="00E520B7"/>
    <w:rsid w:val="00E52768"/>
    <w:rsid w:val="00E53751"/>
    <w:rsid w:val="00E54A85"/>
    <w:rsid w:val="00E551ED"/>
    <w:rsid w:val="00E6138A"/>
    <w:rsid w:val="00E65057"/>
    <w:rsid w:val="00E65103"/>
    <w:rsid w:val="00E669E2"/>
    <w:rsid w:val="00E66AE7"/>
    <w:rsid w:val="00E70F0A"/>
    <w:rsid w:val="00E728D7"/>
    <w:rsid w:val="00E76135"/>
    <w:rsid w:val="00E77997"/>
    <w:rsid w:val="00E82F4F"/>
    <w:rsid w:val="00E8338A"/>
    <w:rsid w:val="00E8355A"/>
    <w:rsid w:val="00E83843"/>
    <w:rsid w:val="00E875F6"/>
    <w:rsid w:val="00E87690"/>
    <w:rsid w:val="00E918A4"/>
    <w:rsid w:val="00E93A65"/>
    <w:rsid w:val="00EA00E2"/>
    <w:rsid w:val="00EA0428"/>
    <w:rsid w:val="00EA1862"/>
    <w:rsid w:val="00EA4198"/>
    <w:rsid w:val="00EA699D"/>
    <w:rsid w:val="00EB56BA"/>
    <w:rsid w:val="00EC2844"/>
    <w:rsid w:val="00EC297C"/>
    <w:rsid w:val="00EC5500"/>
    <w:rsid w:val="00ED18F8"/>
    <w:rsid w:val="00ED2ECE"/>
    <w:rsid w:val="00ED7951"/>
    <w:rsid w:val="00ED7C85"/>
    <w:rsid w:val="00EE1477"/>
    <w:rsid w:val="00EF0AC2"/>
    <w:rsid w:val="00EF3416"/>
    <w:rsid w:val="00EF364D"/>
    <w:rsid w:val="00EF6C6C"/>
    <w:rsid w:val="00F01A99"/>
    <w:rsid w:val="00F040D6"/>
    <w:rsid w:val="00F053C1"/>
    <w:rsid w:val="00F056FC"/>
    <w:rsid w:val="00F10476"/>
    <w:rsid w:val="00F113CE"/>
    <w:rsid w:val="00F117C0"/>
    <w:rsid w:val="00F135D8"/>
    <w:rsid w:val="00F2288A"/>
    <w:rsid w:val="00F23A3A"/>
    <w:rsid w:val="00F25CC5"/>
    <w:rsid w:val="00F2651F"/>
    <w:rsid w:val="00F31299"/>
    <w:rsid w:val="00F3534A"/>
    <w:rsid w:val="00F37CB7"/>
    <w:rsid w:val="00F37DC7"/>
    <w:rsid w:val="00F41499"/>
    <w:rsid w:val="00F42141"/>
    <w:rsid w:val="00F458A1"/>
    <w:rsid w:val="00F47C9B"/>
    <w:rsid w:val="00F51609"/>
    <w:rsid w:val="00F526BC"/>
    <w:rsid w:val="00F57186"/>
    <w:rsid w:val="00F636EA"/>
    <w:rsid w:val="00F66371"/>
    <w:rsid w:val="00F67E43"/>
    <w:rsid w:val="00F703F4"/>
    <w:rsid w:val="00F735A6"/>
    <w:rsid w:val="00F73BBC"/>
    <w:rsid w:val="00F74641"/>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36E7"/>
    <w:rsid w:val="00FB08F4"/>
    <w:rsid w:val="00FB5F5A"/>
    <w:rsid w:val="00FB75C5"/>
    <w:rsid w:val="00FC02DB"/>
    <w:rsid w:val="00FC0CB9"/>
    <w:rsid w:val="00FC296E"/>
    <w:rsid w:val="00FC4A0D"/>
    <w:rsid w:val="00FC4CE3"/>
    <w:rsid w:val="00FC7889"/>
    <w:rsid w:val="00FC7F26"/>
    <w:rsid w:val="00FD22B1"/>
    <w:rsid w:val="00FD342E"/>
    <w:rsid w:val="00FD5BA6"/>
    <w:rsid w:val="00FD61BE"/>
    <w:rsid w:val="00FD665F"/>
    <w:rsid w:val="00FD6B61"/>
    <w:rsid w:val="00FD6CE4"/>
    <w:rsid w:val="00FD7F00"/>
    <w:rsid w:val="00FE343B"/>
    <w:rsid w:val="00FE5397"/>
    <w:rsid w:val="00FF011B"/>
    <w:rsid w:val="00FF35FF"/>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74E76"/>
    <w:rPr>
      <w:sz w:val="24"/>
      <w:szCs w:val="24"/>
    </w:rPr>
  </w:style>
  <w:style w:type="paragraph" w:styleId="Heading1">
    <w:name w:val="heading 1"/>
    <w:basedOn w:val="BodyText"/>
    <w:next w:val="BodyText"/>
    <w:link w:val="Heading1Char"/>
    <w:rsid w:val="00374E7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374E7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74E76"/>
    <w:pPr>
      <w:spacing w:before="560" w:line="320" w:lineRule="exact"/>
      <w:ind w:left="0" w:firstLine="0"/>
      <w:outlineLvl w:val="2"/>
    </w:pPr>
    <w:rPr>
      <w:sz w:val="26"/>
    </w:rPr>
  </w:style>
  <w:style w:type="paragraph" w:styleId="Heading4">
    <w:name w:val="heading 4"/>
    <w:basedOn w:val="Heading3"/>
    <w:next w:val="BodyText"/>
    <w:link w:val="Heading4Char"/>
    <w:qFormat/>
    <w:rsid w:val="00374E76"/>
    <w:pPr>
      <w:spacing w:before="480"/>
      <w:outlineLvl w:val="3"/>
    </w:pPr>
    <w:rPr>
      <w:b w:val="0"/>
      <w:sz w:val="24"/>
    </w:rPr>
  </w:style>
  <w:style w:type="paragraph" w:styleId="Heading5">
    <w:name w:val="heading 5"/>
    <w:basedOn w:val="Heading4"/>
    <w:next w:val="BodyText"/>
    <w:link w:val="Heading5Char"/>
    <w:qFormat/>
    <w:rsid w:val="00374E76"/>
    <w:pPr>
      <w:outlineLvl w:val="4"/>
    </w:pPr>
    <w:rPr>
      <w:i/>
      <w:sz w:val="22"/>
    </w:rPr>
  </w:style>
  <w:style w:type="paragraph" w:styleId="Heading6">
    <w:name w:val="heading 6"/>
    <w:basedOn w:val="BodyText"/>
    <w:next w:val="BodyText"/>
    <w:link w:val="Heading6Char"/>
    <w:rsid w:val="00374E76"/>
    <w:pPr>
      <w:spacing w:after="60"/>
      <w:jc w:val="left"/>
      <w:outlineLvl w:val="5"/>
    </w:pPr>
    <w:rPr>
      <w:i/>
      <w:sz w:val="22"/>
    </w:rPr>
  </w:style>
  <w:style w:type="paragraph" w:styleId="Heading7">
    <w:name w:val="heading 7"/>
    <w:basedOn w:val="BodyText"/>
    <w:next w:val="BodyText"/>
    <w:link w:val="Heading7Char"/>
    <w:rsid w:val="00374E76"/>
    <w:pPr>
      <w:spacing w:after="60" w:line="240" w:lineRule="auto"/>
      <w:jc w:val="left"/>
      <w:outlineLvl w:val="6"/>
    </w:pPr>
    <w:rPr>
      <w:rFonts w:ascii="Arial" w:hAnsi="Arial"/>
      <w:sz w:val="20"/>
    </w:rPr>
  </w:style>
  <w:style w:type="paragraph" w:styleId="Heading8">
    <w:name w:val="heading 8"/>
    <w:basedOn w:val="BodyText"/>
    <w:next w:val="BodyText"/>
    <w:link w:val="Heading8Char"/>
    <w:rsid w:val="00374E7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374E7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74E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E76"/>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374E76"/>
    <w:pPr>
      <w:spacing w:before="240" w:line="300" w:lineRule="atLeast"/>
      <w:jc w:val="both"/>
    </w:pPr>
    <w:rPr>
      <w:sz w:val="24"/>
    </w:rPr>
  </w:style>
  <w:style w:type="paragraph" w:styleId="Footer">
    <w:name w:val="footer"/>
    <w:basedOn w:val="BodyText"/>
    <w:link w:val="FooterChar"/>
    <w:rsid w:val="00374E76"/>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374E76"/>
    <w:pPr>
      <w:spacing w:before="0" w:line="20" w:lineRule="exact"/>
    </w:pPr>
  </w:style>
  <w:style w:type="paragraph" w:styleId="Header">
    <w:name w:val="header"/>
    <w:basedOn w:val="BodyText"/>
    <w:link w:val="HeaderChar"/>
    <w:rsid w:val="00374E7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74E76"/>
    <w:pPr>
      <w:spacing w:line="20" w:lineRule="exact"/>
    </w:pPr>
    <w:rPr>
      <w:sz w:val="16"/>
    </w:rPr>
  </w:style>
  <w:style w:type="paragraph" w:customStyle="1" w:styleId="HeaderEven">
    <w:name w:val="Header Even"/>
    <w:basedOn w:val="Header"/>
    <w:semiHidden/>
    <w:rsid w:val="00374E76"/>
  </w:style>
  <w:style w:type="paragraph" w:customStyle="1" w:styleId="HeaderOdd">
    <w:name w:val="Header Odd"/>
    <w:basedOn w:val="Header"/>
    <w:rsid w:val="00374E76"/>
  </w:style>
  <w:style w:type="character" w:styleId="PageNumber">
    <w:name w:val="page number"/>
    <w:basedOn w:val="DefaultParagraphFont"/>
    <w:rsid w:val="00374E76"/>
    <w:rPr>
      <w:rFonts w:ascii="Arial" w:hAnsi="Arial"/>
      <w:b/>
      <w:sz w:val="16"/>
    </w:rPr>
  </w:style>
  <w:style w:type="paragraph" w:customStyle="1" w:styleId="Abbreviation">
    <w:name w:val="Abbreviation"/>
    <w:basedOn w:val="BodyText"/>
    <w:rsid w:val="00374E76"/>
    <w:pPr>
      <w:spacing w:before="120"/>
      <w:ind w:left="2381" w:hanging="2381"/>
      <w:jc w:val="left"/>
    </w:pPr>
  </w:style>
  <w:style w:type="paragraph" w:customStyle="1" w:styleId="Box">
    <w:name w:val="Box"/>
    <w:basedOn w:val="BodyText"/>
    <w:link w:val="BoxChar"/>
    <w:qFormat/>
    <w:rsid w:val="00374E7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374E76"/>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374E76"/>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374E76"/>
    <w:rPr>
      <w:b w:val="0"/>
      <w:i/>
    </w:rPr>
  </w:style>
  <w:style w:type="paragraph" w:customStyle="1" w:styleId="BoxListBullet">
    <w:name w:val="Box List Bullet"/>
    <w:basedOn w:val="BodyText"/>
    <w:link w:val="BoxListBulletChar"/>
    <w:rsid w:val="00374E7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74E76"/>
    <w:pPr>
      <w:numPr>
        <w:numId w:val="2"/>
      </w:numPr>
      <w:ind w:left="568" w:hanging="284"/>
    </w:pPr>
  </w:style>
  <w:style w:type="paragraph" w:customStyle="1" w:styleId="BoxListNumber">
    <w:name w:val="Box List Number"/>
    <w:basedOn w:val="BodyText"/>
    <w:link w:val="BoxListNumberChar"/>
    <w:rsid w:val="00374E76"/>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374E76"/>
    <w:pPr>
      <w:numPr>
        <w:ilvl w:val="1"/>
      </w:numPr>
      <w:ind w:left="681" w:hanging="397"/>
    </w:pPr>
  </w:style>
  <w:style w:type="paragraph" w:customStyle="1" w:styleId="BoxQuote">
    <w:name w:val="Box Quote"/>
    <w:basedOn w:val="BodyText"/>
    <w:next w:val="Box"/>
    <w:link w:val="BoxQuoteChar"/>
    <w:qFormat/>
    <w:rsid w:val="00374E76"/>
    <w:pPr>
      <w:keepNext/>
      <w:spacing w:before="60" w:line="240" w:lineRule="exact"/>
      <w:ind w:left="284"/>
    </w:pPr>
    <w:rPr>
      <w:rFonts w:ascii="Arial" w:hAnsi="Arial"/>
      <w:sz w:val="18"/>
    </w:rPr>
  </w:style>
  <w:style w:type="paragraph" w:customStyle="1" w:styleId="Note">
    <w:name w:val="Note"/>
    <w:basedOn w:val="BodyText"/>
    <w:next w:val="BodyText"/>
    <w:link w:val="NoteChar"/>
    <w:rsid w:val="00374E76"/>
    <w:pPr>
      <w:keepLines/>
      <w:spacing w:before="80" w:line="220" w:lineRule="exact"/>
    </w:pPr>
    <w:rPr>
      <w:rFonts w:ascii="Arial" w:hAnsi="Arial"/>
      <w:sz w:val="18"/>
    </w:rPr>
  </w:style>
  <w:style w:type="paragraph" w:customStyle="1" w:styleId="Source">
    <w:name w:val="Source"/>
    <w:basedOn w:val="Normal"/>
    <w:next w:val="BodyText"/>
    <w:link w:val="SourceChar"/>
    <w:rsid w:val="00374E76"/>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374E76"/>
    <w:pPr>
      <w:spacing w:before="120"/>
    </w:pPr>
  </w:style>
  <w:style w:type="paragraph" w:customStyle="1" w:styleId="BoxSpaceAbove">
    <w:name w:val="Box Space Above"/>
    <w:basedOn w:val="BodyText"/>
    <w:rsid w:val="00374E76"/>
    <w:pPr>
      <w:keepNext/>
      <w:spacing w:before="360" w:line="80" w:lineRule="exact"/>
      <w:jc w:val="left"/>
    </w:pPr>
  </w:style>
  <w:style w:type="paragraph" w:styleId="Caption">
    <w:name w:val="caption"/>
    <w:basedOn w:val="Normal"/>
    <w:next w:val="BodyText"/>
    <w:link w:val="CaptionChar"/>
    <w:rsid w:val="00374E7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374E76"/>
    <w:pPr>
      <w:spacing w:before="120" w:after="0"/>
    </w:pPr>
  </w:style>
  <w:style w:type="paragraph" w:customStyle="1" w:styleId="BoxSubtitle">
    <w:name w:val="Box Subtitle"/>
    <w:basedOn w:val="BoxTitle"/>
    <w:next w:val="Normal"/>
    <w:rsid w:val="00374E76"/>
    <w:pPr>
      <w:spacing w:after="80" w:line="200" w:lineRule="exact"/>
      <w:ind w:firstLine="0"/>
    </w:pPr>
    <w:rPr>
      <w:b w:val="0"/>
      <w:sz w:val="20"/>
    </w:rPr>
  </w:style>
  <w:style w:type="paragraph" w:customStyle="1" w:styleId="Chapter">
    <w:name w:val="Chapter"/>
    <w:basedOn w:val="Heading1"/>
    <w:next w:val="BodyText"/>
    <w:link w:val="ChapterChar"/>
    <w:semiHidden/>
    <w:rsid w:val="00374E76"/>
    <w:pPr>
      <w:ind w:left="0" w:firstLine="0"/>
      <w:outlineLvl w:val="9"/>
    </w:pPr>
  </w:style>
  <w:style w:type="paragraph" w:customStyle="1" w:styleId="ChapterSummary">
    <w:name w:val="Chapter Summary"/>
    <w:basedOn w:val="BodyText"/>
    <w:rsid w:val="00374E76"/>
    <w:pPr>
      <w:spacing w:line="280" w:lineRule="atLeast"/>
      <w:ind w:left="907"/>
    </w:pPr>
    <w:rPr>
      <w:rFonts w:ascii="Arial" w:hAnsi="Arial"/>
      <w:b/>
      <w:sz w:val="20"/>
    </w:rPr>
  </w:style>
  <w:style w:type="character" w:styleId="CommentReference">
    <w:name w:val="annotation reference"/>
    <w:basedOn w:val="DefaultParagraphFont"/>
    <w:rsid w:val="00374E76"/>
    <w:rPr>
      <w:b/>
      <w:vanish/>
      <w:color w:val="FF00FF"/>
      <w:sz w:val="20"/>
    </w:rPr>
  </w:style>
  <w:style w:type="paragraph" w:styleId="CommentText">
    <w:name w:val="annotation text"/>
    <w:basedOn w:val="Normal"/>
    <w:link w:val="CommentTextChar1"/>
    <w:semiHidden/>
    <w:rsid w:val="00374E76"/>
    <w:pPr>
      <w:spacing w:before="120" w:line="240" w:lineRule="atLeast"/>
      <w:ind w:left="567" w:hanging="567"/>
    </w:pPr>
    <w:rPr>
      <w:sz w:val="20"/>
    </w:rPr>
  </w:style>
  <w:style w:type="paragraph" w:customStyle="1" w:styleId="Continued">
    <w:name w:val="Continued"/>
    <w:basedOn w:val="BoxContinued"/>
    <w:next w:val="BodyText"/>
    <w:link w:val="ContinuedChar"/>
    <w:rsid w:val="00374E76"/>
  </w:style>
  <w:style w:type="character" w:customStyle="1" w:styleId="DocumentInfo">
    <w:name w:val="Document Info"/>
    <w:basedOn w:val="DefaultParagraphFont"/>
    <w:semiHidden/>
    <w:rsid w:val="00374E76"/>
    <w:rPr>
      <w:rFonts w:ascii="Arial" w:hAnsi="Arial"/>
      <w:sz w:val="14"/>
    </w:rPr>
  </w:style>
  <w:style w:type="character" w:customStyle="1" w:styleId="DraftingNote">
    <w:name w:val="Drafting Note"/>
    <w:basedOn w:val="DefaultParagraphFont"/>
    <w:rsid w:val="00374E76"/>
    <w:rPr>
      <w:b/>
      <w:color w:val="FF0000"/>
      <w:sz w:val="24"/>
      <w:u w:val="dotted"/>
    </w:rPr>
  </w:style>
  <w:style w:type="paragraph" w:customStyle="1" w:styleId="Figure">
    <w:name w:val="Figure"/>
    <w:basedOn w:val="BodyText"/>
    <w:link w:val="FigureChar"/>
    <w:rsid w:val="00374E76"/>
    <w:pPr>
      <w:keepNext/>
      <w:spacing w:before="120" w:after="120" w:line="240" w:lineRule="atLeast"/>
      <w:jc w:val="center"/>
    </w:pPr>
  </w:style>
  <w:style w:type="paragraph" w:customStyle="1" w:styleId="FigureTitle">
    <w:name w:val="Figure Title"/>
    <w:basedOn w:val="Caption"/>
    <w:next w:val="Subtitle"/>
    <w:link w:val="FigureTitleChar"/>
    <w:rsid w:val="00374E76"/>
    <w:pPr>
      <w:spacing w:before="120"/>
    </w:pPr>
  </w:style>
  <w:style w:type="paragraph" w:styleId="Subtitle">
    <w:name w:val="Subtitle"/>
    <w:basedOn w:val="Caption"/>
    <w:link w:val="SubtitleChar"/>
    <w:qFormat/>
    <w:rsid w:val="00374E76"/>
    <w:pPr>
      <w:spacing w:before="0" w:line="200" w:lineRule="exact"/>
      <w:ind w:firstLine="0"/>
    </w:pPr>
    <w:rPr>
      <w:b w:val="0"/>
      <w:sz w:val="20"/>
    </w:rPr>
  </w:style>
  <w:style w:type="paragraph" w:customStyle="1" w:styleId="Finding">
    <w:name w:val="Finding"/>
    <w:basedOn w:val="BodyText"/>
    <w:rsid w:val="00374E76"/>
    <w:pPr>
      <w:keepLines/>
      <w:spacing w:before="120" w:line="280" w:lineRule="atLeast"/>
    </w:pPr>
    <w:rPr>
      <w:rFonts w:ascii="Arial" w:hAnsi="Arial"/>
      <w:sz w:val="22"/>
    </w:rPr>
  </w:style>
  <w:style w:type="paragraph" w:customStyle="1" w:styleId="FindingBullet">
    <w:name w:val="Finding Bullet"/>
    <w:basedOn w:val="Finding"/>
    <w:rsid w:val="00374E76"/>
    <w:pPr>
      <w:numPr>
        <w:numId w:val="3"/>
      </w:numPr>
      <w:spacing w:before="80"/>
    </w:pPr>
  </w:style>
  <w:style w:type="paragraph" w:customStyle="1" w:styleId="FindingNoTitle">
    <w:name w:val="Finding NoTitle"/>
    <w:basedOn w:val="Finding"/>
    <w:rsid w:val="00374E76"/>
    <w:pPr>
      <w:spacing w:before="240"/>
    </w:pPr>
  </w:style>
  <w:style w:type="paragraph" w:customStyle="1" w:styleId="RecTitle">
    <w:name w:val="Rec Title"/>
    <w:basedOn w:val="BodyText"/>
    <w:next w:val="Rec"/>
    <w:qFormat/>
    <w:rsid w:val="00374E76"/>
    <w:pPr>
      <w:keepNext/>
      <w:keepLines/>
      <w:spacing w:line="280" w:lineRule="atLeast"/>
    </w:pPr>
    <w:rPr>
      <w:rFonts w:ascii="Arial" w:hAnsi="Arial"/>
      <w:caps/>
      <w:sz w:val="18"/>
    </w:rPr>
  </w:style>
  <w:style w:type="paragraph" w:customStyle="1" w:styleId="FindingTitle">
    <w:name w:val="Finding Title"/>
    <w:basedOn w:val="RecTitle"/>
    <w:next w:val="Finding"/>
    <w:rsid w:val="00374E76"/>
  </w:style>
  <w:style w:type="character" w:styleId="FootnoteReference">
    <w:name w:val="footnote reference"/>
    <w:basedOn w:val="DefaultParagraphFont"/>
    <w:rsid w:val="00374E76"/>
    <w:rPr>
      <w:rFonts w:ascii="Times New Roman" w:hAnsi="Times New Roman"/>
      <w:position w:val="6"/>
      <w:sz w:val="20"/>
      <w:vertAlign w:val="baseline"/>
    </w:rPr>
  </w:style>
  <w:style w:type="paragraph" w:styleId="FootnoteText">
    <w:name w:val="footnote text"/>
    <w:basedOn w:val="BodyText"/>
    <w:link w:val="FootnoteTextChar"/>
    <w:rsid w:val="00374E7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74E76"/>
    <w:rPr>
      <w:i/>
    </w:rPr>
  </w:style>
  <w:style w:type="paragraph" w:customStyle="1" w:styleId="Jurisdictioncommentsbodytext">
    <w:name w:val="Jurisdiction comments body text"/>
    <w:link w:val="JurisdictioncommentsbodytextChar"/>
    <w:rsid w:val="00374E76"/>
    <w:pPr>
      <w:spacing w:after="140"/>
      <w:jc w:val="both"/>
    </w:pPr>
    <w:rPr>
      <w:rFonts w:ascii="Arial" w:hAnsi="Arial"/>
      <w:sz w:val="24"/>
      <w:lang w:eastAsia="en-US"/>
    </w:rPr>
  </w:style>
  <w:style w:type="paragraph" w:customStyle="1" w:styleId="Jurisdictioncommentsheading">
    <w:name w:val="Jurisdiction comments heading"/>
    <w:rsid w:val="00374E76"/>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374E76"/>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374E76"/>
    <w:pPr>
      <w:numPr>
        <w:numId w:val="5"/>
      </w:numPr>
      <w:spacing w:before="120"/>
    </w:pPr>
  </w:style>
  <w:style w:type="paragraph" w:styleId="ListBullet2">
    <w:name w:val="List Bullet 2"/>
    <w:basedOn w:val="BodyText"/>
    <w:link w:val="ListBullet2Char"/>
    <w:rsid w:val="00374E76"/>
    <w:pPr>
      <w:numPr>
        <w:numId w:val="6"/>
      </w:numPr>
      <w:spacing w:before="120"/>
    </w:pPr>
  </w:style>
  <w:style w:type="paragraph" w:styleId="ListBullet3">
    <w:name w:val="List Bullet 3"/>
    <w:basedOn w:val="BodyText"/>
    <w:rsid w:val="00374E76"/>
    <w:pPr>
      <w:numPr>
        <w:numId w:val="7"/>
      </w:numPr>
      <w:spacing w:before="120"/>
      <w:ind w:left="1020" w:hanging="340"/>
    </w:pPr>
  </w:style>
  <w:style w:type="paragraph" w:styleId="ListNumber">
    <w:name w:val="List Number"/>
    <w:basedOn w:val="BodyText"/>
    <w:rsid w:val="00374E76"/>
    <w:pPr>
      <w:numPr>
        <w:numId w:val="13"/>
      </w:numPr>
      <w:spacing w:before="120"/>
    </w:pPr>
  </w:style>
  <w:style w:type="paragraph" w:styleId="ListNumber2">
    <w:name w:val="List Number 2"/>
    <w:basedOn w:val="ListNumber"/>
    <w:rsid w:val="00374E76"/>
    <w:pPr>
      <w:numPr>
        <w:ilvl w:val="1"/>
      </w:numPr>
    </w:pPr>
  </w:style>
  <w:style w:type="paragraph" w:styleId="ListNumber3">
    <w:name w:val="List Number 3"/>
    <w:basedOn w:val="ListNumber2"/>
    <w:rsid w:val="00374E76"/>
    <w:pPr>
      <w:numPr>
        <w:ilvl w:val="2"/>
      </w:numPr>
    </w:pPr>
  </w:style>
  <w:style w:type="character" w:customStyle="1" w:styleId="NoteLabel">
    <w:name w:val="Note Label"/>
    <w:basedOn w:val="DefaultParagraphFont"/>
    <w:rsid w:val="00374E76"/>
    <w:rPr>
      <w:rFonts w:ascii="Arial" w:hAnsi="Arial"/>
      <w:b/>
      <w:position w:val="6"/>
      <w:sz w:val="18"/>
    </w:rPr>
  </w:style>
  <w:style w:type="paragraph" w:customStyle="1" w:styleId="PartDivider">
    <w:name w:val="Part Divider"/>
    <w:basedOn w:val="BodyText"/>
    <w:next w:val="BodyText"/>
    <w:semiHidden/>
    <w:rsid w:val="00374E76"/>
    <w:pPr>
      <w:spacing w:before="0" w:line="40" w:lineRule="exact"/>
      <w:jc w:val="right"/>
    </w:pPr>
    <w:rPr>
      <w:smallCaps/>
      <w:sz w:val="16"/>
    </w:rPr>
  </w:style>
  <w:style w:type="paragraph" w:customStyle="1" w:styleId="PartNumber">
    <w:name w:val="Part Number"/>
    <w:basedOn w:val="BodyText"/>
    <w:next w:val="BodyText"/>
    <w:semiHidden/>
    <w:rsid w:val="00374E76"/>
    <w:pPr>
      <w:spacing w:before="4000" w:line="320" w:lineRule="exact"/>
      <w:ind w:left="6634"/>
      <w:jc w:val="right"/>
    </w:pPr>
    <w:rPr>
      <w:smallCaps/>
      <w:spacing w:val="60"/>
      <w:sz w:val="32"/>
    </w:rPr>
  </w:style>
  <w:style w:type="paragraph" w:customStyle="1" w:styleId="PartTitle">
    <w:name w:val="Part Title"/>
    <w:basedOn w:val="BodyText"/>
    <w:rsid w:val="00374E76"/>
    <w:pPr>
      <w:spacing w:before="160" w:after="1360" w:line="520" w:lineRule="exact"/>
      <w:ind w:right="2381"/>
      <w:jc w:val="right"/>
    </w:pPr>
    <w:rPr>
      <w:smallCaps/>
      <w:sz w:val="52"/>
    </w:rPr>
  </w:style>
  <w:style w:type="paragraph" w:styleId="Quote">
    <w:name w:val="Quote"/>
    <w:basedOn w:val="BodyText"/>
    <w:next w:val="BodyText"/>
    <w:link w:val="QuoteChar"/>
    <w:qFormat/>
    <w:rsid w:val="00374E76"/>
    <w:pPr>
      <w:spacing w:before="120" w:line="280" w:lineRule="exact"/>
      <w:ind w:left="340"/>
    </w:pPr>
    <w:rPr>
      <w:sz w:val="22"/>
    </w:rPr>
  </w:style>
  <w:style w:type="paragraph" w:customStyle="1" w:styleId="QuoteBullet">
    <w:name w:val="Quote Bullet"/>
    <w:basedOn w:val="Quote"/>
    <w:rsid w:val="00374E76"/>
    <w:pPr>
      <w:numPr>
        <w:numId w:val="8"/>
      </w:numPr>
    </w:pPr>
  </w:style>
  <w:style w:type="paragraph" w:customStyle="1" w:styleId="Rec">
    <w:name w:val="Rec"/>
    <w:basedOn w:val="BodyText"/>
    <w:qFormat/>
    <w:rsid w:val="00374E76"/>
    <w:pPr>
      <w:keepLines/>
      <w:spacing w:before="120" w:line="280" w:lineRule="atLeast"/>
    </w:pPr>
    <w:rPr>
      <w:rFonts w:ascii="Arial" w:hAnsi="Arial"/>
      <w:sz w:val="22"/>
    </w:rPr>
  </w:style>
  <w:style w:type="paragraph" w:customStyle="1" w:styleId="RecBullet">
    <w:name w:val="Rec Bullet"/>
    <w:basedOn w:val="Rec"/>
    <w:rsid w:val="00374E76"/>
    <w:pPr>
      <w:numPr>
        <w:numId w:val="9"/>
      </w:numPr>
      <w:spacing w:before="80"/>
    </w:pPr>
  </w:style>
  <w:style w:type="paragraph" w:customStyle="1" w:styleId="RecB">
    <w:name w:val="RecB"/>
    <w:basedOn w:val="Normal"/>
    <w:rsid w:val="00374E7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74E76"/>
    <w:pPr>
      <w:numPr>
        <w:numId w:val="10"/>
      </w:numPr>
      <w:spacing w:before="80"/>
    </w:pPr>
  </w:style>
  <w:style w:type="paragraph" w:customStyle="1" w:styleId="RecBNoTitle">
    <w:name w:val="RecB NoTitle"/>
    <w:basedOn w:val="RecB"/>
    <w:rsid w:val="00374E76"/>
    <w:pPr>
      <w:spacing w:before="240"/>
    </w:pPr>
  </w:style>
  <w:style w:type="paragraph" w:customStyle="1" w:styleId="Reference">
    <w:name w:val="Reference"/>
    <w:basedOn w:val="BodyText"/>
    <w:link w:val="ReferenceChar"/>
    <w:rsid w:val="00374E76"/>
    <w:pPr>
      <w:spacing w:before="120"/>
      <w:ind w:left="340" w:hanging="340"/>
    </w:pPr>
  </w:style>
  <w:style w:type="paragraph" w:customStyle="1" w:styleId="SequenceInfo">
    <w:name w:val="Sequence Info"/>
    <w:basedOn w:val="BodyText"/>
    <w:semiHidden/>
    <w:rsid w:val="00374E76"/>
    <w:rPr>
      <w:vanish/>
      <w:sz w:val="16"/>
    </w:rPr>
  </w:style>
  <w:style w:type="paragraph" w:customStyle="1" w:styleId="SideNote">
    <w:name w:val="Side Note"/>
    <w:basedOn w:val="BodyText"/>
    <w:next w:val="BodyText"/>
    <w:semiHidden/>
    <w:rsid w:val="00374E7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74E76"/>
    <w:pPr>
      <w:framePr w:wrap="around"/>
      <w:numPr>
        <w:numId w:val="11"/>
      </w:numPr>
      <w:tabs>
        <w:tab w:val="left" w:pos="227"/>
      </w:tabs>
    </w:pPr>
  </w:style>
  <w:style w:type="paragraph" w:customStyle="1" w:styleId="SideNoteGraphic">
    <w:name w:val="Side Note Graphic"/>
    <w:basedOn w:val="SideNote"/>
    <w:next w:val="BodyText"/>
    <w:semiHidden/>
    <w:rsid w:val="00374E76"/>
    <w:pPr>
      <w:framePr w:wrap="around"/>
    </w:pPr>
  </w:style>
  <w:style w:type="paragraph" w:customStyle="1" w:styleId="TableBodyText">
    <w:name w:val="Table Body Text"/>
    <w:basedOn w:val="BodyText"/>
    <w:link w:val="TableBodyTextChar"/>
    <w:rsid w:val="00374E7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74E76"/>
    <w:pPr>
      <w:numPr>
        <w:numId w:val="12"/>
      </w:numPr>
      <w:jc w:val="left"/>
    </w:pPr>
  </w:style>
  <w:style w:type="paragraph" w:customStyle="1" w:styleId="TableColumnHeading">
    <w:name w:val="Table Column Heading"/>
    <w:basedOn w:val="TableBodyText"/>
    <w:link w:val="TableColumnHeadingChar"/>
    <w:rsid w:val="00374E76"/>
    <w:pPr>
      <w:spacing w:before="80" w:after="80"/>
    </w:pPr>
    <w:rPr>
      <w:i/>
    </w:rPr>
  </w:style>
  <w:style w:type="paragraph" w:styleId="TOC2">
    <w:name w:val="toc 2"/>
    <w:basedOn w:val="TOC1"/>
    <w:rsid w:val="00374E76"/>
    <w:pPr>
      <w:ind w:left="1134" w:hanging="624"/>
    </w:pPr>
    <w:rPr>
      <w:b w:val="0"/>
    </w:rPr>
  </w:style>
  <w:style w:type="paragraph" w:styleId="TOC3">
    <w:name w:val="toc 3"/>
    <w:basedOn w:val="TOC2"/>
    <w:rsid w:val="00374E76"/>
    <w:pPr>
      <w:spacing w:before="60"/>
      <w:ind w:left="1190" w:hanging="680"/>
    </w:pPr>
  </w:style>
  <w:style w:type="paragraph" w:styleId="TableofFigures">
    <w:name w:val="table of figures"/>
    <w:basedOn w:val="TOC3"/>
    <w:next w:val="BodyText"/>
    <w:semiHidden/>
    <w:rsid w:val="00374E76"/>
    <w:pPr>
      <w:ind w:left="737" w:hanging="737"/>
    </w:pPr>
  </w:style>
  <w:style w:type="paragraph" w:customStyle="1" w:styleId="TableTitle">
    <w:name w:val="Table Title"/>
    <w:basedOn w:val="Caption"/>
    <w:next w:val="Subtitle"/>
    <w:link w:val="TableTitleChar"/>
    <w:qFormat/>
    <w:rsid w:val="00374E76"/>
    <w:pPr>
      <w:spacing w:before="120"/>
    </w:pPr>
  </w:style>
  <w:style w:type="paragraph" w:customStyle="1" w:styleId="TableUnitsRow">
    <w:name w:val="Table Units Row"/>
    <w:basedOn w:val="TableBodyText"/>
    <w:rsid w:val="00374E76"/>
    <w:pPr>
      <w:spacing w:before="40"/>
    </w:pPr>
  </w:style>
  <w:style w:type="paragraph" w:styleId="TOC1">
    <w:name w:val="toc 1"/>
    <w:basedOn w:val="Normal"/>
    <w:next w:val="TOC2"/>
    <w:link w:val="TOC1Char"/>
    <w:rsid w:val="00374E7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374E76"/>
    <w:pPr>
      <w:ind w:left="1191" w:firstLine="0"/>
    </w:pPr>
  </w:style>
  <w:style w:type="paragraph" w:customStyle="1" w:styleId="RecBBullet2">
    <w:name w:val="RecB Bullet 2"/>
    <w:basedOn w:val="ListBullet2"/>
    <w:rsid w:val="00374E76"/>
    <w:pPr>
      <w:pBdr>
        <w:left w:val="single" w:sz="24" w:space="29" w:color="C0C0C0"/>
      </w:pBdr>
    </w:pPr>
    <w:rPr>
      <w:b/>
      <w:i/>
    </w:rPr>
  </w:style>
  <w:style w:type="paragraph" w:styleId="BalloonText">
    <w:name w:val="Balloon Text"/>
    <w:basedOn w:val="Normal"/>
    <w:link w:val="BalloonTextChar"/>
    <w:rsid w:val="00374E76"/>
    <w:rPr>
      <w:rFonts w:ascii="Tahoma" w:hAnsi="Tahoma" w:cs="Tahoma"/>
      <w:sz w:val="16"/>
      <w:szCs w:val="16"/>
    </w:rPr>
  </w:style>
  <w:style w:type="character" w:customStyle="1" w:styleId="BalloonTextChar">
    <w:name w:val="Balloon Text Char"/>
    <w:basedOn w:val="DefaultParagraphFont"/>
    <w:link w:val="BalloonText"/>
    <w:rsid w:val="00374E76"/>
    <w:rPr>
      <w:rFonts w:ascii="Tahoma" w:hAnsi="Tahoma" w:cs="Tahoma"/>
      <w:sz w:val="16"/>
      <w:szCs w:val="16"/>
    </w:rPr>
  </w:style>
  <w:style w:type="character" w:customStyle="1" w:styleId="SubtitleChar">
    <w:name w:val="Subtitle Char"/>
    <w:basedOn w:val="DefaultParagraphFont"/>
    <w:link w:val="Subtitle"/>
    <w:rsid w:val="00374E76"/>
    <w:rPr>
      <w:rFonts w:ascii="Arial" w:hAnsi="Arial"/>
      <w:szCs w:val="24"/>
    </w:rPr>
  </w:style>
  <w:style w:type="paragraph" w:customStyle="1" w:styleId="BoxListBullet3">
    <w:name w:val="Box List Bullet 3"/>
    <w:basedOn w:val="ListBullet3"/>
    <w:rsid w:val="00374E7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74E76"/>
    <w:rPr>
      <w:i/>
      <w:iCs/>
    </w:rPr>
  </w:style>
  <w:style w:type="paragraph" w:customStyle="1" w:styleId="BoxQuoteBullet">
    <w:name w:val="Box Quote Bullet"/>
    <w:basedOn w:val="BoxQuote"/>
    <w:next w:val="Box"/>
    <w:rsid w:val="00374E76"/>
    <w:pPr>
      <w:numPr>
        <w:numId w:val="15"/>
      </w:numPr>
      <w:ind w:left="568" w:hanging="284"/>
    </w:pPr>
  </w:style>
  <w:style w:type="paragraph" w:customStyle="1" w:styleId="InformationRequestBullet">
    <w:name w:val="Information Request Bullet"/>
    <w:basedOn w:val="ListBullet"/>
    <w:next w:val="BodyText"/>
    <w:rsid w:val="00374E7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374E76"/>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374E76"/>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374E76"/>
    <w:rPr>
      <w:sz w:val="24"/>
    </w:rPr>
  </w:style>
  <w:style w:type="character" w:customStyle="1" w:styleId="FooterChar">
    <w:name w:val="Footer Char"/>
    <w:basedOn w:val="BodyTextChar"/>
    <w:link w:val="Footer"/>
    <w:rsid w:val="00374E76"/>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374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22"/>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374E7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74E76"/>
    <w:pPr>
      <w:numPr>
        <w:numId w:val="19"/>
      </w:numPr>
      <w:ind w:left="568" w:hanging="284"/>
    </w:pPr>
  </w:style>
  <w:style w:type="paragraph" w:customStyle="1" w:styleId="InformationRequestTitle">
    <w:name w:val="Information Request Title"/>
    <w:basedOn w:val="FindingTitle"/>
    <w:next w:val="InformationRequest"/>
    <w:rsid w:val="00374E76"/>
    <w:rPr>
      <w:i/>
    </w:rPr>
  </w:style>
  <w:style w:type="paragraph" w:customStyle="1" w:styleId="Space">
    <w:name w:val="Space"/>
    <w:basedOn w:val="Normal"/>
    <w:rsid w:val="00374E76"/>
    <w:pPr>
      <w:keepNext/>
      <w:spacing w:line="120" w:lineRule="exact"/>
      <w:jc w:val="both"/>
    </w:pPr>
    <w:rPr>
      <w:rFonts w:ascii="Arial" w:hAnsi="Arial"/>
      <w:sz w:val="20"/>
      <w:szCs w:val="20"/>
    </w:rPr>
  </w:style>
  <w:style w:type="paragraph" w:customStyle="1" w:styleId="Heading1nochapterno">
    <w:name w:val="Heading 1 (no chapter no.)"/>
    <w:basedOn w:val="Heading1"/>
    <w:rsid w:val="00374E76"/>
    <w:pPr>
      <w:spacing w:before="0"/>
      <w:ind w:left="0" w:firstLine="0"/>
    </w:pPr>
  </w:style>
  <w:style w:type="paragraph" w:customStyle="1" w:styleId="Heading2nosectionno">
    <w:name w:val="Heading 2 (no section no.)"/>
    <w:basedOn w:val="Heading2"/>
    <w:rsid w:val="00374E76"/>
    <w:pPr>
      <w:ind w:left="0" w:firstLine="0"/>
    </w:pPr>
  </w:style>
  <w:style w:type="paragraph" w:customStyle="1" w:styleId="Figurespace">
    <w:name w:val="Figure space"/>
    <w:basedOn w:val="Box"/>
    <w:rsid w:val="00374E76"/>
    <w:pPr>
      <w:spacing w:before="0" w:line="120" w:lineRule="exact"/>
    </w:pPr>
  </w:style>
  <w:style w:type="paragraph" w:customStyle="1" w:styleId="FooterDraftReport">
    <w:name w:val="FooterDraftReport"/>
    <w:basedOn w:val="Footer"/>
    <w:link w:val="FooterDraftReportChar"/>
    <w:rsid w:val="00374E7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374E7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374E76"/>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31"/>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 w:type="paragraph" w:customStyle="1" w:styleId="Copyrightbodytext">
    <w:name w:val="Copyright bodytext"/>
    <w:basedOn w:val="BodyText"/>
    <w:link w:val="CopyrightbodytextChar"/>
    <w:qFormat/>
    <w:rsid w:val="0085187C"/>
    <w:pPr>
      <w:spacing w:before="60"/>
    </w:pPr>
    <w:rPr>
      <w:sz w:val="22"/>
    </w:rPr>
  </w:style>
  <w:style w:type="character" w:customStyle="1" w:styleId="CopyrightbodytextChar">
    <w:name w:val="Copyright bodytext Char"/>
    <w:basedOn w:val="DefaultParagraphFont"/>
    <w:link w:val="Copyrightbodytext"/>
    <w:rsid w:val="0085187C"/>
    <w:rPr>
      <w:sz w:val="22"/>
    </w:rPr>
  </w:style>
  <w:style w:type="paragraph" w:customStyle="1" w:styleId="DHSBulletText">
    <w:name w:val="DHS Bullet Text"/>
    <w:basedOn w:val="Normal"/>
    <w:rsid w:val="008C487D"/>
    <w:pPr>
      <w:numPr>
        <w:numId w:val="37"/>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C48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74E76"/>
    <w:rPr>
      <w:sz w:val="24"/>
      <w:szCs w:val="24"/>
    </w:rPr>
  </w:style>
  <w:style w:type="paragraph" w:styleId="Heading1">
    <w:name w:val="heading 1"/>
    <w:basedOn w:val="BodyText"/>
    <w:next w:val="BodyText"/>
    <w:link w:val="Heading1Char"/>
    <w:rsid w:val="00374E7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374E7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74E76"/>
    <w:pPr>
      <w:spacing w:before="560" w:line="320" w:lineRule="exact"/>
      <w:ind w:left="0" w:firstLine="0"/>
      <w:outlineLvl w:val="2"/>
    </w:pPr>
    <w:rPr>
      <w:sz w:val="26"/>
    </w:rPr>
  </w:style>
  <w:style w:type="paragraph" w:styleId="Heading4">
    <w:name w:val="heading 4"/>
    <w:basedOn w:val="Heading3"/>
    <w:next w:val="BodyText"/>
    <w:link w:val="Heading4Char"/>
    <w:qFormat/>
    <w:rsid w:val="00374E76"/>
    <w:pPr>
      <w:spacing w:before="480"/>
      <w:outlineLvl w:val="3"/>
    </w:pPr>
    <w:rPr>
      <w:b w:val="0"/>
      <w:sz w:val="24"/>
    </w:rPr>
  </w:style>
  <w:style w:type="paragraph" w:styleId="Heading5">
    <w:name w:val="heading 5"/>
    <w:basedOn w:val="Heading4"/>
    <w:next w:val="BodyText"/>
    <w:link w:val="Heading5Char"/>
    <w:qFormat/>
    <w:rsid w:val="00374E76"/>
    <w:pPr>
      <w:outlineLvl w:val="4"/>
    </w:pPr>
    <w:rPr>
      <w:i/>
      <w:sz w:val="22"/>
    </w:rPr>
  </w:style>
  <w:style w:type="paragraph" w:styleId="Heading6">
    <w:name w:val="heading 6"/>
    <w:basedOn w:val="BodyText"/>
    <w:next w:val="BodyText"/>
    <w:link w:val="Heading6Char"/>
    <w:rsid w:val="00374E76"/>
    <w:pPr>
      <w:spacing w:after="60"/>
      <w:jc w:val="left"/>
      <w:outlineLvl w:val="5"/>
    </w:pPr>
    <w:rPr>
      <w:i/>
      <w:sz w:val="22"/>
    </w:rPr>
  </w:style>
  <w:style w:type="paragraph" w:styleId="Heading7">
    <w:name w:val="heading 7"/>
    <w:basedOn w:val="BodyText"/>
    <w:next w:val="BodyText"/>
    <w:link w:val="Heading7Char"/>
    <w:rsid w:val="00374E76"/>
    <w:pPr>
      <w:spacing w:after="60" w:line="240" w:lineRule="auto"/>
      <w:jc w:val="left"/>
      <w:outlineLvl w:val="6"/>
    </w:pPr>
    <w:rPr>
      <w:rFonts w:ascii="Arial" w:hAnsi="Arial"/>
      <w:sz w:val="20"/>
    </w:rPr>
  </w:style>
  <w:style w:type="paragraph" w:styleId="Heading8">
    <w:name w:val="heading 8"/>
    <w:basedOn w:val="BodyText"/>
    <w:next w:val="BodyText"/>
    <w:link w:val="Heading8Char"/>
    <w:rsid w:val="00374E7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374E7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74E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E76"/>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374E76"/>
    <w:pPr>
      <w:spacing w:before="240" w:line="300" w:lineRule="atLeast"/>
      <w:jc w:val="both"/>
    </w:pPr>
    <w:rPr>
      <w:sz w:val="24"/>
    </w:rPr>
  </w:style>
  <w:style w:type="paragraph" w:styleId="Footer">
    <w:name w:val="footer"/>
    <w:basedOn w:val="BodyText"/>
    <w:link w:val="FooterChar"/>
    <w:rsid w:val="00374E76"/>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374E76"/>
    <w:pPr>
      <w:spacing w:before="0" w:line="20" w:lineRule="exact"/>
    </w:pPr>
  </w:style>
  <w:style w:type="paragraph" w:styleId="Header">
    <w:name w:val="header"/>
    <w:basedOn w:val="BodyText"/>
    <w:link w:val="HeaderChar"/>
    <w:rsid w:val="00374E7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74E76"/>
    <w:pPr>
      <w:spacing w:line="20" w:lineRule="exact"/>
    </w:pPr>
    <w:rPr>
      <w:sz w:val="16"/>
    </w:rPr>
  </w:style>
  <w:style w:type="paragraph" w:customStyle="1" w:styleId="HeaderEven">
    <w:name w:val="Header Even"/>
    <w:basedOn w:val="Header"/>
    <w:semiHidden/>
    <w:rsid w:val="00374E76"/>
  </w:style>
  <w:style w:type="paragraph" w:customStyle="1" w:styleId="HeaderOdd">
    <w:name w:val="Header Odd"/>
    <w:basedOn w:val="Header"/>
    <w:rsid w:val="00374E76"/>
  </w:style>
  <w:style w:type="character" w:styleId="PageNumber">
    <w:name w:val="page number"/>
    <w:basedOn w:val="DefaultParagraphFont"/>
    <w:rsid w:val="00374E76"/>
    <w:rPr>
      <w:rFonts w:ascii="Arial" w:hAnsi="Arial"/>
      <w:b/>
      <w:sz w:val="16"/>
    </w:rPr>
  </w:style>
  <w:style w:type="paragraph" w:customStyle="1" w:styleId="Abbreviation">
    <w:name w:val="Abbreviation"/>
    <w:basedOn w:val="BodyText"/>
    <w:rsid w:val="00374E76"/>
    <w:pPr>
      <w:spacing w:before="120"/>
      <w:ind w:left="2381" w:hanging="2381"/>
      <w:jc w:val="left"/>
    </w:pPr>
  </w:style>
  <w:style w:type="paragraph" w:customStyle="1" w:styleId="Box">
    <w:name w:val="Box"/>
    <w:basedOn w:val="BodyText"/>
    <w:link w:val="BoxChar"/>
    <w:qFormat/>
    <w:rsid w:val="00374E7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374E76"/>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374E76"/>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374E76"/>
    <w:rPr>
      <w:b w:val="0"/>
      <w:i/>
    </w:rPr>
  </w:style>
  <w:style w:type="paragraph" w:customStyle="1" w:styleId="BoxListBullet">
    <w:name w:val="Box List Bullet"/>
    <w:basedOn w:val="BodyText"/>
    <w:link w:val="BoxListBulletChar"/>
    <w:rsid w:val="00374E7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74E76"/>
    <w:pPr>
      <w:numPr>
        <w:numId w:val="2"/>
      </w:numPr>
      <w:ind w:left="568" w:hanging="284"/>
    </w:pPr>
  </w:style>
  <w:style w:type="paragraph" w:customStyle="1" w:styleId="BoxListNumber">
    <w:name w:val="Box List Number"/>
    <w:basedOn w:val="BodyText"/>
    <w:link w:val="BoxListNumberChar"/>
    <w:rsid w:val="00374E76"/>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374E76"/>
    <w:pPr>
      <w:numPr>
        <w:ilvl w:val="1"/>
      </w:numPr>
      <w:ind w:left="681" w:hanging="397"/>
    </w:pPr>
  </w:style>
  <w:style w:type="paragraph" w:customStyle="1" w:styleId="BoxQuote">
    <w:name w:val="Box Quote"/>
    <w:basedOn w:val="BodyText"/>
    <w:next w:val="Box"/>
    <w:link w:val="BoxQuoteChar"/>
    <w:qFormat/>
    <w:rsid w:val="00374E76"/>
    <w:pPr>
      <w:keepNext/>
      <w:spacing w:before="60" w:line="240" w:lineRule="exact"/>
      <w:ind w:left="284"/>
    </w:pPr>
    <w:rPr>
      <w:rFonts w:ascii="Arial" w:hAnsi="Arial"/>
      <w:sz w:val="18"/>
    </w:rPr>
  </w:style>
  <w:style w:type="paragraph" w:customStyle="1" w:styleId="Note">
    <w:name w:val="Note"/>
    <w:basedOn w:val="BodyText"/>
    <w:next w:val="BodyText"/>
    <w:link w:val="NoteChar"/>
    <w:rsid w:val="00374E76"/>
    <w:pPr>
      <w:keepLines/>
      <w:spacing w:before="80" w:line="220" w:lineRule="exact"/>
    </w:pPr>
    <w:rPr>
      <w:rFonts w:ascii="Arial" w:hAnsi="Arial"/>
      <w:sz w:val="18"/>
    </w:rPr>
  </w:style>
  <w:style w:type="paragraph" w:customStyle="1" w:styleId="Source">
    <w:name w:val="Source"/>
    <w:basedOn w:val="Normal"/>
    <w:next w:val="BodyText"/>
    <w:link w:val="SourceChar"/>
    <w:rsid w:val="00374E76"/>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374E76"/>
    <w:pPr>
      <w:spacing w:before="120"/>
    </w:pPr>
  </w:style>
  <w:style w:type="paragraph" w:customStyle="1" w:styleId="BoxSpaceAbove">
    <w:name w:val="Box Space Above"/>
    <w:basedOn w:val="BodyText"/>
    <w:rsid w:val="00374E76"/>
    <w:pPr>
      <w:keepNext/>
      <w:spacing w:before="360" w:line="80" w:lineRule="exact"/>
      <w:jc w:val="left"/>
    </w:pPr>
  </w:style>
  <w:style w:type="paragraph" w:styleId="Caption">
    <w:name w:val="caption"/>
    <w:basedOn w:val="Normal"/>
    <w:next w:val="BodyText"/>
    <w:link w:val="CaptionChar"/>
    <w:rsid w:val="00374E7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374E76"/>
    <w:pPr>
      <w:spacing w:before="120" w:after="0"/>
    </w:pPr>
  </w:style>
  <w:style w:type="paragraph" w:customStyle="1" w:styleId="BoxSubtitle">
    <w:name w:val="Box Subtitle"/>
    <w:basedOn w:val="BoxTitle"/>
    <w:next w:val="Normal"/>
    <w:rsid w:val="00374E76"/>
    <w:pPr>
      <w:spacing w:after="80" w:line="200" w:lineRule="exact"/>
      <w:ind w:firstLine="0"/>
    </w:pPr>
    <w:rPr>
      <w:b w:val="0"/>
      <w:sz w:val="20"/>
    </w:rPr>
  </w:style>
  <w:style w:type="paragraph" w:customStyle="1" w:styleId="Chapter">
    <w:name w:val="Chapter"/>
    <w:basedOn w:val="Heading1"/>
    <w:next w:val="BodyText"/>
    <w:link w:val="ChapterChar"/>
    <w:semiHidden/>
    <w:rsid w:val="00374E76"/>
    <w:pPr>
      <w:ind w:left="0" w:firstLine="0"/>
      <w:outlineLvl w:val="9"/>
    </w:pPr>
  </w:style>
  <w:style w:type="paragraph" w:customStyle="1" w:styleId="ChapterSummary">
    <w:name w:val="Chapter Summary"/>
    <w:basedOn w:val="BodyText"/>
    <w:rsid w:val="00374E76"/>
    <w:pPr>
      <w:spacing w:line="280" w:lineRule="atLeast"/>
      <w:ind w:left="907"/>
    </w:pPr>
    <w:rPr>
      <w:rFonts w:ascii="Arial" w:hAnsi="Arial"/>
      <w:b/>
      <w:sz w:val="20"/>
    </w:rPr>
  </w:style>
  <w:style w:type="character" w:styleId="CommentReference">
    <w:name w:val="annotation reference"/>
    <w:basedOn w:val="DefaultParagraphFont"/>
    <w:rsid w:val="00374E76"/>
    <w:rPr>
      <w:b/>
      <w:vanish/>
      <w:color w:val="FF00FF"/>
      <w:sz w:val="20"/>
    </w:rPr>
  </w:style>
  <w:style w:type="paragraph" w:styleId="CommentText">
    <w:name w:val="annotation text"/>
    <w:basedOn w:val="Normal"/>
    <w:link w:val="CommentTextChar1"/>
    <w:semiHidden/>
    <w:rsid w:val="00374E76"/>
    <w:pPr>
      <w:spacing w:before="120" w:line="240" w:lineRule="atLeast"/>
      <w:ind w:left="567" w:hanging="567"/>
    </w:pPr>
    <w:rPr>
      <w:sz w:val="20"/>
    </w:rPr>
  </w:style>
  <w:style w:type="paragraph" w:customStyle="1" w:styleId="Continued">
    <w:name w:val="Continued"/>
    <w:basedOn w:val="BoxContinued"/>
    <w:next w:val="BodyText"/>
    <w:link w:val="ContinuedChar"/>
    <w:rsid w:val="00374E76"/>
  </w:style>
  <w:style w:type="character" w:customStyle="1" w:styleId="DocumentInfo">
    <w:name w:val="Document Info"/>
    <w:basedOn w:val="DefaultParagraphFont"/>
    <w:semiHidden/>
    <w:rsid w:val="00374E76"/>
    <w:rPr>
      <w:rFonts w:ascii="Arial" w:hAnsi="Arial"/>
      <w:sz w:val="14"/>
    </w:rPr>
  </w:style>
  <w:style w:type="character" w:customStyle="1" w:styleId="DraftingNote">
    <w:name w:val="Drafting Note"/>
    <w:basedOn w:val="DefaultParagraphFont"/>
    <w:rsid w:val="00374E76"/>
    <w:rPr>
      <w:b/>
      <w:color w:val="FF0000"/>
      <w:sz w:val="24"/>
      <w:u w:val="dotted"/>
    </w:rPr>
  </w:style>
  <w:style w:type="paragraph" w:customStyle="1" w:styleId="Figure">
    <w:name w:val="Figure"/>
    <w:basedOn w:val="BodyText"/>
    <w:link w:val="FigureChar"/>
    <w:rsid w:val="00374E76"/>
    <w:pPr>
      <w:keepNext/>
      <w:spacing w:before="120" w:after="120" w:line="240" w:lineRule="atLeast"/>
      <w:jc w:val="center"/>
    </w:pPr>
  </w:style>
  <w:style w:type="paragraph" w:customStyle="1" w:styleId="FigureTitle">
    <w:name w:val="Figure Title"/>
    <w:basedOn w:val="Caption"/>
    <w:next w:val="Subtitle"/>
    <w:link w:val="FigureTitleChar"/>
    <w:rsid w:val="00374E76"/>
    <w:pPr>
      <w:spacing w:before="120"/>
    </w:pPr>
  </w:style>
  <w:style w:type="paragraph" w:styleId="Subtitle">
    <w:name w:val="Subtitle"/>
    <w:basedOn w:val="Caption"/>
    <w:link w:val="SubtitleChar"/>
    <w:qFormat/>
    <w:rsid w:val="00374E76"/>
    <w:pPr>
      <w:spacing w:before="0" w:line="200" w:lineRule="exact"/>
      <w:ind w:firstLine="0"/>
    </w:pPr>
    <w:rPr>
      <w:b w:val="0"/>
      <w:sz w:val="20"/>
    </w:rPr>
  </w:style>
  <w:style w:type="paragraph" w:customStyle="1" w:styleId="Finding">
    <w:name w:val="Finding"/>
    <w:basedOn w:val="BodyText"/>
    <w:rsid w:val="00374E76"/>
    <w:pPr>
      <w:keepLines/>
      <w:spacing w:before="120" w:line="280" w:lineRule="atLeast"/>
    </w:pPr>
    <w:rPr>
      <w:rFonts w:ascii="Arial" w:hAnsi="Arial"/>
      <w:sz w:val="22"/>
    </w:rPr>
  </w:style>
  <w:style w:type="paragraph" w:customStyle="1" w:styleId="FindingBullet">
    <w:name w:val="Finding Bullet"/>
    <w:basedOn w:val="Finding"/>
    <w:rsid w:val="00374E76"/>
    <w:pPr>
      <w:numPr>
        <w:numId w:val="3"/>
      </w:numPr>
      <w:spacing w:before="80"/>
    </w:pPr>
  </w:style>
  <w:style w:type="paragraph" w:customStyle="1" w:styleId="FindingNoTitle">
    <w:name w:val="Finding NoTitle"/>
    <w:basedOn w:val="Finding"/>
    <w:rsid w:val="00374E76"/>
    <w:pPr>
      <w:spacing w:before="240"/>
    </w:pPr>
  </w:style>
  <w:style w:type="paragraph" w:customStyle="1" w:styleId="RecTitle">
    <w:name w:val="Rec Title"/>
    <w:basedOn w:val="BodyText"/>
    <w:next w:val="Rec"/>
    <w:qFormat/>
    <w:rsid w:val="00374E76"/>
    <w:pPr>
      <w:keepNext/>
      <w:keepLines/>
      <w:spacing w:line="280" w:lineRule="atLeast"/>
    </w:pPr>
    <w:rPr>
      <w:rFonts w:ascii="Arial" w:hAnsi="Arial"/>
      <w:caps/>
      <w:sz w:val="18"/>
    </w:rPr>
  </w:style>
  <w:style w:type="paragraph" w:customStyle="1" w:styleId="FindingTitle">
    <w:name w:val="Finding Title"/>
    <w:basedOn w:val="RecTitle"/>
    <w:next w:val="Finding"/>
    <w:rsid w:val="00374E76"/>
  </w:style>
  <w:style w:type="character" w:styleId="FootnoteReference">
    <w:name w:val="footnote reference"/>
    <w:basedOn w:val="DefaultParagraphFont"/>
    <w:rsid w:val="00374E76"/>
    <w:rPr>
      <w:rFonts w:ascii="Times New Roman" w:hAnsi="Times New Roman"/>
      <w:position w:val="6"/>
      <w:sz w:val="20"/>
      <w:vertAlign w:val="baseline"/>
    </w:rPr>
  </w:style>
  <w:style w:type="paragraph" w:styleId="FootnoteText">
    <w:name w:val="footnote text"/>
    <w:basedOn w:val="BodyText"/>
    <w:link w:val="FootnoteTextChar"/>
    <w:rsid w:val="00374E7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74E76"/>
    <w:rPr>
      <w:i/>
    </w:rPr>
  </w:style>
  <w:style w:type="paragraph" w:customStyle="1" w:styleId="Jurisdictioncommentsbodytext">
    <w:name w:val="Jurisdiction comments body text"/>
    <w:link w:val="JurisdictioncommentsbodytextChar"/>
    <w:rsid w:val="00374E76"/>
    <w:pPr>
      <w:spacing w:after="140"/>
      <w:jc w:val="both"/>
    </w:pPr>
    <w:rPr>
      <w:rFonts w:ascii="Arial" w:hAnsi="Arial"/>
      <w:sz w:val="24"/>
      <w:lang w:eastAsia="en-US"/>
    </w:rPr>
  </w:style>
  <w:style w:type="paragraph" w:customStyle="1" w:styleId="Jurisdictioncommentsheading">
    <w:name w:val="Jurisdiction comments heading"/>
    <w:rsid w:val="00374E76"/>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374E76"/>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374E76"/>
    <w:pPr>
      <w:numPr>
        <w:numId w:val="5"/>
      </w:numPr>
      <w:spacing w:before="120"/>
    </w:pPr>
  </w:style>
  <w:style w:type="paragraph" w:styleId="ListBullet2">
    <w:name w:val="List Bullet 2"/>
    <w:basedOn w:val="BodyText"/>
    <w:link w:val="ListBullet2Char"/>
    <w:rsid w:val="00374E76"/>
    <w:pPr>
      <w:numPr>
        <w:numId w:val="6"/>
      </w:numPr>
      <w:spacing w:before="120"/>
    </w:pPr>
  </w:style>
  <w:style w:type="paragraph" w:styleId="ListBullet3">
    <w:name w:val="List Bullet 3"/>
    <w:basedOn w:val="BodyText"/>
    <w:rsid w:val="00374E76"/>
    <w:pPr>
      <w:numPr>
        <w:numId w:val="7"/>
      </w:numPr>
      <w:spacing w:before="120"/>
      <w:ind w:left="1020" w:hanging="340"/>
    </w:pPr>
  </w:style>
  <w:style w:type="paragraph" w:styleId="ListNumber">
    <w:name w:val="List Number"/>
    <w:basedOn w:val="BodyText"/>
    <w:rsid w:val="00374E76"/>
    <w:pPr>
      <w:numPr>
        <w:numId w:val="13"/>
      </w:numPr>
      <w:spacing w:before="120"/>
    </w:pPr>
  </w:style>
  <w:style w:type="paragraph" w:styleId="ListNumber2">
    <w:name w:val="List Number 2"/>
    <w:basedOn w:val="ListNumber"/>
    <w:rsid w:val="00374E76"/>
    <w:pPr>
      <w:numPr>
        <w:ilvl w:val="1"/>
      </w:numPr>
    </w:pPr>
  </w:style>
  <w:style w:type="paragraph" w:styleId="ListNumber3">
    <w:name w:val="List Number 3"/>
    <w:basedOn w:val="ListNumber2"/>
    <w:rsid w:val="00374E76"/>
    <w:pPr>
      <w:numPr>
        <w:ilvl w:val="2"/>
      </w:numPr>
    </w:pPr>
  </w:style>
  <w:style w:type="character" w:customStyle="1" w:styleId="NoteLabel">
    <w:name w:val="Note Label"/>
    <w:basedOn w:val="DefaultParagraphFont"/>
    <w:rsid w:val="00374E76"/>
    <w:rPr>
      <w:rFonts w:ascii="Arial" w:hAnsi="Arial"/>
      <w:b/>
      <w:position w:val="6"/>
      <w:sz w:val="18"/>
    </w:rPr>
  </w:style>
  <w:style w:type="paragraph" w:customStyle="1" w:styleId="PartDivider">
    <w:name w:val="Part Divider"/>
    <w:basedOn w:val="BodyText"/>
    <w:next w:val="BodyText"/>
    <w:semiHidden/>
    <w:rsid w:val="00374E76"/>
    <w:pPr>
      <w:spacing w:before="0" w:line="40" w:lineRule="exact"/>
      <w:jc w:val="right"/>
    </w:pPr>
    <w:rPr>
      <w:smallCaps/>
      <w:sz w:val="16"/>
    </w:rPr>
  </w:style>
  <w:style w:type="paragraph" w:customStyle="1" w:styleId="PartNumber">
    <w:name w:val="Part Number"/>
    <w:basedOn w:val="BodyText"/>
    <w:next w:val="BodyText"/>
    <w:semiHidden/>
    <w:rsid w:val="00374E76"/>
    <w:pPr>
      <w:spacing w:before="4000" w:line="320" w:lineRule="exact"/>
      <w:ind w:left="6634"/>
      <w:jc w:val="right"/>
    </w:pPr>
    <w:rPr>
      <w:smallCaps/>
      <w:spacing w:val="60"/>
      <w:sz w:val="32"/>
    </w:rPr>
  </w:style>
  <w:style w:type="paragraph" w:customStyle="1" w:styleId="PartTitle">
    <w:name w:val="Part Title"/>
    <w:basedOn w:val="BodyText"/>
    <w:rsid w:val="00374E76"/>
    <w:pPr>
      <w:spacing w:before="160" w:after="1360" w:line="520" w:lineRule="exact"/>
      <w:ind w:right="2381"/>
      <w:jc w:val="right"/>
    </w:pPr>
    <w:rPr>
      <w:smallCaps/>
      <w:sz w:val="52"/>
    </w:rPr>
  </w:style>
  <w:style w:type="paragraph" w:styleId="Quote">
    <w:name w:val="Quote"/>
    <w:basedOn w:val="BodyText"/>
    <w:next w:val="BodyText"/>
    <w:link w:val="QuoteChar"/>
    <w:qFormat/>
    <w:rsid w:val="00374E76"/>
    <w:pPr>
      <w:spacing w:before="120" w:line="280" w:lineRule="exact"/>
      <w:ind w:left="340"/>
    </w:pPr>
    <w:rPr>
      <w:sz w:val="22"/>
    </w:rPr>
  </w:style>
  <w:style w:type="paragraph" w:customStyle="1" w:styleId="QuoteBullet">
    <w:name w:val="Quote Bullet"/>
    <w:basedOn w:val="Quote"/>
    <w:rsid w:val="00374E76"/>
    <w:pPr>
      <w:numPr>
        <w:numId w:val="8"/>
      </w:numPr>
    </w:pPr>
  </w:style>
  <w:style w:type="paragraph" w:customStyle="1" w:styleId="Rec">
    <w:name w:val="Rec"/>
    <w:basedOn w:val="BodyText"/>
    <w:qFormat/>
    <w:rsid w:val="00374E76"/>
    <w:pPr>
      <w:keepLines/>
      <w:spacing w:before="120" w:line="280" w:lineRule="atLeast"/>
    </w:pPr>
    <w:rPr>
      <w:rFonts w:ascii="Arial" w:hAnsi="Arial"/>
      <w:sz w:val="22"/>
    </w:rPr>
  </w:style>
  <w:style w:type="paragraph" w:customStyle="1" w:styleId="RecBullet">
    <w:name w:val="Rec Bullet"/>
    <w:basedOn w:val="Rec"/>
    <w:rsid w:val="00374E76"/>
    <w:pPr>
      <w:numPr>
        <w:numId w:val="9"/>
      </w:numPr>
      <w:spacing w:before="80"/>
    </w:pPr>
  </w:style>
  <w:style w:type="paragraph" w:customStyle="1" w:styleId="RecB">
    <w:name w:val="RecB"/>
    <w:basedOn w:val="Normal"/>
    <w:rsid w:val="00374E7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74E76"/>
    <w:pPr>
      <w:numPr>
        <w:numId w:val="10"/>
      </w:numPr>
      <w:spacing w:before="80"/>
    </w:pPr>
  </w:style>
  <w:style w:type="paragraph" w:customStyle="1" w:styleId="RecBNoTitle">
    <w:name w:val="RecB NoTitle"/>
    <w:basedOn w:val="RecB"/>
    <w:rsid w:val="00374E76"/>
    <w:pPr>
      <w:spacing w:before="240"/>
    </w:pPr>
  </w:style>
  <w:style w:type="paragraph" w:customStyle="1" w:styleId="Reference">
    <w:name w:val="Reference"/>
    <w:basedOn w:val="BodyText"/>
    <w:link w:val="ReferenceChar"/>
    <w:rsid w:val="00374E76"/>
    <w:pPr>
      <w:spacing w:before="120"/>
      <w:ind w:left="340" w:hanging="340"/>
    </w:pPr>
  </w:style>
  <w:style w:type="paragraph" w:customStyle="1" w:styleId="SequenceInfo">
    <w:name w:val="Sequence Info"/>
    <w:basedOn w:val="BodyText"/>
    <w:semiHidden/>
    <w:rsid w:val="00374E76"/>
    <w:rPr>
      <w:vanish/>
      <w:sz w:val="16"/>
    </w:rPr>
  </w:style>
  <w:style w:type="paragraph" w:customStyle="1" w:styleId="SideNote">
    <w:name w:val="Side Note"/>
    <w:basedOn w:val="BodyText"/>
    <w:next w:val="BodyText"/>
    <w:semiHidden/>
    <w:rsid w:val="00374E7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74E76"/>
    <w:pPr>
      <w:framePr w:wrap="around"/>
      <w:numPr>
        <w:numId w:val="11"/>
      </w:numPr>
      <w:tabs>
        <w:tab w:val="left" w:pos="227"/>
      </w:tabs>
    </w:pPr>
  </w:style>
  <w:style w:type="paragraph" w:customStyle="1" w:styleId="SideNoteGraphic">
    <w:name w:val="Side Note Graphic"/>
    <w:basedOn w:val="SideNote"/>
    <w:next w:val="BodyText"/>
    <w:semiHidden/>
    <w:rsid w:val="00374E76"/>
    <w:pPr>
      <w:framePr w:wrap="around"/>
    </w:pPr>
  </w:style>
  <w:style w:type="paragraph" w:customStyle="1" w:styleId="TableBodyText">
    <w:name w:val="Table Body Text"/>
    <w:basedOn w:val="BodyText"/>
    <w:link w:val="TableBodyTextChar"/>
    <w:rsid w:val="00374E7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74E76"/>
    <w:pPr>
      <w:numPr>
        <w:numId w:val="12"/>
      </w:numPr>
      <w:jc w:val="left"/>
    </w:pPr>
  </w:style>
  <w:style w:type="paragraph" w:customStyle="1" w:styleId="TableColumnHeading">
    <w:name w:val="Table Column Heading"/>
    <w:basedOn w:val="TableBodyText"/>
    <w:link w:val="TableColumnHeadingChar"/>
    <w:rsid w:val="00374E76"/>
    <w:pPr>
      <w:spacing w:before="80" w:after="80"/>
    </w:pPr>
    <w:rPr>
      <w:i/>
    </w:rPr>
  </w:style>
  <w:style w:type="paragraph" w:styleId="TOC2">
    <w:name w:val="toc 2"/>
    <w:basedOn w:val="TOC1"/>
    <w:rsid w:val="00374E76"/>
    <w:pPr>
      <w:ind w:left="1134" w:hanging="624"/>
    </w:pPr>
    <w:rPr>
      <w:b w:val="0"/>
    </w:rPr>
  </w:style>
  <w:style w:type="paragraph" w:styleId="TOC3">
    <w:name w:val="toc 3"/>
    <w:basedOn w:val="TOC2"/>
    <w:rsid w:val="00374E76"/>
    <w:pPr>
      <w:spacing w:before="60"/>
      <w:ind w:left="1190" w:hanging="680"/>
    </w:pPr>
  </w:style>
  <w:style w:type="paragraph" w:styleId="TableofFigures">
    <w:name w:val="table of figures"/>
    <w:basedOn w:val="TOC3"/>
    <w:next w:val="BodyText"/>
    <w:semiHidden/>
    <w:rsid w:val="00374E76"/>
    <w:pPr>
      <w:ind w:left="737" w:hanging="737"/>
    </w:pPr>
  </w:style>
  <w:style w:type="paragraph" w:customStyle="1" w:styleId="TableTitle">
    <w:name w:val="Table Title"/>
    <w:basedOn w:val="Caption"/>
    <w:next w:val="Subtitle"/>
    <w:link w:val="TableTitleChar"/>
    <w:qFormat/>
    <w:rsid w:val="00374E76"/>
    <w:pPr>
      <w:spacing w:before="120"/>
    </w:pPr>
  </w:style>
  <w:style w:type="paragraph" w:customStyle="1" w:styleId="TableUnitsRow">
    <w:name w:val="Table Units Row"/>
    <w:basedOn w:val="TableBodyText"/>
    <w:rsid w:val="00374E76"/>
    <w:pPr>
      <w:spacing w:before="40"/>
    </w:pPr>
  </w:style>
  <w:style w:type="paragraph" w:styleId="TOC1">
    <w:name w:val="toc 1"/>
    <w:basedOn w:val="Normal"/>
    <w:next w:val="TOC2"/>
    <w:link w:val="TOC1Char"/>
    <w:rsid w:val="00374E7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374E76"/>
    <w:pPr>
      <w:ind w:left="1191" w:firstLine="0"/>
    </w:pPr>
  </w:style>
  <w:style w:type="paragraph" w:customStyle="1" w:styleId="RecBBullet2">
    <w:name w:val="RecB Bullet 2"/>
    <w:basedOn w:val="ListBullet2"/>
    <w:rsid w:val="00374E76"/>
    <w:pPr>
      <w:pBdr>
        <w:left w:val="single" w:sz="24" w:space="29" w:color="C0C0C0"/>
      </w:pBdr>
    </w:pPr>
    <w:rPr>
      <w:b/>
      <w:i/>
    </w:rPr>
  </w:style>
  <w:style w:type="paragraph" w:styleId="BalloonText">
    <w:name w:val="Balloon Text"/>
    <w:basedOn w:val="Normal"/>
    <w:link w:val="BalloonTextChar"/>
    <w:rsid w:val="00374E76"/>
    <w:rPr>
      <w:rFonts w:ascii="Tahoma" w:hAnsi="Tahoma" w:cs="Tahoma"/>
      <w:sz w:val="16"/>
      <w:szCs w:val="16"/>
    </w:rPr>
  </w:style>
  <w:style w:type="character" w:customStyle="1" w:styleId="BalloonTextChar">
    <w:name w:val="Balloon Text Char"/>
    <w:basedOn w:val="DefaultParagraphFont"/>
    <w:link w:val="BalloonText"/>
    <w:rsid w:val="00374E76"/>
    <w:rPr>
      <w:rFonts w:ascii="Tahoma" w:hAnsi="Tahoma" w:cs="Tahoma"/>
      <w:sz w:val="16"/>
      <w:szCs w:val="16"/>
    </w:rPr>
  </w:style>
  <w:style w:type="character" w:customStyle="1" w:styleId="SubtitleChar">
    <w:name w:val="Subtitle Char"/>
    <w:basedOn w:val="DefaultParagraphFont"/>
    <w:link w:val="Subtitle"/>
    <w:rsid w:val="00374E76"/>
    <w:rPr>
      <w:rFonts w:ascii="Arial" w:hAnsi="Arial"/>
      <w:szCs w:val="24"/>
    </w:rPr>
  </w:style>
  <w:style w:type="paragraph" w:customStyle="1" w:styleId="BoxListBullet3">
    <w:name w:val="Box List Bullet 3"/>
    <w:basedOn w:val="ListBullet3"/>
    <w:rsid w:val="00374E7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74E76"/>
    <w:rPr>
      <w:i/>
      <w:iCs/>
    </w:rPr>
  </w:style>
  <w:style w:type="paragraph" w:customStyle="1" w:styleId="BoxQuoteBullet">
    <w:name w:val="Box Quote Bullet"/>
    <w:basedOn w:val="BoxQuote"/>
    <w:next w:val="Box"/>
    <w:rsid w:val="00374E76"/>
    <w:pPr>
      <w:numPr>
        <w:numId w:val="15"/>
      </w:numPr>
      <w:ind w:left="568" w:hanging="284"/>
    </w:pPr>
  </w:style>
  <w:style w:type="paragraph" w:customStyle="1" w:styleId="InformationRequestBullet">
    <w:name w:val="Information Request Bullet"/>
    <w:basedOn w:val="ListBullet"/>
    <w:next w:val="BodyText"/>
    <w:rsid w:val="00374E7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374E76"/>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374E76"/>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374E76"/>
    <w:rPr>
      <w:sz w:val="24"/>
    </w:rPr>
  </w:style>
  <w:style w:type="character" w:customStyle="1" w:styleId="FooterChar">
    <w:name w:val="Footer Char"/>
    <w:basedOn w:val="BodyTextChar"/>
    <w:link w:val="Footer"/>
    <w:rsid w:val="00374E76"/>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374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22"/>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374E7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74E76"/>
    <w:pPr>
      <w:numPr>
        <w:numId w:val="19"/>
      </w:numPr>
      <w:ind w:left="568" w:hanging="284"/>
    </w:pPr>
  </w:style>
  <w:style w:type="paragraph" w:customStyle="1" w:styleId="InformationRequestTitle">
    <w:name w:val="Information Request Title"/>
    <w:basedOn w:val="FindingTitle"/>
    <w:next w:val="InformationRequest"/>
    <w:rsid w:val="00374E76"/>
    <w:rPr>
      <w:i/>
    </w:rPr>
  </w:style>
  <w:style w:type="paragraph" w:customStyle="1" w:styleId="Space">
    <w:name w:val="Space"/>
    <w:basedOn w:val="Normal"/>
    <w:rsid w:val="00374E76"/>
    <w:pPr>
      <w:keepNext/>
      <w:spacing w:line="120" w:lineRule="exact"/>
      <w:jc w:val="both"/>
    </w:pPr>
    <w:rPr>
      <w:rFonts w:ascii="Arial" w:hAnsi="Arial"/>
      <w:sz w:val="20"/>
      <w:szCs w:val="20"/>
    </w:rPr>
  </w:style>
  <w:style w:type="paragraph" w:customStyle="1" w:styleId="Heading1nochapterno">
    <w:name w:val="Heading 1 (no chapter no.)"/>
    <w:basedOn w:val="Heading1"/>
    <w:rsid w:val="00374E76"/>
    <w:pPr>
      <w:spacing w:before="0"/>
      <w:ind w:left="0" w:firstLine="0"/>
    </w:pPr>
  </w:style>
  <w:style w:type="paragraph" w:customStyle="1" w:styleId="Heading2nosectionno">
    <w:name w:val="Heading 2 (no section no.)"/>
    <w:basedOn w:val="Heading2"/>
    <w:rsid w:val="00374E76"/>
    <w:pPr>
      <w:ind w:left="0" w:firstLine="0"/>
    </w:pPr>
  </w:style>
  <w:style w:type="paragraph" w:customStyle="1" w:styleId="Figurespace">
    <w:name w:val="Figure space"/>
    <w:basedOn w:val="Box"/>
    <w:rsid w:val="00374E76"/>
    <w:pPr>
      <w:spacing w:before="0" w:line="120" w:lineRule="exact"/>
    </w:pPr>
  </w:style>
  <w:style w:type="paragraph" w:customStyle="1" w:styleId="FooterDraftReport">
    <w:name w:val="FooterDraftReport"/>
    <w:basedOn w:val="Footer"/>
    <w:link w:val="FooterDraftReportChar"/>
    <w:rsid w:val="00374E7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374E7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374E76"/>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31"/>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 w:type="paragraph" w:customStyle="1" w:styleId="Copyrightbodytext">
    <w:name w:val="Copyright bodytext"/>
    <w:basedOn w:val="BodyText"/>
    <w:link w:val="CopyrightbodytextChar"/>
    <w:qFormat/>
    <w:rsid w:val="0085187C"/>
    <w:pPr>
      <w:spacing w:before="60"/>
    </w:pPr>
    <w:rPr>
      <w:sz w:val="22"/>
    </w:rPr>
  </w:style>
  <w:style w:type="character" w:customStyle="1" w:styleId="CopyrightbodytextChar">
    <w:name w:val="Copyright bodytext Char"/>
    <w:basedOn w:val="DefaultParagraphFont"/>
    <w:link w:val="Copyrightbodytext"/>
    <w:rsid w:val="0085187C"/>
    <w:rPr>
      <w:sz w:val="22"/>
    </w:rPr>
  </w:style>
  <w:style w:type="paragraph" w:customStyle="1" w:styleId="DHSBulletText">
    <w:name w:val="DHS Bullet Text"/>
    <w:basedOn w:val="Normal"/>
    <w:rsid w:val="008C487D"/>
    <w:pPr>
      <w:numPr>
        <w:numId w:val="37"/>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C4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34136">
      <w:bodyDiv w:val="1"/>
      <w:marLeft w:val="0"/>
      <w:marRight w:val="0"/>
      <w:marTop w:val="0"/>
      <w:marBottom w:val="0"/>
      <w:divBdr>
        <w:top w:val="none" w:sz="0" w:space="0" w:color="auto"/>
        <w:left w:val="none" w:sz="0" w:space="0" w:color="auto"/>
        <w:bottom w:val="none" w:sz="0" w:space="0" w:color="auto"/>
        <w:right w:val="none" w:sz="0" w:space="0" w:color="auto"/>
      </w:divBdr>
    </w:div>
    <w:div w:id="352656643">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901450879">
      <w:bodyDiv w:val="1"/>
      <w:marLeft w:val="0"/>
      <w:marRight w:val="0"/>
      <w:marTop w:val="0"/>
      <w:marBottom w:val="0"/>
      <w:divBdr>
        <w:top w:val="none" w:sz="0" w:space="0" w:color="auto"/>
        <w:left w:val="none" w:sz="0" w:space="0" w:color="auto"/>
        <w:bottom w:val="none" w:sz="0" w:space="0" w:color="auto"/>
        <w:right w:val="none" w:sz="0" w:space="0" w:color="auto"/>
      </w:divBdr>
    </w:div>
    <w:div w:id="1203253361">
      <w:bodyDiv w:val="1"/>
      <w:marLeft w:val="0"/>
      <w:marRight w:val="0"/>
      <w:marTop w:val="0"/>
      <w:marBottom w:val="0"/>
      <w:divBdr>
        <w:top w:val="none" w:sz="0" w:space="0" w:color="auto"/>
        <w:left w:val="none" w:sz="0" w:space="0" w:color="auto"/>
        <w:bottom w:val="none" w:sz="0" w:space="0" w:color="auto"/>
        <w:right w:val="none" w:sz="0" w:space="0" w:color="auto"/>
      </w:divBdr>
    </w:div>
    <w:div w:id="124900044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chart" Target="charts/char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1.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4.emf"/><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chart" Target="charts/chart1.xm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chart" Target="charts/chart3.xm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'single year'!$A$4</c:f>
              <c:strCache>
                <c:ptCount val="1"/>
                <c:pt idx="0">
                  <c:v>2010</c:v>
                </c:pt>
              </c:strCache>
            </c:strRef>
          </c:tx>
          <c:spPr>
            <a:solidFill>
              <a:srgbClr val="387DD2"/>
            </a:solidFill>
            <a:ln>
              <a:solidFill>
                <a:srgbClr val="387DD2"/>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year'!$B$4:$J$4</c:f>
              <c:numCache>
                <c:formatCode>0.0</c:formatCode>
                <c:ptCount val="9"/>
                <c:pt idx="0">
                  <c:v>64.255246544957998</c:v>
                </c:pt>
                <c:pt idx="1">
                  <c:v>60.489602526981002</c:v>
                </c:pt>
                <c:pt idx="2">
                  <c:v>72.388059701493006</c:v>
                </c:pt>
                <c:pt idx="3">
                  <c:v>62.083333333333002</c:v>
                </c:pt>
                <c:pt idx="4">
                  <c:v>70.03112494442</c:v>
                </c:pt>
                <c:pt idx="5">
                  <c:v>65.689467969597999</c:v>
                </c:pt>
                <c:pt idx="6">
                  <c:v>51.526032315978</c:v>
                </c:pt>
                <c:pt idx="7">
                  <c:v>66.813186813187002</c:v>
                </c:pt>
                <c:pt idx="8">
                  <c:v>65.272257551669</c:v>
                </c:pt>
              </c:numCache>
            </c:numRef>
          </c:val>
        </c:ser>
        <c:ser>
          <c:idx val="1"/>
          <c:order val="1"/>
          <c:tx>
            <c:strRef>
              <c:f>'single year'!$A$5</c:f>
              <c:strCache>
                <c:ptCount val="1"/>
                <c:pt idx="0">
                  <c:v>2011</c:v>
                </c:pt>
              </c:strCache>
            </c:strRef>
          </c:tx>
          <c:spPr>
            <a:solidFill>
              <a:srgbClr val="000000"/>
            </a:solidFill>
            <a:ln>
              <a:solidFill>
                <a:srgbClr val="000000"/>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year'!$B$5:$J$5</c:f>
              <c:numCache>
                <c:formatCode>0.0</c:formatCode>
                <c:ptCount val="9"/>
                <c:pt idx="0">
                  <c:v>65.381200000000007</c:v>
                </c:pt>
                <c:pt idx="1">
                  <c:v>67.459100000000007</c:v>
                </c:pt>
                <c:pt idx="2">
                  <c:v>71.499700000000004</c:v>
                </c:pt>
                <c:pt idx="3">
                  <c:v>62.268599999999999</c:v>
                </c:pt>
                <c:pt idx="4">
                  <c:v>71.114599999999996</c:v>
                </c:pt>
                <c:pt idx="5">
                  <c:v>66.775199999999998</c:v>
                </c:pt>
                <c:pt idx="6">
                  <c:v>55.7121</c:v>
                </c:pt>
                <c:pt idx="7">
                  <c:v>64.818799999999996</c:v>
                </c:pt>
                <c:pt idx="8">
                  <c:v>66.853690116530004</c:v>
                </c:pt>
              </c:numCache>
            </c:numRef>
          </c:val>
        </c:ser>
        <c:ser>
          <c:idx val="2"/>
          <c:order val="2"/>
          <c:tx>
            <c:strRef>
              <c:f>'single year'!$A$6</c:f>
              <c:strCache>
                <c:ptCount val="1"/>
                <c:pt idx="0">
                  <c:v>2012</c:v>
                </c:pt>
              </c:strCache>
            </c:strRef>
          </c:tx>
          <c:spPr>
            <a:solidFill>
              <a:srgbClr val="B2D673"/>
            </a:solidFill>
            <a:ln>
              <a:solidFill>
                <a:srgbClr val="B2D673"/>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year'!$B$6:$J$6</c:f>
              <c:numCache>
                <c:formatCode>0.0</c:formatCode>
                <c:ptCount val="9"/>
                <c:pt idx="0">
                  <c:v>72.636399999999995</c:v>
                </c:pt>
                <c:pt idx="1">
                  <c:v>62.098199999999999</c:v>
                </c:pt>
                <c:pt idx="2">
                  <c:v>71.873199999999997</c:v>
                </c:pt>
                <c:pt idx="3">
                  <c:v>61.113</c:v>
                </c:pt>
                <c:pt idx="4">
                  <c:v>71.884200000000007</c:v>
                </c:pt>
                <c:pt idx="5">
                  <c:v>64.047399999999996</c:v>
                </c:pt>
                <c:pt idx="6">
                  <c:v>54.100700000000003</c:v>
                </c:pt>
                <c:pt idx="7">
                  <c:v>57.823099999999997</c:v>
                </c:pt>
                <c:pt idx="8">
                  <c:v>67.5</c:v>
                </c:pt>
              </c:numCache>
            </c:numRef>
          </c:val>
        </c:ser>
        <c:ser>
          <c:idx val="3"/>
          <c:order val="3"/>
          <c:tx>
            <c:strRef>
              <c:f>'single year'!$A$7</c:f>
              <c:strCache>
                <c:ptCount val="1"/>
                <c:pt idx="0">
                  <c:v>2013</c:v>
                </c:pt>
              </c:strCache>
            </c:strRef>
          </c:tx>
          <c:spPr>
            <a:solidFill>
              <a:srgbClr val="265A9A"/>
            </a:solidFill>
            <a:ln>
              <a:solidFill>
                <a:srgbClr val="265A9A"/>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year'!$B$7:$J$7</c:f>
              <c:numCache>
                <c:formatCode>0.0</c:formatCode>
                <c:ptCount val="9"/>
                <c:pt idx="0">
                  <c:v>69.665599999999998</c:v>
                </c:pt>
                <c:pt idx="1">
                  <c:v>46.765599999999999</c:v>
                </c:pt>
                <c:pt idx="2">
                  <c:v>67.593500000000006</c:v>
                </c:pt>
                <c:pt idx="3">
                  <c:v>59.524700000000003</c:v>
                </c:pt>
                <c:pt idx="4">
                  <c:v>69.570599999999999</c:v>
                </c:pt>
                <c:pt idx="5">
                  <c:v>64.263599999999997</c:v>
                </c:pt>
                <c:pt idx="6">
                  <c:v>61.465000000000003</c:v>
                </c:pt>
                <c:pt idx="7">
                  <c:v>65.108999999999995</c:v>
                </c:pt>
                <c:pt idx="8">
                  <c:v>63.1</c:v>
                </c:pt>
              </c:numCache>
            </c:numRef>
          </c:val>
        </c:ser>
        <c:ser>
          <c:idx val="4"/>
          <c:order val="4"/>
          <c:tx>
            <c:strRef>
              <c:f>'single year'!$A$8</c:f>
              <c:strCache>
                <c:ptCount val="1"/>
                <c:pt idx="0">
                  <c:v>2014</c:v>
                </c:pt>
              </c:strCache>
            </c:strRef>
          </c:tx>
          <c:spPr>
            <a:solidFill>
              <a:srgbClr val="78A22F"/>
            </a:solidFill>
            <a:ln>
              <a:solidFill>
                <a:srgbClr val="78A22F"/>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year'!$B$8:$J$8</c:f>
              <c:numCache>
                <c:formatCode>0.0</c:formatCode>
                <c:ptCount val="9"/>
                <c:pt idx="0">
                  <c:v>68.876300000000001</c:v>
                </c:pt>
                <c:pt idx="1">
                  <c:v>58.448399999999999</c:v>
                </c:pt>
                <c:pt idx="2">
                  <c:v>66.602800000000002</c:v>
                </c:pt>
                <c:pt idx="3">
                  <c:v>63.944299999999998</c:v>
                </c:pt>
                <c:pt idx="4">
                  <c:v>70.185199999999995</c:v>
                </c:pt>
                <c:pt idx="5">
                  <c:v>65.330699999999993</c:v>
                </c:pt>
                <c:pt idx="6">
                  <c:v>57.565800000000003</c:v>
                </c:pt>
                <c:pt idx="7">
                  <c:v>71.847499999999997</c:v>
                </c:pt>
                <c:pt idx="8">
                  <c:v>65.400000000000006</c:v>
                </c:pt>
              </c:numCache>
            </c:numRef>
          </c:val>
        </c:ser>
        <c:dLbls>
          <c:showLegendKey val="0"/>
          <c:showVal val="0"/>
          <c:showCatName val="0"/>
          <c:showSerName val="0"/>
          <c:showPercent val="0"/>
          <c:showBubbleSize val="0"/>
        </c:dLbls>
        <c:gapWidth val="150"/>
        <c:axId val="209463552"/>
        <c:axId val="210518400"/>
      </c:barChart>
      <c:catAx>
        <c:axId val="209463552"/>
        <c:scaling>
          <c:orientation val="minMax"/>
        </c:scaling>
        <c:delete val="1"/>
        <c:axPos val="b"/>
        <c:majorTickMark val="none"/>
        <c:minorTickMark val="none"/>
        <c:tickLblPos val="nextTo"/>
        <c:crossAx val="210518400"/>
        <c:crosses val="autoZero"/>
        <c:auto val="1"/>
        <c:lblAlgn val="ctr"/>
        <c:lblOffset val="100"/>
        <c:noMultiLvlLbl val="0"/>
      </c:catAx>
      <c:valAx>
        <c:axId val="210518400"/>
        <c:scaling>
          <c:orientation val="minMax"/>
          <c:max val="999999"/>
        </c:scaling>
        <c:delete val="1"/>
        <c:axPos val="l"/>
        <c:majorGridlines>
          <c:spPr>
            <a:ln>
              <a:noFill/>
            </a:ln>
          </c:spPr>
        </c:majorGridlines>
        <c:numFmt formatCode="0" sourceLinked="0"/>
        <c:majorTickMark val="out"/>
        <c:minorTickMark val="none"/>
        <c:tickLblPos val="nextTo"/>
        <c:crossAx val="209463552"/>
        <c:crosses val="autoZero"/>
        <c:crossBetween val="between"/>
        <c:majorUnit val="100000"/>
        <c:minorUnit val="20000"/>
      </c:valAx>
      <c:spPr>
        <a:noFill/>
        <a:ln>
          <a:noFill/>
        </a:ln>
      </c:spPr>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'[2015 RoGS Housing chapter charts.xlsm]single year'!$A$4</c:f>
              <c:strCache>
                <c:ptCount val="1"/>
                <c:pt idx="0">
                  <c:v>2010</c:v>
                </c:pt>
              </c:strCache>
            </c:strRef>
          </c:tx>
          <c:spPr>
            <a:solidFill>
              <a:srgbClr val="387DD2"/>
            </a:solidFill>
            <a:ln>
              <a:solidFill>
                <a:srgbClr val="387DD2"/>
              </a:solidFill>
            </a:ln>
          </c:spPr>
          <c:invertIfNegative val="0"/>
          <c:cat>
            <c:strRef>
              <c:f>'[2015 RoGS Housing chapter charts.xlsm]single year'!$B$3:$J$3</c:f>
              <c:strCache>
                <c:ptCount val="9"/>
                <c:pt idx="0">
                  <c:v>NSW</c:v>
                </c:pt>
                <c:pt idx="1">
                  <c:v>Vic</c:v>
                </c:pt>
                <c:pt idx="2">
                  <c:v>Qld</c:v>
                </c:pt>
                <c:pt idx="3">
                  <c:v>WA</c:v>
                </c:pt>
                <c:pt idx="4">
                  <c:v>SA</c:v>
                </c:pt>
                <c:pt idx="5">
                  <c:v>Tas</c:v>
                </c:pt>
                <c:pt idx="6">
                  <c:v>ACT</c:v>
                </c:pt>
                <c:pt idx="7">
                  <c:v>NT</c:v>
                </c:pt>
                <c:pt idx="8">
                  <c:v>Aust</c:v>
                </c:pt>
              </c:strCache>
            </c:strRef>
          </c:cat>
          <c:val>
            <c:numRef>
              <c:f>'[2015 RoGS Housing chapter charts.xlsm]single year'!$B$4:$J$4</c:f>
              <c:numCache>
                <c:formatCode>0.0</c:formatCode>
                <c:ptCount val="9"/>
                <c:pt idx="0">
                  <c:v>64.255246544957998</c:v>
                </c:pt>
                <c:pt idx="1">
                  <c:v>60.489602526981002</c:v>
                </c:pt>
                <c:pt idx="2">
                  <c:v>72.388059701493006</c:v>
                </c:pt>
                <c:pt idx="3">
                  <c:v>62.083333333333002</c:v>
                </c:pt>
                <c:pt idx="4">
                  <c:v>70.03112494442</c:v>
                </c:pt>
                <c:pt idx="5">
                  <c:v>65.689467969597999</c:v>
                </c:pt>
                <c:pt idx="6">
                  <c:v>51.526032315978</c:v>
                </c:pt>
                <c:pt idx="7">
                  <c:v>66.813186813187002</c:v>
                </c:pt>
                <c:pt idx="8">
                  <c:v>65.272257551669</c:v>
                </c:pt>
              </c:numCache>
            </c:numRef>
          </c:val>
        </c:ser>
        <c:ser>
          <c:idx val="1"/>
          <c:order val="1"/>
          <c:tx>
            <c:strRef>
              <c:f>'[2015 RoGS Housing chapter charts.xlsm]single year'!$A$5</c:f>
              <c:strCache>
                <c:ptCount val="1"/>
                <c:pt idx="0">
                  <c:v>2011</c:v>
                </c:pt>
              </c:strCache>
            </c:strRef>
          </c:tx>
          <c:spPr>
            <a:solidFill>
              <a:srgbClr val="000000"/>
            </a:solidFill>
            <a:ln>
              <a:solidFill>
                <a:srgbClr val="000000"/>
              </a:solidFill>
            </a:ln>
          </c:spPr>
          <c:invertIfNegative val="0"/>
          <c:cat>
            <c:strRef>
              <c:f>'[2015 RoGS Housing chapter charts.xlsm]single year'!$B$3:$J$3</c:f>
              <c:strCache>
                <c:ptCount val="9"/>
                <c:pt idx="0">
                  <c:v>NSW</c:v>
                </c:pt>
                <c:pt idx="1">
                  <c:v>Vic</c:v>
                </c:pt>
                <c:pt idx="2">
                  <c:v>Qld</c:v>
                </c:pt>
                <c:pt idx="3">
                  <c:v>WA</c:v>
                </c:pt>
                <c:pt idx="4">
                  <c:v>SA</c:v>
                </c:pt>
                <c:pt idx="5">
                  <c:v>Tas</c:v>
                </c:pt>
                <c:pt idx="6">
                  <c:v>ACT</c:v>
                </c:pt>
                <c:pt idx="7">
                  <c:v>NT</c:v>
                </c:pt>
                <c:pt idx="8">
                  <c:v>Aust</c:v>
                </c:pt>
              </c:strCache>
            </c:strRef>
          </c:cat>
          <c:val>
            <c:numRef>
              <c:f>'[2015 RoGS Housing chapter charts.xlsm]single year'!$B$5:$J$5</c:f>
              <c:numCache>
                <c:formatCode>0.0</c:formatCode>
                <c:ptCount val="9"/>
                <c:pt idx="0">
                  <c:v>65.381200000000007</c:v>
                </c:pt>
                <c:pt idx="1">
                  <c:v>67.459100000000007</c:v>
                </c:pt>
                <c:pt idx="2">
                  <c:v>71.499700000000004</c:v>
                </c:pt>
                <c:pt idx="3">
                  <c:v>62.268599999999999</c:v>
                </c:pt>
                <c:pt idx="4">
                  <c:v>71.114599999999996</c:v>
                </c:pt>
                <c:pt idx="5">
                  <c:v>66.775199999999998</c:v>
                </c:pt>
                <c:pt idx="6">
                  <c:v>55.7121</c:v>
                </c:pt>
                <c:pt idx="7">
                  <c:v>64.818799999999996</c:v>
                </c:pt>
                <c:pt idx="8">
                  <c:v>66.853690116530004</c:v>
                </c:pt>
              </c:numCache>
            </c:numRef>
          </c:val>
        </c:ser>
        <c:ser>
          <c:idx val="2"/>
          <c:order val="2"/>
          <c:tx>
            <c:strRef>
              <c:f>'[2015 RoGS Housing chapter charts.xlsm]single year'!$A$6</c:f>
              <c:strCache>
                <c:ptCount val="1"/>
                <c:pt idx="0">
                  <c:v>2012</c:v>
                </c:pt>
              </c:strCache>
            </c:strRef>
          </c:tx>
          <c:spPr>
            <a:solidFill>
              <a:srgbClr val="B2D673"/>
            </a:solidFill>
            <a:ln>
              <a:solidFill>
                <a:srgbClr val="B2D673"/>
              </a:solidFill>
            </a:ln>
          </c:spPr>
          <c:invertIfNegative val="0"/>
          <c:cat>
            <c:strRef>
              <c:f>'[2015 RoGS Housing chapter charts.xlsm]single year'!$B$3:$J$3</c:f>
              <c:strCache>
                <c:ptCount val="9"/>
                <c:pt idx="0">
                  <c:v>NSW</c:v>
                </c:pt>
                <c:pt idx="1">
                  <c:v>Vic</c:v>
                </c:pt>
                <c:pt idx="2">
                  <c:v>Qld</c:v>
                </c:pt>
                <c:pt idx="3">
                  <c:v>WA</c:v>
                </c:pt>
                <c:pt idx="4">
                  <c:v>SA</c:v>
                </c:pt>
                <c:pt idx="5">
                  <c:v>Tas</c:v>
                </c:pt>
                <c:pt idx="6">
                  <c:v>ACT</c:v>
                </c:pt>
                <c:pt idx="7">
                  <c:v>NT</c:v>
                </c:pt>
                <c:pt idx="8">
                  <c:v>Aust</c:v>
                </c:pt>
              </c:strCache>
            </c:strRef>
          </c:cat>
          <c:val>
            <c:numRef>
              <c:f>'[2015 RoGS Housing chapter charts.xlsm]single year'!$B$6:$J$6</c:f>
              <c:numCache>
                <c:formatCode>0.0</c:formatCode>
                <c:ptCount val="9"/>
                <c:pt idx="0">
                  <c:v>72.636399999999995</c:v>
                </c:pt>
                <c:pt idx="1">
                  <c:v>62.098199999999999</c:v>
                </c:pt>
                <c:pt idx="2">
                  <c:v>71.873199999999997</c:v>
                </c:pt>
                <c:pt idx="3">
                  <c:v>61.113</c:v>
                </c:pt>
                <c:pt idx="4">
                  <c:v>71.884200000000007</c:v>
                </c:pt>
                <c:pt idx="5">
                  <c:v>64.047399999999996</c:v>
                </c:pt>
                <c:pt idx="6">
                  <c:v>54.100700000000003</c:v>
                </c:pt>
                <c:pt idx="7">
                  <c:v>57.823099999999997</c:v>
                </c:pt>
                <c:pt idx="8">
                  <c:v>67.5</c:v>
                </c:pt>
              </c:numCache>
            </c:numRef>
          </c:val>
        </c:ser>
        <c:ser>
          <c:idx val="3"/>
          <c:order val="3"/>
          <c:tx>
            <c:strRef>
              <c:f>'[2015 RoGS Housing chapter charts.xlsm]single year'!$A$7</c:f>
              <c:strCache>
                <c:ptCount val="1"/>
                <c:pt idx="0">
                  <c:v>2013</c:v>
                </c:pt>
              </c:strCache>
            </c:strRef>
          </c:tx>
          <c:spPr>
            <a:solidFill>
              <a:srgbClr val="265A9A"/>
            </a:solidFill>
            <a:ln>
              <a:solidFill>
                <a:srgbClr val="265A9A"/>
              </a:solidFill>
            </a:ln>
          </c:spPr>
          <c:invertIfNegative val="0"/>
          <c:cat>
            <c:strRef>
              <c:f>'[2015 RoGS Housing chapter charts.xlsm]single year'!$B$3:$J$3</c:f>
              <c:strCache>
                <c:ptCount val="9"/>
                <c:pt idx="0">
                  <c:v>NSW</c:v>
                </c:pt>
                <c:pt idx="1">
                  <c:v>Vic</c:v>
                </c:pt>
                <c:pt idx="2">
                  <c:v>Qld</c:v>
                </c:pt>
                <c:pt idx="3">
                  <c:v>WA</c:v>
                </c:pt>
                <c:pt idx="4">
                  <c:v>SA</c:v>
                </c:pt>
                <c:pt idx="5">
                  <c:v>Tas</c:v>
                </c:pt>
                <c:pt idx="6">
                  <c:v>ACT</c:v>
                </c:pt>
                <c:pt idx="7">
                  <c:v>NT</c:v>
                </c:pt>
                <c:pt idx="8">
                  <c:v>Aust</c:v>
                </c:pt>
              </c:strCache>
            </c:strRef>
          </c:cat>
          <c:val>
            <c:numRef>
              <c:f>'[2015 RoGS Housing chapter charts.xlsm]single year'!$B$7:$J$7</c:f>
              <c:numCache>
                <c:formatCode>0.0</c:formatCode>
                <c:ptCount val="9"/>
                <c:pt idx="0">
                  <c:v>69.665599999999998</c:v>
                </c:pt>
                <c:pt idx="1">
                  <c:v>46.765599999999999</c:v>
                </c:pt>
                <c:pt idx="2">
                  <c:v>67.593500000000006</c:v>
                </c:pt>
                <c:pt idx="3">
                  <c:v>59.524700000000003</c:v>
                </c:pt>
                <c:pt idx="4">
                  <c:v>69.570599999999999</c:v>
                </c:pt>
                <c:pt idx="5">
                  <c:v>64.263599999999997</c:v>
                </c:pt>
                <c:pt idx="6">
                  <c:v>61.465000000000003</c:v>
                </c:pt>
                <c:pt idx="7">
                  <c:v>65.108999999999995</c:v>
                </c:pt>
                <c:pt idx="8">
                  <c:v>63.1</c:v>
                </c:pt>
              </c:numCache>
            </c:numRef>
          </c:val>
        </c:ser>
        <c:ser>
          <c:idx val="4"/>
          <c:order val="4"/>
          <c:tx>
            <c:strRef>
              <c:f>'[2015 RoGS Housing chapter charts.xlsm]single year'!$A$8</c:f>
              <c:strCache>
                <c:ptCount val="1"/>
                <c:pt idx="0">
                  <c:v>2014</c:v>
                </c:pt>
              </c:strCache>
            </c:strRef>
          </c:tx>
          <c:spPr>
            <a:solidFill>
              <a:srgbClr val="78A22F"/>
            </a:solidFill>
            <a:ln>
              <a:solidFill>
                <a:srgbClr val="78A22F"/>
              </a:solidFill>
            </a:ln>
          </c:spPr>
          <c:invertIfNegative val="0"/>
          <c:cat>
            <c:strRef>
              <c:f>'[2015 RoGS Housing chapter charts.xlsm]single year'!$B$3:$J$3</c:f>
              <c:strCache>
                <c:ptCount val="9"/>
                <c:pt idx="0">
                  <c:v>NSW</c:v>
                </c:pt>
                <c:pt idx="1">
                  <c:v>Vic</c:v>
                </c:pt>
                <c:pt idx="2">
                  <c:v>Qld</c:v>
                </c:pt>
                <c:pt idx="3">
                  <c:v>WA</c:v>
                </c:pt>
                <c:pt idx="4">
                  <c:v>SA</c:v>
                </c:pt>
                <c:pt idx="5">
                  <c:v>Tas</c:v>
                </c:pt>
                <c:pt idx="6">
                  <c:v>ACT</c:v>
                </c:pt>
                <c:pt idx="7">
                  <c:v>NT</c:v>
                </c:pt>
                <c:pt idx="8">
                  <c:v>Aust</c:v>
                </c:pt>
              </c:strCache>
            </c:strRef>
          </c:cat>
          <c:val>
            <c:numRef>
              <c:f>'[2015 RoGS Housing chapter charts.xlsm]single year'!$B$8:$J$8</c:f>
              <c:numCache>
                <c:formatCode>0.0</c:formatCode>
                <c:ptCount val="9"/>
                <c:pt idx="0">
                  <c:v>68.876300000000001</c:v>
                </c:pt>
                <c:pt idx="1">
                  <c:v>58.448399999999999</c:v>
                </c:pt>
                <c:pt idx="2">
                  <c:v>66.602800000000002</c:v>
                </c:pt>
                <c:pt idx="3">
                  <c:v>63.944299999999998</c:v>
                </c:pt>
                <c:pt idx="4">
                  <c:v>70.185199999999995</c:v>
                </c:pt>
                <c:pt idx="5">
                  <c:v>65.330699999999993</c:v>
                </c:pt>
                <c:pt idx="6">
                  <c:v>57.565800000000003</c:v>
                </c:pt>
                <c:pt idx="7">
                  <c:v>71.847499999999997</c:v>
                </c:pt>
                <c:pt idx="8">
                  <c:v>65.400000000000006</c:v>
                </c:pt>
              </c:numCache>
            </c:numRef>
          </c:val>
        </c:ser>
        <c:dLbls>
          <c:showLegendKey val="0"/>
          <c:showVal val="0"/>
          <c:showCatName val="0"/>
          <c:showSerName val="0"/>
          <c:showPercent val="0"/>
          <c:showBubbleSize val="0"/>
        </c:dLbls>
        <c:gapWidth val="150"/>
        <c:axId val="271075968"/>
        <c:axId val="271102336"/>
      </c:barChart>
      <c:catAx>
        <c:axId val="271075968"/>
        <c:scaling>
          <c:orientation val="minMax"/>
        </c:scaling>
        <c:delete val="1"/>
        <c:axPos val="b"/>
        <c:majorTickMark val="none"/>
        <c:minorTickMark val="none"/>
        <c:tickLblPos val="nextTo"/>
        <c:crossAx val="271102336"/>
        <c:crosses val="autoZero"/>
        <c:auto val="1"/>
        <c:lblAlgn val="ctr"/>
        <c:lblOffset val="100"/>
        <c:noMultiLvlLbl val="0"/>
      </c:catAx>
      <c:valAx>
        <c:axId val="271102336"/>
        <c:scaling>
          <c:orientation val="minMax"/>
          <c:max val="999999"/>
        </c:scaling>
        <c:delete val="1"/>
        <c:axPos val="l"/>
        <c:majorGridlines>
          <c:spPr>
            <a:ln>
              <a:noFill/>
            </a:ln>
          </c:spPr>
        </c:majorGridlines>
        <c:numFmt formatCode="0" sourceLinked="0"/>
        <c:majorTickMark val="out"/>
        <c:minorTickMark val="none"/>
        <c:tickLblPos val="nextTo"/>
        <c:crossAx val="271075968"/>
        <c:crosses val="autoZero"/>
        <c:crossBetween val="between"/>
        <c:majorUnit val="100000"/>
        <c:minorUnit val="20000"/>
      </c:valAx>
      <c:spPr>
        <a:noFill/>
        <a:ln>
          <a:noFill/>
        </a:ln>
      </c:spPr>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'single year'!$A$4</c:f>
              <c:strCache>
                <c:ptCount val="1"/>
                <c:pt idx="0">
                  <c:v>2010</c:v>
                </c:pt>
              </c:strCache>
            </c:strRef>
          </c:tx>
          <c:spPr>
            <a:solidFill>
              <a:srgbClr val="387DD2"/>
            </a:solidFill>
            <a:ln>
              <a:solidFill>
                <a:srgbClr val="387DD2"/>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year'!$B$4:$J$4</c:f>
              <c:numCache>
                <c:formatCode>0.0</c:formatCode>
                <c:ptCount val="9"/>
                <c:pt idx="0">
                  <c:v>64.255246544957998</c:v>
                </c:pt>
                <c:pt idx="1">
                  <c:v>60.489602526981002</c:v>
                </c:pt>
                <c:pt idx="2">
                  <c:v>72.388059701493006</c:v>
                </c:pt>
                <c:pt idx="3">
                  <c:v>62.083333333333002</c:v>
                </c:pt>
                <c:pt idx="4">
                  <c:v>70.03112494442</c:v>
                </c:pt>
                <c:pt idx="5">
                  <c:v>65.689467969597999</c:v>
                </c:pt>
                <c:pt idx="6">
                  <c:v>51.526032315978</c:v>
                </c:pt>
                <c:pt idx="7">
                  <c:v>66.813186813187002</c:v>
                </c:pt>
                <c:pt idx="8">
                  <c:v>65.272257551669</c:v>
                </c:pt>
              </c:numCache>
            </c:numRef>
          </c:val>
        </c:ser>
        <c:ser>
          <c:idx val="1"/>
          <c:order val="1"/>
          <c:tx>
            <c:strRef>
              <c:f>'single year'!$A$5</c:f>
              <c:strCache>
                <c:ptCount val="1"/>
                <c:pt idx="0">
                  <c:v>2011</c:v>
                </c:pt>
              </c:strCache>
            </c:strRef>
          </c:tx>
          <c:spPr>
            <a:solidFill>
              <a:srgbClr val="000000"/>
            </a:solidFill>
            <a:ln>
              <a:solidFill>
                <a:srgbClr val="000000"/>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year'!$B$5:$J$5</c:f>
              <c:numCache>
                <c:formatCode>0.0</c:formatCode>
                <c:ptCount val="9"/>
                <c:pt idx="0">
                  <c:v>65.381200000000007</c:v>
                </c:pt>
                <c:pt idx="1">
                  <c:v>67.459100000000007</c:v>
                </c:pt>
                <c:pt idx="2">
                  <c:v>71.499700000000004</c:v>
                </c:pt>
                <c:pt idx="3">
                  <c:v>62.268599999999999</c:v>
                </c:pt>
                <c:pt idx="4">
                  <c:v>71.114599999999996</c:v>
                </c:pt>
                <c:pt idx="5">
                  <c:v>66.775199999999998</c:v>
                </c:pt>
                <c:pt idx="6">
                  <c:v>55.7121</c:v>
                </c:pt>
                <c:pt idx="7">
                  <c:v>64.818799999999996</c:v>
                </c:pt>
                <c:pt idx="8">
                  <c:v>66.853690116530004</c:v>
                </c:pt>
              </c:numCache>
            </c:numRef>
          </c:val>
        </c:ser>
        <c:ser>
          <c:idx val="2"/>
          <c:order val="2"/>
          <c:tx>
            <c:strRef>
              <c:f>'single year'!$A$6</c:f>
              <c:strCache>
                <c:ptCount val="1"/>
                <c:pt idx="0">
                  <c:v>2012</c:v>
                </c:pt>
              </c:strCache>
            </c:strRef>
          </c:tx>
          <c:spPr>
            <a:solidFill>
              <a:srgbClr val="B2D673"/>
            </a:solidFill>
            <a:ln>
              <a:solidFill>
                <a:srgbClr val="B2D673"/>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year'!$B$6:$J$6</c:f>
              <c:numCache>
                <c:formatCode>0.0</c:formatCode>
                <c:ptCount val="9"/>
                <c:pt idx="0">
                  <c:v>72.636399999999995</c:v>
                </c:pt>
                <c:pt idx="1">
                  <c:v>62.098199999999999</c:v>
                </c:pt>
                <c:pt idx="2">
                  <c:v>71.873199999999997</c:v>
                </c:pt>
                <c:pt idx="3">
                  <c:v>61.113</c:v>
                </c:pt>
                <c:pt idx="4">
                  <c:v>71.884200000000007</c:v>
                </c:pt>
                <c:pt idx="5">
                  <c:v>64.047399999999996</c:v>
                </c:pt>
                <c:pt idx="6">
                  <c:v>54.100700000000003</c:v>
                </c:pt>
                <c:pt idx="7">
                  <c:v>57.823099999999997</c:v>
                </c:pt>
                <c:pt idx="8">
                  <c:v>67.5</c:v>
                </c:pt>
              </c:numCache>
            </c:numRef>
          </c:val>
        </c:ser>
        <c:ser>
          <c:idx val="3"/>
          <c:order val="3"/>
          <c:tx>
            <c:strRef>
              <c:f>'single year'!$A$7</c:f>
              <c:strCache>
                <c:ptCount val="1"/>
                <c:pt idx="0">
                  <c:v>2013</c:v>
                </c:pt>
              </c:strCache>
            </c:strRef>
          </c:tx>
          <c:spPr>
            <a:solidFill>
              <a:srgbClr val="265A9A"/>
            </a:solidFill>
            <a:ln>
              <a:solidFill>
                <a:srgbClr val="265A9A"/>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year'!$B$7:$J$7</c:f>
              <c:numCache>
                <c:formatCode>0.0</c:formatCode>
                <c:ptCount val="9"/>
                <c:pt idx="0">
                  <c:v>69.665599999999998</c:v>
                </c:pt>
                <c:pt idx="1">
                  <c:v>46.765599999999999</c:v>
                </c:pt>
                <c:pt idx="2">
                  <c:v>67.593500000000006</c:v>
                </c:pt>
                <c:pt idx="3">
                  <c:v>59.524700000000003</c:v>
                </c:pt>
                <c:pt idx="4">
                  <c:v>69.570599999999999</c:v>
                </c:pt>
                <c:pt idx="5">
                  <c:v>64.263599999999997</c:v>
                </c:pt>
                <c:pt idx="6">
                  <c:v>61.465000000000003</c:v>
                </c:pt>
                <c:pt idx="7">
                  <c:v>65.108999999999995</c:v>
                </c:pt>
                <c:pt idx="8">
                  <c:v>63.1</c:v>
                </c:pt>
              </c:numCache>
            </c:numRef>
          </c:val>
        </c:ser>
        <c:ser>
          <c:idx val="4"/>
          <c:order val="4"/>
          <c:tx>
            <c:strRef>
              <c:f>'single year'!$A$8</c:f>
              <c:strCache>
                <c:ptCount val="1"/>
                <c:pt idx="0">
                  <c:v>2014</c:v>
                </c:pt>
              </c:strCache>
            </c:strRef>
          </c:tx>
          <c:spPr>
            <a:solidFill>
              <a:srgbClr val="78A22F"/>
            </a:solidFill>
            <a:ln>
              <a:solidFill>
                <a:srgbClr val="78A22F"/>
              </a:solidFill>
            </a:ln>
          </c:spPr>
          <c:invertIfNegative val="0"/>
          <c:cat>
            <c:strRef>
              <c:f>'single year'!$B$3:$J$3</c:f>
              <c:strCache>
                <c:ptCount val="9"/>
                <c:pt idx="0">
                  <c:v>NSW</c:v>
                </c:pt>
                <c:pt idx="1">
                  <c:v>Vic</c:v>
                </c:pt>
                <c:pt idx="2">
                  <c:v>Qld</c:v>
                </c:pt>
                <c:pt idx="3">
                  <c:v>WA</c:v>
                </c:pt>
                <c:pt idx="4">
                  <c:v>SA</c:v>
                </c:pt>
                <c:pt idx="5">
                  <c:v>Tas</c:v>
                </c:pt>
                <c:pt idx="6">
                  <c:v>ACT</c:v>
                </c:pt>
                <c:pt idx="7">
                  <c:v>NT</c:v>
                </c:pt>
                <c:pt idx="8">
                  <c:v>Aust</c:v>
                </c:pt>
              </c:strCache>
            </c:strRef>
          </c:cat>
          <c:val>
            <c:numRef>
              <c:f>'single year'!$B$8:$J$8</c:f>
              <c:numCache>
                <c:formatCode>0.0</c:formatCode>
                <c:ptCount val="9"/>
                <c:pt idx="0">
                  <c:v>68.876300000000001</c:v>
                </c:pt>
                <c:pt idx="1">
                  <c:v>58.448399999999999</c:v>
                </c:pt>
                <c:pt idx="2">
                  <c:v>66.602800000000002</c:v>
                </c:pt>
                <c:pt idx="3">
                  <c:v>63.944299999999998</c:v>
                </c:pt>
                <c:pt idx="4">
                  <c:v>70.185199999999995</c:v>
                </c:pt>
                <c:pt idx="5">
                  <c:v>65.330699999999993</c:v>
                </c:pt>
                <c:pt idx="6">
                  <c:v>57.565800000000003</c:v>
                </c:pt>
                <c:pt idx="7">
                  <c:v>71.847499999999997</c:v>
                </c:pt>
                <c:pt idx="8">
                  <c:v>65.400000000000006</c:v>
                </c:pt>
              </c:numCache>
            </c:numRef>
          </c:val>
        </c:ser>
        <c:dLbls>
          <c:showLegendKey val="0"/>
          <c:showVal val="0"/>
          <c:showCatName val="0"/>
          <c:showSerName val="0"/>
          <c:showPercent val="0"/>
          <c:showBubbleSize val="0"/>
        </c:dLbls>
        <c:gapWidth val="150"/>
        <c:axId val="7817088"/>
        <c:axId val="7818624"/>
      </c:barChart>
      <c:catAx>
        <c:axId val="7817088"/>
        <c:scaling>
          <c:orientation val="minMax"/>
        </c:scaling>
        <c:delete val="1"/>
        <c:axPos val="b"/>
        <c:majorTickMark val="none"/>
        <c:minorTickMark val="none"/>
        <c:tickLblPos val="nextTo"/>
        <c:crossAx val="7818624"/>
        <c:crosses val="autoZero"/>
        <c:auto val="1"/>
        <c:lblAlgn val="ctr"/>
        <c:lblOffset val="100"/>
        <c:noMultiLvlLbl val="0"/>
      </c:catAx>
      <c:valAx>
        <c:axId val="7818624"/>
        <c:scaling>
          <c:orientation val="minMax"/>
          <c:max val="999999"/>
        </c:scaling>
        <c:delete val="1"/>
        <c:axPos val="l"/>
        <c:majorGridlines>
          <c:spPr>
            <a:ln>
              <a:noFill/>
            </a:ln>
          </c:spPr>
        </c:majorGridlines>
        <c:numFmt formatCode="0" sourceLinked="0"/>
        <c:majorTickMark val="out"/>
        <c:minorTickMark val="none"/>
        <c:tickLblPos val="nextTo"/>
        <c:crossAx val="7817088"/>
        <c:crosses val="autoZero"/>
        <c:crossBetween val="between"/>
        <c:majorUnit val="100000"/>
        <c:minorUnit val="20000"/>
      </c:valAx>
      <c:spPr>
        <a:noFill/>
        <a:ln>
          <a:noFill/>
        </a:ln>
      </c:spPr>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5EFBE-6D70-4CA5-8306-1DCE1990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70</TotalTime>
  <Pages>44</Pages>
  <Words>12733</Words>
  <Characters>71255</Characters>
  <Application>Microsoft Office Word</Application>
  <DocSecurity>0</DocSecurity>
  <Lines>2226</Lines>
  <Paragraphs>1527</Paragraphs>
  <ScaleCrop>false</ScaleCrop>
  <HeadingPairs>
    <vt:vector size="2" baseType="variant">
      <vt:variant>
        <vt:lpstr>Title</vt:lpstr>
      </vt:variant>
      <vt:variant>
        <vt:i4>1</vt:i4>
      </vt:variant>
    </vt:vector>
  </HeadingPairs>
  <TitlesOfParts>
    <vt:vector size="1" baseType="lpstr">
      <vt:lpstr>Chapter 17 - Housing - Indigenous Compendium 2015</vt:lpstr>
    </vt:vector>
  </TitlesOfParts>
  <Company>Productivity Commission</Company>
  <LinksUpToDate>false</LinksUpToDate>
  <CharactersWithSpaces>82461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17 - Housing - Indigenous Compendium 2015</dc:title>
  <dc:subject/>
  <dc:creator>Steering Committee for the Review of Government Service Provision</dc:creator>
  <dc:description>17.</dc:description>
  <cp:lastModifiedBy>Frech, Tanya</cp:lastModifiedBy>
  <cp:revision>29</cp:revision>
  <cp:lastPrinted>2014-09-30T06:40:00Z</cp:lastPrinted>
  <dcterms:created xsi:type="dcterms:W3CDTF">2015-03-29T21:41:00Z</dcterms:created>
  <dcterms:modified xsi:type="dcterms:W3CDTF">2015-04-07T05:30:00Z</dcterms:modified>
</cp:coreProperties>
</file>