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19" w:rsidRDefault="004716A9" w:rsidP="000C54DD">
      <w:pPr>
        <w:pStyle w:val="Heading1NotTOC"/>
        <w:rPr>
          <w:b/>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over &#10; &#10;What is known about systems that enable the 'public health approach' to protecting children - Consultation Paper&#10;February 2019&#10;&#10;The Productivity Commission acts as the Secretariat for the Steering Committee for the Review of Government Service Provision&#10;" style="position:absolute;left:0;text-align:left;margin-left:0;margin-top:0;width:524.4pt;height:742.2pt;z-index:-251658752;mso-position-horizontal:center;mso-position-horizontal-relative:page;mso-position-vertical:bottom;mso-position-vertical-relative:page;mso-width-relative:page;mso-height-relative:page">
            <v:imagedata r:id="rId8" o:title="What-works-consultation-paper-A4"/>
            <w10:wrap anchorx="page" anchory="page"/>
          </v:shape>
        </w:pict>
      </w:r>
    </w:p>
    <w:p w:rsidR="008A3857" w:rsidRDefault="008A3857" w:rsidP="008A3857">
      <w:pPr>
        <w:pStyle w:val="BoxSpaceAbove"/>
      </w:pPr>
    </w:p>
    <w:p w:rsidR="00735FEA" w:rsidRDefault="00735FEA">
      <w:pPr>
        <w:pStyle w:val="BodyText"/>
        <w:sectPr w:rsidR="00735FEA" w:rsidSect="00122FE9">
          <w:type w:val="oddPage"/>
          <w:pgSz w:w="11907" w:h="16840" w:code="9"/>
          <w:pgMar w:top="1304" w:right="1304" w:bottom="567" w:left="1814" w:header="1701" w:footer="397" w:gutter="0"/>
          <w:pgNumType w:fmt="lowerRoman" w:start="1"/>
          <w:cols w:space="720"/>
          <w:titlePg/>
        </w:sectPr>
      </w:pPr>
      <w:bookmarkStart w:id="1" w:name="cov"/>
      <w:bookmarkEnd w:id="1"/>
    </w:p>
    <w:p w:rsidR="000C54DD" w:rsidRDefault="00735FEA" w:rsidP="008206EE">
      <w:pPr>
        <w:pStyle w:val="Heading1NotTOC"/>
        <w:rPr>
          <w:noProof/>
        </w:rPr>
      </w:pPr>
      <w:bookmarkStart w:id="2" w:name="Contents"/>
      <w:bookmarkEnd w:id="2"/>
      <w:r w:rsidRPr="00B153C3">
        <w:lastRenderedPageBreak/>
        <w:t>Contents</w:t>
      </w:r>
      <w:bookmarkStart w:id="3" w:name="InsertContents"/>
      <w:bookmarkEnd w:id="3"/>
    </w:p>
    <w:p w:rsidR="000C54DD" w:rsidRDefault="000C54DD">
      <w:pPr>
        <w:pStyle w:val="TOC2"/>
        <w:tabs>
          <w:tab w:val="left" w:pos="102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Purpose of this consultation paper</w:t>
      </w:r>
      <w:r>
        <w:rPr>
          <w:noProof/>
        </w:rPr>
        <w:tab/>
        <w:t>1</w:t>
      </w:r>
    </w:p>
    <w:p w:rsidR="000C54DD" w:rsidRDefault="000C54DD">
      <w:pPr>
        <w:pStyle w:val="TOC2"/>
        <w:tabs>
          <w:tab w:val="left" w:pos="102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Background to this project</w:t>
      </w:r>
      <w:r>
        <w:rPr>
          <w:noProof/>
        </w:rPr>
        <w:tab/>
        <w:t>2</w:t>
      </w:r>
    </w:p>
    <w:p w:rsidR="000C54DD" w:rsidRDefault="000C54DD">
      <w:pPr>
        <w:pStyle w:val="TOC2"/>
        <w:tabs>
          <w:tab w:val="left" w:pos="102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What is known about the desirable characteristics of a system based on the public health approach?</w:t>
      </w:r>
      <w:r>
        <w:rPr>
          <w:noProof/>
        </w:rPr>
        <w:tab/>
        <w:t>4</w:t>
      </w:r>
    </w:p>
    <w:p w:rsidR="000C54DD" w:rsidRDefault="000C54DD">
      <w:pPr>
        <w:pStyle w:val="TOC2"/>
        <w:tabs>
          <w:tab w:val="left" w:pos="102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What is known about ‘what works’ to make this system function as a whole?</w:t>
      </w:r>
      <w:r>
        <w:rPr>
          <w:noProof/>
        </w:rPr>
        <w:tab/>
        <w:t>6</w:t>
      </w:r>
    </w:p>
    <w:p w:rsidR="000C54DD" w:rsidRDefault="000C54DD">
      <w:pPr>
        <w:pStyle w:val="TOC2"/>
        <w:rPr>
          <w:rFonts w:asciiTheme="minorHAnsi" w:eastAsiaTheme="minorEastAsia" w:hAnsiTheme="minorHAnsi" w:cstheme="minorBidi"/>
          <w:noProof/>
          <w:sz w:val="22"/>
          <w:szCs w:val="22"/>
        </w:rPr>
      </w:pPr>
      <w:r>
        <w:rPr>
          <w:noProof/>
        </w:rPr>
        <w:t>References</w:t>
      </w:r>
      <w:r>
        <w:rPr>
          <w:noProof/>
        </w:rPr>
        <w:tab/>
        <w:t>10</w:t>
      </w:r>
    </w:p>
    <w:p w:rsidR="000C54DD" w:rsidRDefault="000C54DD">
      <w:pPr>
        <w:pStyle w:val="TOC2"/>
        <w:rPr>
          <w:rFonts w:asciiTheme="minorHAnsi" w:eastAsiaTheme="minorEastAsia" w:hAnsiTheme="minorHAnsi" w:cstheme="minorBidi"/>
          <w:noProof/>
          <w:sz w:val="22"/>
          <w:szCs w:val="22"/>
        </w:rPr>
      </w:pPr>
      <w:r>
        <w:rPr>
          <w:noProof/>
        </w:rPr>
        <w:t>Attachment A: How to provide feedback</w:t>
      </w:r>
      <w:r>
        <w:rPr>
          <w:noProof/>
        </w:rPr>
        <w:tab/>
        <w:t>12</w:t>
      </w:r>
    </w:p>
    <w:p w:rsidR="000C54DD" w:rsidRDefault="000C54DD" w:rsidP="008206EE">
      <w:pPr>
        <w:pStyle w:val="Heading1NotTOC"/>
      </w:pPr>
    </w:p>
    <w:p w:rsidR="000C54DD" w:rsidRDefault="000C54DD" w:rsidP="008206EE">
      <w:pPr>
        <w:pStyle w:val="Heading1NotTOC"/>
        <w:rPr>
          <w:noProof/>
        </w:rPr>
      </w:pPr>
    </w:p>
    <w:p w:rsidR="004D3F58" w:rsidRDefault="004D3F58" w:rsidP="00927B1A">
      <w:pPr>
        <w:pStyle w:val="Heading1NotTOC"/>
        <w:sectPr w:rsidR="004D3F58" w:rsidSect="007448F7">
          <w:headerReference w:type="even" r:id="rId9"/>
          <w:headerReference w:type="default" r:id="rId10"/>
          <w:footerReference w:type="even" r:id="rId11"/>
          <w:footerReference w:type="default" r:id="rId12"/>
          <w:type w:val="oddPage"/>
          <w:pgSz w:w="11907" w:h="16840" w:code="9"/>
          <w:pgMar w:top="1985" w:right="1304" w:bottom="1247" w:left="1814" w:header="1701" w:footer="397" w:gutter="0"/>
          <w:pgNumType w:fmt="lowerRoman"/>
          <w:cols w:space="720"/>
        </w:sectPr>
      </w:pPr>
    </w:p>
    <w:p w:rsidR="006D461D" w:rsidRPr="00FD1EF8" w:rsidRDefault="006D461D" w:rsidP="006D461D">
      <w:pPr>
        <w:pStyle w:val="Heading2"/>
      </w:pPr>
      <w:bookmarkStart w:id="4" w:name="Abbreviations"/>
      <w:bookmarkStart w:id="5" w:name="EndContents"/>
      <w:bookmarkStart w:id="6" w:name="RDnote"/>
      <w:bookmarkStart w:id="7" w:name="begin"/>
      <w:bookmarkEnd w:id="4"/>
      <w:bookmarkEnd w:id="5"/>
      <w:bookmarkEnd w:id="6"/>
      <w:bookmarkEnd w:id="7"/>
      <w:r w:rsidRPr="00FD1EF8">
        <w:lastRenderedPageBreak/>
        <w:t>1</w:t>
      </w:r>
      <w:r w:rsidRPr="00FD1EF8">
        <w:tab/>
        <w:t>Purpose of this consultation paper</w:t>
      </w:r>
    </w:p>
    <w:p w:rsidR="006D461D" w:rsidRPr="00477915" w:rsidRDefault="006D461D" w:rsidP="006D461D">
      <w:pPr>
        <w:pStyle w:val="BodyText"/>
      </w:pPr>
      <w:r>
        <w:t xml:space="preserve">The Secretariat for the </w:t>
      </w:r>
      <w:r w:rsidRPr="000C5BD3">
        <w:t xml:space="preserve">Steering Committee for the </w:t>
      </w:r>
      <w:r>
        <w:t xml:space="preserve">Review of Government Service Provision is seeking input from individuals and organisations on the second What Works project (box 1). This project investigates </w:t>
      </w:r>
      <w:r w:rsidRPr="00D76154">
        <w:rPr>
          <w:i/>
        </w:rPr>
        <w:t>what is known about systems that enable the ‘public health approach’ to protecting children</w:t>
      </w:r>
      <w:r>
        <w:t>. The focus will be on systems that</w:t>
      </w:r>
      <w:r w:rsidRPr="00C26005">
        <w:t xml:space="preserve"> protect children from abuse and neglect that occurs within families</w:t>
      </w:r>
      <w:r>
        <w:t xml:space="preserve"> (to minimise duplication with recent work on child abuse in institutional settings</w:t>
      </w:r>
      <w:r w:rsidRPr="001D3B4F">
        <w:rPr>
          <w:rStyle w:val="FootnoteReference"/>
        </w:rPr>
        <w:footnoteReference w:id="1"/>
      </w:r>
      <w:r>
        <w:t>)</w:t>
      </w:r>
      <w:r w:rsidRPr="00C26005">
        <w:t>.</w:t>
      </w:r>
      <w:r w:rsidRPr="00BC4CAF">
        <w:rPr>
          <w:color w:val="FF0000"/>
        </w:rPr>
        <w:t xml:space="preserve"> </w:t>
      </w:r>
    </w:p>
    <w:p w:rsidR="006D461D" w:rsidRPr="00436E09" w:rsidRDefault="006D461D" w:rsidP="006D461D">
      <w:pPr>
        <w:pStyle w:val="BodyText"/>
      </w:pPr>
      <w:r>
        <w:t xml:space="preserve">Australian governments have committed to taking a public health approach to protecting children under the </w:t>
      </w:r>
      <w:r>
        <w:rPr>
          <w:i/>
        </w:rPr>
        <w:t>National Framework for Protecting Australia’s Children 2009–2020</w:t>
      </w:r>
      <w:r>
        <w:t xml:space="preserve">. A range of approaches have been used to date, but there is growing concern that efforts are still too crisis oriented, focused on responding to child abuse and neglect after they have occurred, rather than on prevention. This project will look specifically at system design: what is known about ‘what works’ to build a system where all the parts are working together to enable the public health approach to protecting </w:t>
      </w:r>
      <w:r w:rsidRPr="00436E09">
        <w:t xml:space="preserve">children. It will highlight system-change </w:t>
      </w:r>
      <w:r>
        <w:t>approaches</w:t>
      </w:r>
      <w:r w:rsidRPr="00436E09">
        <w:t xml:space="preserve"> that appear effective, but will not assess the</w:t>
      </w:r>
      <w:r>
        <w:t xml:space="preserve"> effectiveness of </w:t>
      </w:r>
      <w:r w:rsidRPr="00436E09">
        <w:t xml:space="preserve">individual </w:t>
      </w:r>
      <w:r>
        <w:t xml:space="preserve">programs or </w:t>
      </w:r>
      <w:r w:rsidRPr="00436E09">
        <w:t xml:space="preserve">interventions. </w:t>
      </w:r>
    </w:p>
    <w:p w:rsidR="006D461D" w:rsidRDefault="006D461D" w:rsidP="006D461D">
      <w:pPr>
        <w:pStyle w:val="BodyText"/>
      </w:pPr>
      <w:r>
        <w:t xml:space="preserve">Feedback is due </w:t>
      </w:r>
      <w:r w:rsidRPr="00D96831">
        <w:rPr>
          <w:b/>
        </w:rPr>
        <w:t>by</w:t>
      </w:r>
      <w:r>
        <w:t xml:space="preserve"> </w:t>
      </w:r>
      <w:r w:rsidRPr="00D96831">
        <w:rPr>
          <w:b/>
        </w:rPr>
        <w:t>Thursday, 21 March 2019</w:t>
      </w:r>
      <w:r w:rsidRPr="00D96831">
        <w:t xml:space="preserve"> </w:t>
      </w:r>
      <w:r>
        <w:t xml:space="preserve">and can be submitted online at: </w:t>
      </w:r>
      <w:r w:rsidRPr="007702A2">
        <w:t>www.pc.gov.au/research/ongoing/report-on-government-services/what-works/child-protection</w:t>
      </w:r>
      <w:r w:rsidRPr="000862FD">
        <w:t xml:space="preserve">. The feedback will be incorporated into the final research report, along with other research and evidence, including </w:t>
      </w:r>
      <w:r>
        <w:t xml:space="preserve">on </w:t>
      </w:r>
      <w:r w:rsidRPr="000862FD">
        <w:t>national and international system reforms and global peer-</w:t>
      </w:r>
      <w:r>
        <w:t xml:space="preserve">reviewed and grey literature on systems that enable the public health approach to protecting children. International research is limited to high-income developed countries with a similar social structure to Australia, as these are more likely than other countries to have system design features that could be replicated in the Australian context. </w:t>
      </w:r>
    </w:p>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D461D" w:rsidTr="00A1171E">
        <w:trPr>
          <w:tblHeader/>
        </w:trPr>
        <w:tc>
          <w:tcPr>
            <w:tcW w:w="5000" w:type="pct"/>
            <w:tcBorders>
              <w:top w:val="single" w:sz="6" w:space="0" w:color="78A22F"/>
              <w:left w:val="nil"/>
              <w:bottom w:val="nil"/>
              <w:right w:val="nil"/>
            </w:tcBorders>
            <w:shd w:val="clear" w:color="auto" w:fill="F2F2F2"/>
          </w:tcPr>
          <w:p w:rsidR="006D461D" w:rsidRDefault="006D461D" w:rsidP="00A1171E">
            <w:pPr>
              <w:pStyle w:val="BoxTitle"/>
            </w:pPr>
            <w:r>
              <w:rPr>
                <w:b w:val="0"/>
              </w:rPr>
              <w:t xml:space="preserve">Box </w:t>
            </w:r>
            <w:r>
              <w:rPr>
                <w:b w:val="0"/>
                <w:noProof/>
              </w:rPr>
              <w:t>1</w:t>
            </w:r>
            <w:r>
              <w:tab/>
              <w:t>What are What Works projects?</w:t>
            </w:r>
          </w:p>
        </w:tc>
      </w:tr>
      <w:tr w:rsidR="006D461D" w:rsidTr="00A1171E">
        <w:tc>
          <w:tcPr>
            <w:tcW w:w="5000" w:type="pct"/>
            <w:tcBorders>
              <w:top w:val="nil"/>
              <w:left w:val="nil"/>
              <w:bottom w:val="nil"/>
              <w:right w:val="nil"/>
            </w:tcBorders>
            <w:shd w:val="clear" w:color="auto" w:fill="F2F2F2"/>
          </w:tcPr>
          <w:p w:rsidR="006D461D" w:rsidRPr="00D240D7" w:rsidRDefault="006D461D" w:rsidP="00A1171E">
            <w:pPr>
              <w:pStyle w:val="Box"/>
            </w:pPr>
            <w:r>
              <w:t>What Works projects</w:t>
            </w:r>
            <w:r w:rsidRPr="00D240D7">
              <w:t xml:space="preserve"> complement the performance reporting in the Repo</w:t>
            </w:r>
            <w:r>
              <w:t>rt on Government Services b</w:t>
            </w:r>
            <w:r w:rsidRPr="00D240D7">
              <w:t xml:space="preserve">y reviewing current global evidence on what works (or does not) to achieve particular outcomes for government services. The aim is to improve the wellbeing of all Australians through providing decision makers with high quality information on what works to address existing social policy needs. </w:t>
            </w:r>
          </w:p>
          <w:p w:rsidR="006D461D" w:rsidRDefault="006D461D" w:rsidP="00A1171E">
            <w:pPr>
              <w:pStyle w:val="Box"/>
            </w:pPr>
            <w:r>
              <w:t>The projects</w:t>
            </w:r>
            <w:r w:rsidRPr="00D240D7">
              <w:t xml:space="preserve"> are intended to be targeted at policy issues, be rigorous yet timely and balance the overall evidence with practical advice and theory. </w:t>
            </w:r>
            <w:r>
              <w:t>The specific topic for each project is agreed by the Steering Committee for the Review of Government Service Provision (Steering Committee). What Works projects are produced by the Productivity Commission in its role as Secretariat for the Steering Committee.</w:t>
            </w:r>
          </w:p>
          <w:p w:rsidR="006D461D" w:rsidRDefault="006D461D" w:rsidP="00A1171E">
            <w:pPr>
              <w:pStyle w:val="Box"/>
            </w:pPr>
            <w:r>
              <w:t>Further information on What Works can be found on the Commission’s website:</w:t>
            </w:r>
          </w:p>
          <w:p w:rsidR="006D461D" w:rsidRPr="00830D71" w:rsidRDefault="006D461D" w:rsidP="00A1171E">
            <w:pPr>
              <w:pStyle w:val="Box"/>
              <w:spacing w:before="0"/>
              <w:jc w:val="left"/>
              <w:rPr>
                <w:rFonts w:asciiTheme="minorHAnsi" w:hAnsiTheme="minorHAnsi" w:cstheme="minorHAnsi"/>
              </w:rPr>
            </w:pPr>
            <w:r w:rsidRPr="00830D71">
              <w:rPr>
                <w:rFonts w:asciiTheme="minorHAnsi" w:hAnsiTheme="minorHAnsi" w:cstheme="minorHAnsi"/>
              </w:rPr>
              <w:t>www.pc.gov.au/research/ongoing/report-on-government-services/what-works</w:t>
            </w:r>
          </w:p>
        </w:tc>
      </w:tr>
      <w:tr w:rsidR="006D461D" w:rsidTr="00A1171E">
        <w:tc>
          <w:tcPr>
            <w:tcW w:w="5000" w:type="pct"/>
            <w:tcBorders>
              <w:top w:val="nil"/>
              <w:left w:val="nil"/>
              <w:bottom w:val="single" w:sz="6" w:space="0" w:color="78A22F"/>
              <w:right w:val="nil"/>
            </w:tcBorders>
            <w:shd w:val="clear" w:color="auto" w:fill="F2F2F2"/>
          </w:tcPr>
          <w:p w:rsidR="006D461D" w:rsidRDefault="006D461D" w:rsidP="00A1171E">
            <w:pPr>
              <w:pStyle w:val="Box"/>
              <w:spacing w:before="0" w:line="120" w:lineRule="exact"/>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pPr>
          </w:p>
        </w:tc>
      </w:tr>
    </w:tbl>
    <w:p w:rsidR="006D461D" w:rsidRDefault="006D461D" w:rsidP="006D461D">
      <w:pPr>
        <w:pStyle w:val="Heading2"/>
      </w:pPr>
      <w:r>
        <w:rPr>
          <w:noProof/>
        </w:rPr>
        <w:t>2</w:t>
      </w:r>
      <w:r>
        <w:tab/>
        <w:t>Background to this project</w:t>
      </w:r>
    </w:p>
    <w:p w:rsidR="006D461D" w:rsidRPr="004E56E1" w:rsidRDefault="006D461D" w:rsidP="006D461D">
      <w:pPr>
        <w:pStyle w:val="Heading3"/>
        <w:spacing w:before="280"/>
      </w:pPr>
      <w:r>
        <w:t>What is the problem?</w:t>
      </w:r>
    </w:p>
    <w:p w:rsidR="006D461D" w:rsidRDefault="006D461D" w:rsidP="006D461D">
      <w:pPr>
        <w:pStyle w:val="BodyText"/>
      </w:pPr>
      <w:r>
        <w:t xml:space="preserve">The </w:t>
      </w:r>
      <w:r w:rsidRPr="00C5593D">
        <w:t xml:space="preserve">primary objective </w:t>
      </w:r>
      <w:r>
        <w:t>of the child protection system is to protect children from abuse and neglect, meaning</w:t>
      </w:r>
      <w:r w:rsidRPr="00CB7A00">
        <w:t xml:space="preserve"> any </w:t>
      </w:r>
      <w:r>
        <w:t xml:space="preserve">intentional or unintentional </w:t>
      </w:r>
      <w:r w:rsidRPr="00CB7A00">
        <w:t xml:space="preserve">behaviour </w:t>
      </w:r>
      <w:r>
        <w:t xml:space="preserve">by a parent, carer or other person that </w:t>
      </w:r>
      <w:r w:rsidRPr="00CB7A00">
        <w:t>caus</w:t>
      </w:r>
      <w:r>
        <w:t>es</w:t>
      </w:r>
      <w:r w:rsidRPr="00CB7A00">
        <w:t xml:space="preserve"> physical or emotional harm to a child</w:t>
      </w:r>
      <w:r>
        <w:t xml:space="preserve">. The five main types </w:t>
      </w:r>
      <w:r w:rsidRPr="00CB7A00">
        <w:t xml:space="preserve">are physical abuse, sexual abuse, emotional </w:t>
      </w:r>
      <w:r>
        <w:t>abuse,</w:t>
      </w:r>
      <w:r w:rsidRPr="00CB7A00">
        <w:t xml:space="preserve"> neglect and witnessing </w:t>
      </w:r>
      <w:r>
        <w:t xml:space="preserve">domestic </w:t>
      </w:r>
      <w:r w:rsidRPr="00CB7A00">
        <w:t>violenc</w:t>
      </w:r>
      <w:r>
        <w:t xml:space="preserve">e </w:t>
      </w:r>
      <w:r w:rsidRPr="004F595B">
        <w:rPr>
          <w:szCs w:val="24"/>
        </w:rPr>
        <w:t>(</w:t>
      </w:r>
      <w:r>
        <w:rPr>
          <w:szCs w:val="24"/>
        </w:rPr>
        <w:t>CFCA</w:t>
      </w:r>
      <w:r w:rsidRPr="004F595B">
        <w:rPr>
          <w:szCs w:val="24"/>
        </w:rPr>
        <w:t> 2014)</w:t>
      </w:r>
      <w:r w:rsidRPr="00CB7A00">
        <w:t>.</w:t>
      </w:r>
    </w:p>
    <w:p w:rsidR="006D461D" w:rsidRPr="00CB7A00" w:rsidRDefault="006D461D" w:rsidP="006D461D">
      <w:pPr>
        <w:pStyle w:val="BodyText"/>
      </w:pPr>
      <w:r>
        <w:t>The consequences of child abuse and neglect can be severe. They can lead to childhood trauma and stress, and negatively</w:t>
      </w:r>
      <w:r w:rsidRPr="005503A0">
        <w:t xml:space="preserve"> affect all domains of </w:t>
      </w:r>
      <w:r>
        <w:t xml:space="preserve">childhood </w:t>
      </w:r>
      <w:r w:rsidRPr="005503A0">
        <w:t>development</w:t>
      </w:r>
      <w:r>
        <w:t xml:space="preserve"> and outcomes. </w:t>
      </w:r>
      <w:r w:rsidRPr="005503A0">
        <w:t xml:space="preserve">Chronic maltreatment </w:t>
      </w:r>
      <w:r>
        <w:t xml:space="preserve">reoccurring over a prolonged period is particularly detrimental, resulting in </w:t>
      </w:r>
      <w:r w:rsidRPr="00EE7F55">
        <w:t>worse outcomes than temporary or isolated incidents</w:t>
      </w:r>
      <w:r>
        <w:t xml:space="preserve"> </w:t>
      </w:r>
      <w:r w:rsidRPr="004F595B">
        <w:rPr>
          <w:szCs w:val="24"/>
        </w:rPr>
        <w:t>(</w:t>
      </w:r>
      <w:r>
        <w:rPr>
          <w:szCs w:val="24"/>
        </w:rPr>
        <w:t>CFCA</w:t>
      </w:r>
      <w:r w:rsidRPr="004F595B">
        <w:rPr>
          <w:szCs w:val="24"/>
        </w:rPr>
        <w:t> 2014)</w:t>
      </w:r>
      <w:r w:rsidRPr="005503A0">
        <w:t>.</w:t>
      </w:r>
    </w:p>
    <w:p w:rsidR="006D461D" w:rsidRDefault="006D461D" w:rsidP="006D461D">
      <w:pPr>
        <w:pStyle w:val="BodyText"/>
      </w:pPr>
      <w:r>
        <w:t>The incidence of child abuse and neglect is hard to measure. Available data show that involvement with child protection services has been increasing in Australia (figure 1). However, this is likely to partly</w:t>
      </w:r>
      <w:r w:rsidRPr="00E91870">
        <w:t xml:space="preserve"> </w:t>
      </w:r>
      <w:r>
        <w:t xml:space="preserve">reflect changes in policies and community awareness, broadening definitions of what constitutes abuse and neglect, and increasing reporting requirements </w:t>
      </w:r>
      <w:r w:rsidRPr="004F595B">
        <w:rPr>
          <w:szCs w:val="24"/>
        </w:rPr>
        <w:t>(Katz et al. 2016)</w:t>
      </w:r>
      <w:r>
        <w:t xml:space="preserve">. It is not clear to what extent the underlying level of child abuse and neglect has also changed. </w:t>
      </w:r>
    </w:p>
    <w:p w:rsidR="006362BA" w:rsidRDefault="00C64B94" w:rsidP="00E425A1">
      <w:pPr>
        <w:pStyle w:val="BodyText"/>
      </w:pPr>
      <w:r w:rsidRPr="00E425A1">
        <w:t xml:space="preserve">Governing any </w:t>
      </w:r>
      <w:r w:rsidR="00A22CD0" w:rsidRPr="00E425A1">
        <w:t>c</w:t>
      </w:r>
      <w:r w:rsidRPr="00E425A1">
        <w:t>hild protection system</w:t>
      </w:r>
      <w:r w:rsidR="006362BA" w:rsidRPr="00E425A1">
        <w:t xml:space="preserve"> </w:t>
      </w:r>
      <w:r w:rsidR="00A22CD0" w:rsidRPr="00E425A1">
        <w:t>is challenging</w:t>
      </w:r>
      <w:r w:rsidR="002C42AF" w:rsidRPr="00E425A1">
        <w:t xml:space="preserve"> </w:t>
      </w:r>
      <w:r w:rsidRPr="00E425A1">
        <w:t>and those in Australia are no exception</w:t>
      </w:r>
      <w:r w:rsidR="00A22CD0" w:rsidRPr="00E425A1">
        <w:t xml:space="preserve">. </w:t>
      </w:r>
      <w:r w:rsidRPr="00E425A1">
        <w:t>These systems are</w:t>
      </w:r>
      <w:r w:rsidR="00A22CD0" w:rsidRPr="00E425A1">
        <w:t xml:space="preserve"> often dealing with the most vulnerable and disadvantaged children and families who have significant and complex needs. </w:t>
      </w:r>
      <w:r w:rsidRPr="00E425A1">
        <w:t xml:space="preserve">Given this, there will also be a need for some tertiary/statutory services to ensure </w:t>
      </w:r>
      <w:r w:rsidR="002C42AF" w:rsidRPr="00E425A1">
        <w:t xml:space="preserve">the </w:t>
      </w:r>
      <w:r w:rsidRPr="00E425A1">
        <w:t xml:space="preserve">protection </w:t>
      </w:r>
      <w:r w:rsidR="002C42AF" w:rsidRPr="00E425A1">
        <w:t>of</w:t>
      </w:r>
      <w:r w:rsidRPr="00E425A1">
        <w:t xml:space="preserve"> some children.</w:t>
      </w:r>
      <w:r>
        <w:t xml:space="preserve"> </w:t>
      </w:r>
    </w:p>
    <w:p w:rsidR="006D461D" w:rsidRPr="00D62217" w:rsidRDefault="006362BA" w:rsidP="006D461D">
      <w:pPr>
        <w:pStyle w:val="BodyText"/>
      </w:pPr>
      <w:r>
        <w:t>Nevertheless, t</w:t>
      </w:r>
      <w:r w:rsidR="006D461D" w:rsidRPr="00D62217">
        <w:t xml:space="preserve">here is recognition that the child protection system is </w:t>
      </w:r>
      <w:r>
        <w:t xml:space="preserve">overly </w:t>
      </w:r>
      <w:r w:rsidR="006D461D" w:rsidRPr="00D62217">
        <w:t>crisis oriented and needs to be re</w:t>
      </w:r>
      <w:r w:rsidR="006D461D">
        <w:noBreakHyphen/>
      </w:r>
      <w:r w:rsidR="006D461D" w:rsidRPr="00D62217">
        <w:t xml:space="preserve">oriented toward prevention and early intervention </w:t>
      </w:r>
      <w:r w:rsidR="006D461D" w:rsidRPr="00D62217">
        <w:rPr>
          <w:szCs w:val="24"/>
        </w:rPr>
        <w:t>(AMA 2018; Broadley and Goddard 2014; Higgins 2015; O’Donnell, Scott and Stanley 2008)</w:t>
      </w:r>
      <w:r w:rsidR="006D461D" w:rsidRPr="00D62217">
        <w:t xml:space="preserve">. </w:t>
      </w:r>
      <w:r w:rsidR="00C81F24" w:rsidRPr="00E425A1">
        <w:t xml:space="preserve">Australian </w:t>
      </w:r>
      <w:r w:rsidR="00C81F24" w:rsidRPr="00E425A1">
        <w:lastRenderedPageBreak/>
        <w:t>governments aware of some of these shortcoming</w:t>
      </w:r>
      <w:r w:rsidR="002C42AF" w:rsidRPr="00E425A1">
        <w:t>s</w:t>
      </w:r>
      <w:r w:rsidR="00C81F24" w:rsidRPr="00E425A1">
        <w:t xml:space="preserve"> are already planning or undertaking </w:t>
      </w:r>
      <w:r w:rsidR="00C64B94" w:rsidRPr="00E425A1">
        <w:t xml:space="preserve">changes to systems for protecting children </w:t>
      </w:r>
      <w:r w:rsidR="00C81F24" w:rsidRPr="00E425A1">
        <w:t>(Wise 2017)</w:t>
      </w:r>
      <w:r w:rsidR="00C64B94" w:rsidRPr="00E425A1">
        <w:t>.</w:t>
      </w:r>
    </w:p>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D461D" w:rsidTr="00A1171E">
        <w:trPr>
          <w:tblHeader/>
        </w:trPr>
        <w:tc>
          <w:tcPr>
            <w:tcW w:w="5000" w:type="pct"/>
            <w:tcBorders>
              <w:top w:val="single" w:sz="6" w:space="0" w:color="78A22F"/>
              <w:left w:val="nil"/>
              <w:bottom w:val="nil"/>
              <w:right w:val="nil"/>
            </w:tcBorders>
            <w:shd w:val="clear" w:color="auto" w:fill="auto"/>
          </w:tcPr>
          <w:p w:rsidR="006D461D" w:rsidRPr="00176D3F" w:rsidRDefault="006D461D" w:rsidP="00A1171E">
            <w:pPr>
              <w:pStyle w:val="FigureTitle"/>
            </w:pPr>
            <w:r w:rsidRPr="00784A05">
              <w:rPr>
                <w:b w:val="0"/>
              </w:rPr>
              <w:t xml:space="preserve">Figure </w:t>
            </w:r>
            <w:r>
              <w:rPr>
                <w:b w:val="0"/>
                <w:noProof/>
              </w:rPr>
              <w:t>1</w:t>
            </w:r>
            <w:r>
              <w:tab/>
              <w:t>Involvement with tertiary/</w:t>
            </w:r>
            <w:r w:rsidRPr="00AD60BA">
              <w:t>statutory child protection services</w:t>
            </w:r>
          </w:p>
        </w:tc>
      </w:tr>
      <w:tr w:rsidR="006D461D" w:rsidTr="00A1171E">
        <w:tc>
          <w:tcPr>
            <w:tcW w:w="5000" w:type="pct"/>
            <w:tcBorders>
              <w:top w:val="nil"/>
              <w:left w:val="nil"/>
              <w:bottom w:val="nil"/>
              <w:right w:val="nil"/>
            </w:tcBorders>
            <w:shd w:val="clear" w:color="auto" w:fill="auto"/>
            <w:tcMar>
              <w:top w:w="28" w:type="dxa"/>
              <w:bottom w:w="28" w:type="dxa"/>
            </w:tcMar>
          </w:tcPr>
          <w:tbl>
            <w:tblPr>
              <w:tblW w:w="8813"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813"/>
            </w:tblGrid>
            <w:tr w:rsidR="006D461D" w:rsidRPr="00B1465D" w:rsidTr="00A1171E">
              <w:trPr>
                <w:tblHeader/>
                <w:jc w:val="center"/>
              </w:trPr>
              <w:tc>
                <w:tcPr>
                  <w:tcW w:w="8813" w:type="dxa"/>
                  <w:tcBorders>
                    <w:top w:val="nil"/>
                    <w:bottom w:val="nil"/>
                  </w:tcBorders>
                </w:tcPr>
                <w:p w:rsidR="006D461D" w:rsidRPr="00B1465D" w:rsidRDefault="006D461D" w:rsidP="00A1171E">
                  <w:pPr>
                    <w:pStyle w:val="Figure"/>
                    <w:spacing w:before="60" w:after="60"/>
                    <w:rPr>
                      <w:rFonts w:ascii="Arial" w:hAnsi="Arial" w:cs="Arial"/>
                      <w:sz w:val="18"/>
                      <w:szCs w:val="18"/>
                    </w:rPr>
                  </w:pPr>
                  <w:r w:rsidRPr="004B4552">
                    <w:rPr>
                      <w:rFonts w:ascii="Arial" w:hAnsi="Arial" w:cs="Arial"/>
                      <w:noProof/>
                      <w:sz w:val="18"/>
                      <w:szCs w:val="18"/>
                    </w:rPr>
                    <w:drawing>
                      <wp:inline distT="0" distB="0" distL="0" distR="0" wp14:anchorId="055F7366" wp14:editId="39DABA17">
                        <wp:extent cx="5243945" cy="2653145"/>
                        <wp:effectExtent l="57150" t="0" r="52070" b="109220"/>
                        <wp:docPr id="1" name="Chart 1" descr="Figure 1 Involvement with tertiary/statutory child protectin services&#10;&#10;Figure &#10;Per 1000 children&#10;2010-11 up to 2016-17&#10;&#10;Legend: &#10;Purple line = Substantiations of abuse or neglect&#10;Dark blue line = Care and protection orders&#10;Green broken line = Out-of-home-care &#10;&#10;More details can be found within the text surrounding this im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6D461D" w:rsidRDefault="006D461D" w:rsidP="00A1171E">
            <w:pPr>
              <w:pStyle w:val="Figure"/>
            </w:pPr>
          </w:p>
        </w:tc>
      </w:tr>
      <w:tr w:rsidR="006D461D" w:rsidRPr="00176D3F" w:rsidTr="00A1171E">
        <w:tc>
          <w:tcPr>
            <w:tcW w:w="5000" w:type="pct"/>
            <w:tcBorders>
              <w:top w:val="nil"/>
              <w:left w:val="nil"/>
              <w:bottom w:val="nil"/>
              <w:right w:val="nil"/>
            </w:tcBorders>
            <w:shd w:val="clear" w:color="auto" w:fill="auto"/>
          </w:tcPr>
          <w:p w:rsidR="006D461D" w:rsidRPr="00176D3F" w:rsidRDefault="006D461D" w:rsidP="00A1171E">
            <w:pPr>
              <w:pStyle w:val="Source"/>
            </w:pPr>
            <w:r>
              <w:rPr>
                <w:i/>
              </w:rPr>
              <w:t>S</w:t>
            </w:r>
            <w:r w:rsidRPr="00784A05">
              <w:rPr>
                <w:i/>
              </w:rPr>
              <w:t>ource</w:t>
            </w:r>
            <w:r w:rsidRPr="00176D3F">
              <w:t xml:space="preserve">: </w:t>
            </w:r>
            <w:r w:rsidRPr="00DD719E">
              <w:t>SCRGSP (Steering Committee for the Review of Government Service Provision) 201</w:t>
            </w:r>
            <w:r>
              <w:t>9</w:t>
            </w:r>
            <w:r w:rsidRPr="00DD719E">
              <w:t xml:space="preserve">, </w:t>
            </w:r>
            <w:r w:rsidRPr="00DD719E">
              <w:rPr>
                <w:i/>
              </w:rPr>
              <w:t>Report on Government Services 2019</w:t>
            </w:r>
            <w:r w:rsidRPr="00DD719E">
              <w:t>, Productivity Commission, Canberra.</w:t>
            </w:r>
            <w:r>
              <w:rPr>
                <w:i/>
              </w:rPr>
              <w:t xml:space="preserve"> </w:t>
            </w:r>
          </w:p>
        </w:tc>
      </w:tr>
      <w:tr w:rsidR="006D461D" w:rsidTr="00A1171E">
        <w:trPr>
          <w:trHeight w:val="80"/>
        </w:trPr>
        <w:tc>
          <w:tcPr>
            <w:tcW w:w="5000" w:type="pct"/>
            <w:tcBorders>
              <w:top w:val="nil"/>
              <w:left w:val="nil"/>
              <w:bottom w:val="single" w:sz="6" w:space="0" w:color="78A22F"/>
              <w:right w:val="nil"/>
            </w:tcBorders>
            <w:shd w:val="clear" w:color="auto" w:fill="auto"/>
          </w:tcPr>
          <w:p w:rsidR="006D461D" w:rsidRDefault="006D461D" w:rsidP="00A1171E">
            <w:pPr>
              <w:pStyle w:val="Figurespace"/>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pPr>
          </w:p>
        </w:tc>
      </w:tr>
    </w:tbl>
    <w:p w:rsidR="006D461D" w:rsidRDefault="006D461D" w:rsidP="006D461D">
      <w:pPr>
        <w:pStyle w:val="Heading3"/>
      </w:pPr>
      <w:r>
        <w:t xml:space="preserve">What is the public health approach </w:t>
      </w:r>
      <w:r>
        <w:rPr>
          <w:rFonts w:cs="Arial"/>
        </w:rPr>
        <w:t>to protecting children</w:t>
      </w:r>
      <w:r>
        <w:t>?</w:t>
      </w:r>
    </w:p>
    <w:p w:rsidR="006D461D" w:rsidRPr="00D62217" w:rsidRDefault="006D461D" w:rsidP="006D461D">
      <w:pPr>
        <w:pStyle w:val="BodyText"/>
      </w:pPr>
      <w:r w:rsidRPr="00EB23BA">
        <w:t xml:space="preserve">In essence, a public health approach </w:t>
      </w:r>
      <w:r>
        <w:t xml:space="preserve">to protecting children </w:t>
      </w:r>
      <w:r w:rsidRPr="00EB23BA">
        <w:t xml:space="preserve">means </w:t>
      </w:r>
      <w:r>
        <w:t xml:space="preserve">a focus on </w:t>
      </w:r>
      <w:r w:rsidRPr="00EB23BA">
        <w:t>prevent</w:t>
      </w:r>
      <w:r>
        <w:t>ing</w:t>
      </w:r>
      <w:r w:rsidRPr="00EB23BA">
        <w:t xml:space="preserve"> child abuse and neglect from occurring in the first place</w:t>
      </w:r>
      <w:r>
        <w:t xml:space="preserve"> by addressing underlying risk factors that increase the likelihood that a child will experience abuse or neglect, or where problems do occur, to intervene as early as possible to minimise harm (</w:t>
      </w:r>
      <w:r w:rsidRPr="00DD719E">
        <w:rPr>
          <w:szCs w:val="24"/>
        </w:rPr>
        <w:t>Barlow and Calam 2011</w:t>
      </w:r>
      <w:r>
        <w:rPr>
          <w:szCs w:val="24"/>
        </w:rPr>
        <w:t xml:space="preserve">, </w:t>
      </w:r>
      <w:r w:rsidRPr="004F595B">
        <w:rPr>
          <w:szCs w:val="24"/>
        </w:rPr>
        <w:t>Richmond-Crum et al. 2013</w:t>
      </w:r>
      <w:r>
        <w:t xml:space="preserve">). </w:t>
      </w:r>
      <w:r w:rsidRPr="00D62217">
        <w:t xml:space="preserve">Under the </w:t>
      </w:r>
      <w:r w:rsidRPr="00D62217">
        <w:rPr>
          <w:i/>
        </w:rPr>
        <w:t>National Framework for Protecting Australia’s Children 2009–2020</w:t>
      </w:r>
      <w:r w:rsidRPr="00D62217">
        <w:t xml:space="preserve">, Australian governments recognised the need to shift from tertiary/statutory responses to abuse and neglect to a public health approach that focuses more on prevention and early intervention to promote the safety and wellbeing of children </w:t>
      </w:r>
      <w:r w:rsidRPr="00D62217">
        <w:rPr>
          <w:szCs w:val="24"/>
        </w:rPr>
        <w:t>(COAG 2009)</w:t>
      </w:r>
      <w:r w:rsidRPr="00D62217">
        <w:t xml:space="preserve">. </w:t>
      </w:r>
    </w:p>
    <w:p w:rsidR="006D461D" w:rsidRDefault="006D461D" w:rsidP="006D461D">
      <w:pPr>
        <w:pStyle w:val="BodyText"/>
        <w:spacing w:line="320" w:lineRule="atLeast"/>
      </w:pPr>
      <w:r>
        <w:t>Under the public health approach, p</w:t>
      </w:r>
      <w:r w:rsidRPr="006341C5">
        <w:t xml:space="preserve">riority is placed on universal </w:t>
      </w:r>
      <w:r>
        <w:t xml:space="preserve">(primary) </w:t>
      </w:r>
      <w:r w:rsidRPr="006341C5">
        <w:t>support for all families</w:t>
      </w:r>
      <w:r>
        <w:t xml:space="preserve"> (for example, maternal child health services or positive parenting media campaigns),</w:t>
      </w:r>
      <w:r w:rsidRPr="006341C5">
        <w:t xml:space="preserve"> </w:t>
      </w:r>
      <w:r>
        <w:t>with m</w:t>
      </w:r>
      <w:r w:rsidRPr="006341C5">
        <w:t>ore in</w:t>
      </w:r>
      <w:r>
        <w:t>tensive (secondary) prevention targeted to</w:t>
      </w:r>
      <w:r w:rsidRPr="006341C5">
        <w:t xml:space="preserve"> </w:t>
      </w:r>
      <w:r>
        <w:t>vulnerable or higher</w:t>
      </w:r>
      <w:r>
        <w:noBreakHyphen/>
        <w:t>risk families, often with a focus on early intervention (for example, parenting programs that build skills and address mental health problems)</w:t>
      </w:r>
      <w:r w:rsidRPr="006341C5">
        <w:t xml:space="preserve"> </w:t>
      </w:r>
      <w:r>
        <w:t>(figure 2)</w:t>
      </w:r>
      <w:r w:rsidRPr="006341C5">
        <w:t xml:space="preserve">. Tertiary </w:t>
      </w:r>
      <w:r>
        <w:t xml:space="preserve">(statutory) </w:t>
      </w:r>
      <w:r w:rsidRPr="006341C5">
        <w:t xml:space="preserve">child protection services </w:t>
      </w:r>
      <w:r>
        <w:t xml:space="preserve">(for example, care and protection orders and out-of-home care) </w:t>
      </w:r>
      <w:r w:rsidRPr="006341C5">
        <w:t xml:space="preserve">are </w:t>
      </w:r>
      <w:r>
        <w:t xml:space="preserve">seen as </w:t>
      </w:r>
      <w:r w:rsidRPr="006341C5">
        <w:t>a last resort</w:t>
      </w:r>
      <w:r>
        <w:t xml:space="preserve"> when abuse or neglect has occurred and use of alternative non-statutory approaches (for example, family support services) is not possible.</w:t>
      </w:r>
    </w:p>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D461D" w:rsidTr="00A1171E">
        <w:trPr>
          <w:tblHeader/>
        </w:trPr>
        <w:tc>
          <w:tcPr>
            <w:tcW w:w="5000" w:type="pct"/>
            <w:tcBorders>
              <w:top w:val="single" w:sz="6" w:space="0" w:color="78A22F"/>
              <w:left w:val="nil"/>
              <w:bottom w:val="nil"/>
              <w:right w:val="nil"/>
            </w:tcBorders>
            <w:shd w:val="clear" w:color="auto" w:fill="auto"/>
          </w:tcPr>
          <w:p w:rsidR="006D461D" w:rsidRPr="00176D3F" w:rsidRDefault="006D461D" w:rsidP="00A1171E">
            <w:pPr>
              <w:pStyle w:val="FigureTitle"/>
            </w:pPr>
            <w:r w:rsidRPr="00784A05">
              <w:rPr>
                <w:b w:val="0"/>
              </w:rPr>
              <w:t xml:space="preserve">Figure </w:t>
            </w:r>
            <w:r>
              <w:rPr>
                <w:b w:val="0"/>
                <w:noProof/>
              </w:rPr>
              <w:t>2</w:t>
            </w:r>
            <w:r>
              <w:tab/>
            </w:r>
            <w:r w:rsidRPr="00152FC7">
              <w:t xml:space="preserve">The Public Health Approach </w:t>
            </w:r>
            <w:r>
              <w:t>to protecting children</w:t>
            </w:r>
          </w:p>
        </w:tc>
      </w:tr>
      <w:tr w:rsidR="006D461D" w:rsidTr="00A1171E">
        <w:tc>
          <w:tcPr>
            <w:tcW w:w="5000" w:type="pct"/>
            <w:tcBorders>
              <w:top w:val="nil"/>
              <w:left w:val="nil"/>
              <w:bottom w:val="nil"/>
              <w:right w:val="nil"/>
            </w:tcBorders>
            <w:shd w:val="clear" w:color="auto" w:fill="auto"/>
            <w:tcMar>
              <w:top w:w="28" w:type="dxa"/>
              <w:bottom w:w="28" w:type="dxa"/>
            </w:tcMar>
          </w:tcPr>
          <w:p w:rsidR="006D461D" w:rsidRDefault="006D461D" w:rsidP="00A1171E">
            <w:pPr>
              <w:pStyle w:val="Figure"/>
              <w:jc w:val="left"/>
            </w:pPr>
            <w:r>
              <w:rPr>
                <w:noProof/>
              </w:rPr>
              <w:drawing>
                <wp:inline distT="0" distB="0" distL="0" distR="0" wp14:anchorId="1721DA60" wp14:editId="08C35C6F">
                  <wp:extent cx="5292090" cy="3084830"/>
                  <wp:effectExtent l="0" t="0" r="3810" b="0"/>
                  <wp:docPr id="7" name="Picture 7" descr="Figure 2 The Public Health Approach to protecting children&#10;&#10;Pyramid figure&#10;&#10;From the top:&#10;Top colour in red: Tertiary - Statutory system&#10;Middle colours blue: Secondary 1. Targeted services and programs for 'at risk' families and children&#10;2. Early intervention services targeted to vulnerable families and children&#10;Bottom colours green: Primary - Universal preventative initiatives to support all families and children&#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2090" cy="3084830"/>
                          </a:xfrm>
                          <a:prstGeom prst="rect">
                            <a:avLst/>
                          </a:prstGeom>
                          <a:noFill/>
                        </pic:spPr>
                      </pic:pic>
                    </a:graphicData>
                  </a:graphic>
                </wp:inline>
              </w:drawing>
            </w:r>
          </w:p>
        </w:tc>
      </w:tr>
      <w:tr w:rsidR="006D461D" w:rsidRPr="00176D3F" w:rsidTr="00A1171E">
        <w:tc>
          <w:tcPr>
            <w:tcW w:w="5000" w:type="pct"/>
            <w:tcBorders>
              <w:top w:val="nil"/>
              <w:left w:val="nil"/>
              <w:bottom w:val="nil"/>
              <w:right w:val="nil"/>
            </w:tcBorders>
            <w:shd w:val="clear" w:color="auto" w:fill="auto"/>
          </w:tcPr>
          <w:p w:rsidR="006D461D" w:rsidRPr="00176D3F" w:rsidRDefault="006D461D" w:rsidP="00A1171E">
            <w:pPr>
              <w:pStyle w:val="Source"/>
            </w:pPr>
            <w:r w:rsidRPr="00F9166A">
              <w:rPr>
                <w:i/>
              </w:rPr>
              <w:t>Source</w:t>
            </w:r>
            <w:r>
              <w:t xml:space="preserve">: </w:t>
            </w:r>
            <w:r w:rsidRPr="00765C4B">
              <w:t>C</w:t>
            </w:r>
            <w:r>
              <w:t>O</w:t>
            </w:r>
            <w:r w:rsidRPr="00765C4B">
              <w:t xml:space="preserve">AG </w:t>
            </w:r>
            <w:r>
              <w:t>(</w:t>
            </w:r>
            <w:r w:rsidRPr="00765C4B">
              <w:t>200</w:t>
            </w:r>
            <w:r>
              <w:t>9)</w:t>
            </w:r>
            <w:r w:rsidRPr="00765C4B">
              <w:t xml:space="preserve"> </w:t>
            </w:r>
            <w:r>
              <w:t>[</w:t>
            </w:r>
            <w:r w:rsidRPr="00D9795C">
              <w:rPr>
                <w:i/>
              </w:rPr>
              <w:t>National Framework for Protecting Australia’s Children 2009–2020</w:t>
            </w:r>
            <w:r>
              <w:rPr>
                <w:i/>
              </w:rPr>
              <w:t>,</w:t>
            </w:r>
            <w:r>
              <w:t xml:space="preserve"> </w:t>
            </w:r>
            <w:r w:rsidRPr="007702A2">
              <w:rPr>
                <w:i/>
              </w:rPr>
              <w:t>www.dss.gov.au/sites/default/files/documents/child_protection_framework.pdf</w:t>
            </w:r>
            <w:r>
              <w:rPr>
                <w:i/>
              </w:rPr>
              <w:t xml:space="preserve"> </w:t>
            </w:r>
            <w:r>
              <w:t>and Productivity Commission.</w:t>
            </w:r>
          </w:p>
        </w:tc>
      </w:tr>
      <w:tr w:rsidR="006D461D" w:rsidTr="00A1171E">
        <w:tc>
          <w:tcPr>
            <w:tcW w:w="5000" w:type="pct"/>
            <w:tcBorders>
              <w:top w:val="nil"/>
              <w:left w:val="nil"/>
              <w:bottom w:val="single" w:sz="6" w:space="0" w:color="78A22F"/>
              <w:right w:val="nil"/>
            </w:tcBorders>
            <w:shd w:val="clear" w:color="auto" w:fill="auto"/>
          </w:tcPr>
          <w:p w:rsidR="006D461D" w:rsidRDefault="006D461D" w:rsidP="00A1171E">
            <w:pPr>
              <w:pStyle w:val="Figurespace"/>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pPr>
          </w:p>
        </w:tc>
      </w:tr>
    </w:tbl>
    <w:p w:rsidR="006D461D" w:rsidRPr="00A073FF" w:rsidRDefault="006D461D" w:rsidP="00A073FF">
      <w:pPr>
        <w:pStyle w:val="Heading2"/>
        <w:rPr>
          <w:rStyle w:val="Heading2Char"/>
          <w:b/>
        </w:rPr>
      </w:pPr>
      <w:r w:rsidRPr="00A073FF">
        <w:rPr>
          <w:rStyle w:val="Heading2Char"/>
          <w:b/>
        </w:rPr>
        <w:t>3</w:t>
      </w:r>
      <w:r w:rsidRPr="00A073FF">
        <w:rPr>
          <w:rStyle w:val="Heading2Char"/>
          <w:b/>
        </w:rPr>
        <w:tab/>
        <w:t>What is known about the desirable characteristics of a</w:t>
      </w:r>
      <w:r w:rsidRPr="00A073FF">
        <w:t xml:space="preserve"> system</w:t>
      </w:r>
      <w:r w:rsidRPr="00A073FF">
        <w:rPr>
          <w:rStyle w:val="Heading2Char"/>
          <w:b/>
        </w:rPr>
        <w:t xml:space="preserve"> based on the public health approach?</w:t>
      </w:r>
    </w:p>
    <w:p w:rsidR="006D461D" w:rsidRDefault="006D461D" w:rsidP="006D461D">
      <w:pPr>
        <w:pStyle w:val="Body"/>
      </w:pPr>
      <w:r>
        <w:t>S</w:t>
      </w:r>
      <w:r w:rsidRPr="00EF0975">
        <w:t>ystems</w:t>
      </w:r>
      <w:r>
        <w:t xml:space="preserve"> are often complex and those designed to protect children are no exception.</w:t>
      </w:r>
      <w:r w:rsidRPr="001B61C9">
        <w:t xml:space="preserve"> </w:t>
      </w:r>
      <w:r>
        <w:t>Systems</w:t>
      </w:r>
      <w:r w:rsidRPr="002512D4">
        <w:t xml:space="preserve"> are a combination of identifiable processes and structures (</w:t>
      </w:r>
      <w:r>
        <w:t>for example</w:t>
      </w:r>
      <w:r w:rsidRPr="002512D4">
        <w:t>, agencies and organisations, funding and account</w:t>
      </w:r>
      <w:r>
        <w:t xml:space="preserve">ability arrangements), and more difficult to </w:t>
      </w:r>
      <w:r w:rsidRPr="002512D4">
        <w:t>identify normative elements (</w:t>
      </w:r>
      <w:r>
        <w:t>for example</w:t>
      </w:r>
      <w:r w:rsidRPr="002512D4">
        <w:t>, attitudes, expectations and implicit assumptions that drive behaviours)</w:t>
      </w:r>
      <w:r>
        <w:t xml:space="preserve"> </w:t>
      </w:r>
      <w:r w:rsidRPr="00B8401C">
        <w:rPr>
          <w:szCs w:val="24"/>
        </w:rPr>
        <w:t>(Fox et al. 2015)</w:t>
      </w:r>
      <w:r>
        <w:t xml:space="preserve">. </w:t>
      </w:r>
    </w:p>
    <w:p w:rsidR="006D461D" w:rsidRDefault="006D461D" w:rsidP="006D461D">
      <w:pPr>
        <w:pStyle w:val="Body"/>
      </w:pPr>
      <w:r>
        <w:t>The literature points to several desirable characteristics of a public health approach to designing a system to protect children — as represented in figure 3. Children are at the centre, along with their families and parents, and communities. These groups are the focus of system efforts and the recipients of evidence-based prevention and early intervention programs that match their needs. The system characteristics that support these programs include:</w:t>
      </w:r>
    </w:p>
    <w:p w:rsidR="006D461D" w:rsidRDefault="006D461D" w:rsidP="006D461D">
      <w:pPr>
        <w:pStyle w:val="ListBullet"/>
        <w:numPr>
          <w:ilvl w:val="0"/>
          <w:numId w:val="1"/>
        </w:numPr>
      </w:pPr>
      <w:r>
        <w:t xml:space="preserve">a skilled and professional workforce who deliver services/programs </w:t>
      </w:r>
      <w:r w:rsidRPr="004F595B">
        <w:rPr>
          <w:szCs w:val="24"/>
        </w:rPr>
        <w:t>(Allen Consulting Group 2008)</w:t>
      </w:r>
    </w:p>
    <w:p w:rsidR="006D461D" w:rsidRDefault="006D461D" w:rsidP="006D461D">
      <w:pPr>
        <w:pStyle w:val="ListBullet"/>
        <w:widowControl w:val="0"/>
        <w:numPr>
          <w:ilvl w:val="0"/>
          <w:numId w:val="1"/>
        </w:numPr>
      </w:pPr>
      <w:r>
        <w:t>organisations located in multiple settings where families and children often go (such as</w:t>
      </w:r>
      <w:r>
        <w:br/>
        <w:t>pre-schools and maternal health clinics),</w:t>
      </w:r>
      <w:r w:rsidRPr="003077DF">
        <w:t xml:space="preserve"> </w:t>
      </w:r>
      <w:r>
        <w:t xml:space="preserve">with the capacity and knowledge to identify </w:t>
      </w:r>
      <w:r>
        <w:lastRenderedPageBreak/>
        <w:t>risks and intervene early (</w:t>
      </w:r>
      <w:r w:rsidRPr="004F595B">
        <w:rPr>
          <w:szCs w:val="24"/>
        </w:rPr>
        <w:t>Higgins 2014</w:t>
      </w:r>
      <w:r>
        <w:rPr>
          <w:szCs w:val="24"/>
        </w:rPr>
        <w:t xml:space="preserve">; </w:t>
      </w:r>
      <w:r w:rsidRPr="004F595B">
        <w:rPr>
          <w:szCs w:val="24"/>
        </w:rPr>
        <w:t>Put et al. 2017; Wilson et</w:t>
      </w:r>
      <w:r>
        <w:rPr>
          <w:szCs w:val="24"/>
        </w:rPr>
        <w:t> </w:t>
      </w:r>
      <w:r w:rsidRPr="004F595B">
        <w:rPr>
          <w:szCs w:val="24"/>
        </w:rPr>
        <w:t>al. 2015</w:t>
      </w:r>
      <w:r w:rsidRPr="00030F5C">
        <w:t>)</w:t>
      </w:r>
    </w:p>
    <w:p w:rsidR="006D461D" w:rsidRDefault="006D461D" w:rsidP="006D461D">
      <w:pPr>
        <w:pStyle w:val="ListBullet"/>
        <w:numPr>
          <w:ilvl w:val="0"/>
          <w:numId w:val="1"/>
        </w:numPr>
      </w:pPr>
      <w:r>
        <w:t>good quality information and data that provide evidence on the problem (such as data on the prevalence of child abuse and neglect), on what programs</w:t>
      </w:r>
      <w:r w:rsidRPr="00C01995">
        <w:t xml:space="preserve"> </w:t>
      </w:r>
      <w:r>
        <w:t xml:space="preserve">and services are effective, and what outcomes the system is delivering </w:t>
      </w:r>
      <w:r w:rsidRPr="004F595B">
        <w:rPr>
          <w:szCs w:val="24"/>
        </w:rPr>
        <w:t xml:space="preserve">(Broadley </w:t>
      </w:r>
      <w:r>
        <w:rPr>
          <w:szCs w:val="24"/>
        </w:rPr>
        <w:t>and Goddard 2014; Herrenkohl et </w:t>
      </w:r>
      <w:r w:rsidRPr="004F595B">
        <w:rPr>
          <w:szCs w:val="24"/>
        </w:rPr>
        <w:t>al. 2015; Jack 2010; O’Donnell, Scott and Stanley 2008)</w:t>
      </w:r>
    </w:p>
    <w:p w:rsidR="006D461D" w:rsidRDefault="006D461D" w:rsidP="006D461D">
      <w:pPr>
        <w:pStyle w:val="ListBullet"/>
        <w:numPr>
          <w:ilvl w:val="0"/>
          <w:numId w:val="1"/>
        </w:numPr>
      </w:pPr>
      <w:r>
        <w:t>strong links across organisations, settings and government agencies that facilitate collaboration</w:t>
      </w:r>
      <w:r w:rsidRPr="00B04115">
        <w:t xml:space="preserve"> </w:t>
      </w:r>
      <w:r>
        <w:t xml:space="preserve">and coordination </w:t>
      </w:r>
      <w:r w:rsidRPr="004F595B">
        <w:rPr>
          <w:szCs w:val="24"/>
        </w:rPr>
        <w:t>(Moxley, Squires and Lindstrom 2012; Waterhouse 2008)</w:t>
      </w:r>
    </w:p>
    <w:p w:rsidR="006D461D" w:rsidRDefault="006D461D" w:rsidP="006D461D">
      <w:pPr>
        <w:pStyle w:val="ListBullet"/>
        <w:numPr>
          <w:ilvl w:val="0"/>
          <w:numId w:val="1"/>
        </w:numPr>
      </w:pPr>
      <w:r>
        <w:t xml:space="preserve">shared norms and values along with supportive rules, regulations and governance arrangements that are consistent across the system and align with the overall objective </w:t>
      </w:r>
      <w:r w:rsidRPr="00862046">
        <w:rPr>
          <w:szCs w:val="24"/>
        </w:rPr>
        <w:t>(Allen Consulting Group 2008; Richmond-Crum et al.</w:t>
      </w:r>
      <w:r w:rsidRPr="00A66CA8">
        <w:rPr>
          <w:szCs w:val="24"/>
        </w:rPr>
        <w:t> 2013)</w:t>
      </w:r>
      <w:r>
        <w:t xml:space="preserve">. </w:t>
      </w:r>
    </w:p>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D461D" w:rsidTr="00A1171E">
        <w:trPr>
          <w:tblHeader/>
        </w:trPr>
        <w:tc>
          <w:tcPr>
            <w:tcW w:w="5000" w:type="pct"/>
            <w:tcBorders>
              <w:top w:val="single" w:sz="6" w:space="0" w:color="78A22F"/>
              <w:left w:val="nil"/>
              <w:bottom w:val="nil"/>
              <w:right w:val="nil"/>
            </w:tcBorders>
            <w:shd w:val="clear" w:color="auto" w:fill="auto"/>
          </w:tcPr>
          <w:p w:rsidR="006D461D" w:rsidRPr="00176D3F" w:rsidRDefault="006D461D" w:rsidP="00A1171E">
            <w:pPr>
              <w:pStyle w:val="FigureTitle"/>
            </w:pPr>
            <w:r w:rsidRPr="00784A05">
              <w:rPr>
                <w:b w:val="0"/>
              </w:rPr>
              <w:t xml:space="preserve">Figure </w:t>
            </w:r>
            <w:r>
              <w:rPr>
                <w:b w:val="0"/>
                <w:noProof/>
              </w:rPr>
              <w:t>3</w:t>
            </w:r>
            <w:r>
              <w:tab/>
              <w:t>Key system characteristics for a public health approach to protecting children identified in the literature</w:t>
            </w:r>
          </w:p>
        </w:tc>
      </w:tr>
      <w:tr w:rsidR="006D461D" w:rsidTr="00A1171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6D461D" w:rsidRPr="00B1465D" w:rsidTr="00A1171E">
              <w:trPr>
                <w:tblHeader/>
                <w:jc w:val="center"/>
              </w:trPr>
              <w:tc>
                <w:tcPr>
                  <w:tcW w:w="5000" w:type="pct"/>
                  <w:tcBorders>
                    <w:top w:val="nil"/>
                    <w:bottom w:val="nil"/>
                  </w:tcBorders>
                </w:tcPr>
                <w:p w:rsidR="006D461D" w:rsidRPr="00B1465D" w:rsidRDefault="006D461D" w:rsidP="00A1171E">
                  <w:pPr>
                    <w:pStyle w:val="Figure"/>
                    <w:spacing w:before="60" w:after="60"/>
                    <w:rPr>
                      <w:rFonts w:ascii="Arial" w:hAnsi="Arial" w:cs="Arial"/>
                      <w:sz w:val="18"/>
                      <w:szCs w:val="18"/>
                    </w:rPr>
                  </w:pPr>
                  <w:r w:rsidRPr="00C45DD8" w:rsidDel="00C45DD8">
                    <w:rPr>
                      <w:rFonts w:ascii="Arial" w:hAnsi="Arial" w:cs="Arial"/>
                      <w:sz w:val="18"/>
                      <w:szCs w:val="18"/>
                    </w:rPr>
                    <w:t xml:space="preserve"> </w:t>
                  </w:r>
                  <w:r w:rsidRPr="00BD44B5">
                    <w:rPr>
                      <w:rFonts w:ascii="Arial" w:hAnsi="Arial" w:cs="Arial"/>
                      <w:noProof/>
                      <w:sz w:val="18"/>
                      <w:szCs w:val="18"/>
                    </w:rPr>
                    <w:drawing>
                      <wp:inline distT="0" distB="0" distL="0" distR="0" wp14:anchorId="49BDD3B5" wp14:editId="126FA83D">
                        <wp:extent cx="5191125" cy="4810394"/>
                        <wp:effectExtent l="0" t="0" r="0" b="0"/>
                        <wp:docPr id="3" name="Picture 3" descr="Figure 3 Key system characteristics for a public health approach to protecting children identified in the literature&#10;&#10;Circle figure with 7 rings in different shades of colours.&#10;&#10;Starting from the outside&#10;1. Ring &#10;dark grey: Shared norms and values&#10;light grey: Supportive rules, regulations and governance arrangements&#10;2. Ring &#10;dark yellow: Strong links across organisations, settings and agencies that facilitate collaboration and coordination&#10;bright yellow: Good quality information and data&#10;3. Ring &#10;light blue: Organisations located in multiple settings where families often go&#10;4. Ring &#10;dark blue: Skilled and professional workforce who deliver programs and services&#10;5. Ring &#10;light purple: Communities are engaged and diversity is catered to&#10;6. Ring&#10;medium purple: Families and parents are supported&#10;7. Ring and centre&#10;dark purple: Children are at the centre and protected&#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peness\AppData\Local\Microsoft\Windows\INetCache\Content.Outlook\V6GQB2PD\system-elements-figur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1125" cy="4810394"/>
                                </a:xfrm>
                                <a:prstGeom prst="rect">
                                  <a:avLst/>
                                </a:prstGeom>
                                <a:noFill/>
                                <a:ln>
                                  <a:noFill/>
                                </a:ln>
                              </pic:spPr>
                            </pic:pic>
                          </a:graphicData>
                        </a:graphic>
                      </wp:inline>
                    </w:drawing>
                  </w:r>
                </w:p>
              </w:tc>
            </w:tr>
          </w:tbl>
          <w:p w:rsidR="006D461D" w:rsidRDefault="006D461D" w:rsidP="00A1171E">
            <w:pPr>
              <w:pStyle w:val="Figure"/>
            </w:pPr>
          </w:p>
        </w:tc>
      </w:tr>
      <w:tr w:rsidR="006D461D" w:rsidRPr="00176D3F" w:rsidTr="00A1171E">
        <w:tc>
          <w:tcPr>
            <w:tcW w:w="5000" w:type="pct"/>
            <w:tcBorders>
              <w:top w:val="nil"/>
              <w:left w:val="nil"/>
              <w:bottom w:val="nil"/>
              <w:right w:val="nil"/>
            </w:tcBorders>
            <w:shd w:val="clear" w:color="auto" w:fill="auto"/>
          </w:tcPr>
          <w:p w:rsidR="006D461D" w:rsidRPr="00176D3F" w:rsidRDefault="006D461D" w:rsidP="00A1171E">
            <w:pPr>
              <w:pStyle w:val="Source"/>
            </w:pPr>
            <w:r>
              <w:rPr>
                <w:i/>
              </w:rPr>
              <w:t>S</w:t>
            </w:r>
            <w:r w:rsidRPr="00784A05">
              <w:rPr>
                <w:i/>
              </w:rPr>
              <w:t>ource</w:t>
            </w:r>
            <w:r w:rsidRPr="00176D3F">
              <w:t xml:space="preserve">: </w:t>
            </w:r>
            <w:r>
              <w:t>Productivity Commission.</w:t>
            </w:r>
          </w:p>
        </w:tc>
      </w:tr>
      <w:tr w:rsidR="006D461D" w:rsidTr="00A1171E">
        <w:tc>
          <w:tcPr>
            <w:tcW w:w="5000" w:type="pct"/>
            <w:tcBorders>
              <w:top w:val="nil"/>
              <w:left w:val="nil"/>
              <w:bottom w:val="single" w:sz="6" w:space="0" w:color="78A22F"/>
              <w:right w:val="nil"/>
            </w:tcBorders>
            <w:shd w:val="clear" w:color="auto" w:fill="auto"/>
          </w:tcPr>
          <w:p w:rsidR="006D461D" w:rsidRDefault="006D461D" w:rsidP="00A1171E">
            <w:pPr>
              <w:pStyle w:val="Figurespace"/>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keepLines/>
            </w:pPr>
          </w:p>
        </w:tc>
      </w:tr>
    </w:tbl>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D461D" w:rsidTr="00A1171E">
        <w:trPr>
          <w:tblHeader/>
        </w:trPr>
        <w:tc>
          <w:tcPr>
            <w:tcW w:w="5000" w:type="pct"/>
            <w:tcBorders>
              <w:top w:val="single" w:sz="6" w:space="0" w:color="78A22F"/>
              <w:left w:val="nil"/>
              <w:bottom w:val="nil"/>
              <w:right w:val="nil"/>
            </w:tcBorders>
            <w:shd w:val="clear" w:color="auto" w:fill="auto"/>
          </w:tcPr>
          <w:p w:rsidR="006D461D" w:rsidRPr="00CE4C64" w:rsidRDefault="006D461D" w:rsidP="00A1171E">
            <w:pPr>
              <w:pStyle w:val="InformationRequestTitle"/>
              <w:spacing w:before="120"/>
            </w:pPr>
            <w:r w:rsidRPr="006E7EE2">
              <w:t>request</w:t>
            </w:r>
            <w:r>
              <w:t xml:space="preserve"> for information</w:t>
            </w:r>
          </w:p>
        </w:tc>
      </w:tr>
      <w:tr w:rsidR="006D461D" w:rsidRPr="00750BE2" w:rsidTr="00A1171E">
        <w:tc>
          <w:tcPr>
            <w:tcW w:w="5000" w:type="pct"/>
            <w:tcBorders>
              <w:top w:val="nil"/>
              <w:left w:val="nil"/>
              <w:bottom w:val="nil"/>
              <w:right w:val="nil"/>
            </w:tcBorders>
            <w:shd w:val="clear" w:color="auto" w:fill="auto"/>
          </w:tcPr>
          <w:p w:rsidR="006D461D" w:rsidRPr="00D14B0C" w:rsidRDefault="006D461D" w:rsidP="00A1171E">
            <w:pPr>
              <w:pStyle w:val="InformationRequest"/>
              <w:keepNext/>
            </w:pPr>
            <w:r>
              <w:t xml:space="preserve">We intend to use the key system characteristics to structure our review of the literature on systems that enable the public health approach to protecting children. We are seeking information and evidence on any other key system characteristics a system should have to enable the public health approach to protecting children. </w:t>
            </w:r>
          </w:p>
        </w:tc>
      </w:tr>
      <w:tr w:rsidR="006D461D" w:rsidTr="00A1171E">
        <w:tc>
          <w:tcPr>
            <w:tcW w:w="5000" w:type="pct"/>
            <w:tcBorders>
              <w:top w:val="nil"/>
              <w:left w:val="nil"/>
              <w:bottom w:val="single" w:sz="6" w:space="0" w:color="78A22F"/>
              <w:right w:val="nil"/>
            </w:tcBorders>
            <w:shd w:val="clear" w:color="auto" w:fill="auto"/>
          </w:tcPr>
          <w:p w:rsidR="006D461D" w:rsidRDefault="006D461D" w:rsidP="00A1171E">
            <w:pPr>
              <w:pStyle w:val="Space"/>
              <w:keepLines/>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keepLines/>
            </w:pPr>
          </w:p>
        </w:tc>
      </w:tr>
    </w:tbl>
    <w:p w:rsidR="006D461D" w:rsidRPr="00A073FF" w:rsidRDefault="006D461D" w:rsidP="00A073FF">
      <w:pPr>
        <w:pStyle w:val="Heading2"/>
      </w:pPr>
      <w:r w:rsidRPr="00A073FF">
        <w:rPr>
          <w:rStyle w:val="Heading2Char"/>
          <w:b/>
        </w:rPr>
        <w:t>4</w:t>
      </w:r>
      <w:r w:rsidRPr="00A073FF">
        <w:rPr>
          <w:rStyle w:val="Heading2Char"/>
          <w:b/>
        </w:rPr>
        <w:tab/>
        <w:t>What is known about ‘w</w:t>
      </w:r>
      <w:r w:rsidRPr="00A073FF">
        <w:t xml:space="preserve">hat works’ to make this system function as a whole? </w:t>
      </w:r>
    </w:p>
    <w:p w:rsidR="006D461D" w:rsidRDefault="006D461D" w:rsidP="006D461D">
      <w:pPr>
        <w:pStyle w:val="BodyText"/>
      </w:pPr>
      <w:r>
        <w:t xml:space="preserve">While there is considerable literature on the desirable characteristics of the system, </w:t>
      </w:r>
      <w:r w:rsidRPr="006302BE">
        <w:rPr>
          <w:i/>
        </w:rPr>
        <w:t>how</w:t>
      </w:r>
      <w:r>
        <w:t xml:space="preserve"> to build such a system is less clear and appears to be the major challenge in moving toward the public health approach. </w:t>
      </w:r>
    </w:p>
    <w:p w:rsidR="006D461D" w:rsidRDefault="006D461D" w:rsidP="006D461D">
      <w:pPr>
        <w:pStyle w:val="BodyText"/>
      </w:pPr>
      <w:r>
        <w:t xml:space="preserve">The key question is what is required for a system that works (that is, what are the system design features), where all the parts are working toward the objective of preventing child abuse and neglect, rather than supporting a system that focuses on tertiary-based approaches (after abuse and neglect has occurred). Crucially, what works in one context or jurisdiction may not work well in another — understanding the reasons for success (or failure) are essential for learning the right lessons. And building a new system will inevitably mean adapting and working with the existing system that is already in place. If an existing system is already under pressure and does not act as a good ‘host’ for new programs and services (no matter how effective they are), they are likely to fail </w:t>
      </w:r>
      <w:r w:rsidRPr="001D71B2">
        <w:rPr>
          <w:szCs w:val="24"/>
        </w:rPr>
        <w:t>(Ghate 2016)</w:t>
      </w:r>
      <w:r>
        <w:t>.</w:t>
      </w:r>
    </w:p>
    <w:p w:rsidR="006D461D" w:rsidRDefault="006D461D" w:rsidP="006D461D">
      <w:pPr>
        <w:pStyle w:val="Heading3"/>
      </w:pPr>
      <w:r>
        <w:t xml:space="preserve">Challenges that need a system-design approach </w:t>
      </w:r>
    </w:p>
    <w:p w:rsidR="006D461D" w:rsidRDefault="006D461D" w:rsidP="006D461D">
      <w:pPr>
        <w:pStyle w:val="BodyText"/>
      </w:pPr>
      <w:r>
        <w:t>Some of the challenges in implementing the public health approach that need a system</w:t>
      </w:r>
      <w:r>
        <w:noBreakHyphen/>
        <w:t>design approach include</w:t>
      </w:r>
      <w:r w:rsidRPr="00DE6F06">
        <w:t xml:space="preserve"> </w:t>
      </w:r>
      <w:r>
        <w:t>how to ensure:</w:t>
      </w:r>
    </w:p>
    <w:p w:rsidR="006D461D" w:rsidRDefault="006D461D" w:rsidP="006D461D">
      <w:pPr>
        <w:pStyle w:val="ListBullet"/>
        <w:numPr>
          <w:ilvl w:val="0"/>
          <w:numId w:val="1"/>
        </w:numPr>
      </w:pPr>
      <w:r>
        <w:t xml:space="preserve">norms and values consistent with prevention of child abuse and neglect are present throughout the system — for example, norms at the community level to support parents seeking ‘help’ are reinforced by norms at the service (organisation and workforce) level to facilitate this </w:t>
      </w:r>
      <w:r w:rsidRPr="00B76352">
        <w:rPr>
          <w:szCs w:val="24"/>
        </w:rPr>
        <w:t>(Curtis, Burkett and Vanstone 2018)</w:t>
      </w:r>
    </w:p>
    <w:p w:rsidR="006D461D" w:rsidRDefault="006D461D" w:rsidP="006D461D">
      <w:pPr>
        <w:pStyle w:val="ListBullet"/>
        <w:numPr>
          <w:ilvl w:val="0"/>
          <w:numId w:val="1"/>
        </w:numPr>
      </w:pPr>
      <w:r>
        <w:t xml:space="preserve">‘at-risk’ </w:t>
      </w:r>
      <w:r w:rsidRPr="00874DA6">
        <w:t xml:space="preserve">families </w:t>
      </w:r>
      <w:r>
        <w:t xml:space="preserve">who are most likely to benefit from early intervention programs, but least likely to engage, are attracted to and retained in these programs — for example, vulnerable </w:t>
      </w:r>
      <w:r w:rsidRPr="00874DA6">
        <w:t xml:space="preserve">parents </w:t>
      </w:r>
      <w:r>
        <w:t>may be unwilling to</w:t>
      </w:r>
      <w:r w:rsidRPr="00874DA6">
        <w:t xml:space="preserve"> participat</w:t>
      </w:r>
      <w:r>
        <w:t>e</w:t>
      </w:r>
      <w:r w:rsidRPr="00874DA6">
        <w:t xml:space="preserve"> in programs that explicitly target chil</w:t>
      </w:r>
      <w:r>
        <w:t xml:space="preserve">d abuse prevention for fear of having their child removed from them (especially if the system is perceived as tertiary focussed) </w:t>
      </w:r>
      <w:r w:rsidRPr="009A5FFC">
        <w:rPr>
          <w:szCs w:val="24"/>
        </w:rPr>
        <w:t>(Katz et al. 2016</w:t>
      </w:r>
      <w:r>
        <w:rPr>
          <w:szCs w:val="24"/>
        </w:rPr>
        <w:t xml:space="preserve">; </w:t>
      </w:r>
      <w:r w:rsidRPr="001014EE">
        <w:rPr>
          <w:szCs w:val="24"/>
        </w:rPr>
        <w:t>Prinz 2016)</w:t>
      </w:r>
    </w:p>
    <w:p w:rsidR="006D461D" w:rsidRDefault="006D461D" w:rsidP="006D461D">
      <w:pPr>
        <w:pStyle w:val="ListBullet"/>
        <w:numPr>
          <w:ilvl w:val="0"/>
          <w:numId w:val="1"/>
        </w:numPr>
      </w:pPr>
      <w:r>
        <w:t>services are matched to the needs of particular families — for example, family support services designed for lower risk families (to stop problems developing) are not delivered to higher risk families due to their more urgent needs and lack of more appropriate services, and are also tailored to the local context</w:t>
      </w:r>
      <w:r w:rsidRPr="000B6E7B">
        <w:t xml:space="preserve"> </w:t>
      </w:r>
    </w:p>
    <w:p w:rsidR="006D461D" w:rsidRDefault="006D461D" w:rsidP="006D461D">
      <w:pPr>
        <w:pStyle w:val="ListBullet"/>
        <w:numPr>
          <w:ilvl w:val="0"/>
          <w:numId w:val="1"/>
        </w:numPr>
      </w:pPr>
      <w:r>
        <w:lastRenderedPageBreak/>
        <w:t>governance and funding arrangements provide incentives to focus on the prevention and early intervention, rather than reinforcing a tertiary response</w:t>
      </w:r>
    </w:p>
    <w:p w:rsidR="006D461D" w:rsidRDefault="006D461D" w:rsidP="006D461D">
      <w:pPr>
        <w:pStyle w:val="ListBullet"/>
        <w:numPr>
          <w:ilvl w:val="0"/>
          <w:numId w:val="1"/>
        </w:numPr>
      </w:pPr>
      <w:r>
        <w:t>organisations in different settings facilitate families easily accessing services, and coordinate their efforts so that services are not duplicated and do not undermine other services.</w:t>
      </w:r>
    </w:p>
    <w:p w:rsidR="006D461D" w:rsidRDefault="006D461D" w:rsidP="006D461D">
      <w:pPr>
        <w:pStyle w:val="Heading3"/>
      </w:pPr>
      <w:r>
        <w:t>Some potential answers, but do they work and are there others?</w:t>
      </w:r>
    </w:p>
    <w:p w:rsidR="006D461D" w:rsidRDefault="006D461D" w:rsidP="006D461D">
      <w:pPr>
        <w:pStyle w:val="BodyText"/>
      </w:pPr>
      <w:r>
        <w:t xml:space="preserve">Shifting the design of a child protection system is likely to require change at multiple levels. Change may be needed at local, regional and national levels, with approaches ranging from bottom-up to top-down </w:t>
      </w:r>
      <w:r w:rsidRPr="001014EE">
        <w:rPr>
          <w:szCs w:val="24"/>
        </w:rPr>
        <w:t>(Curtis, Burkett and Vanstone 2018)</w:t>
      </w:r>
      <w:r>
        <w:t xml:space="preserve">. Bottom-up approaches focus directly on changing families’ experiences and outcomes (for example, implementing evidence-based programs). In contrast, top-down approaches involve building the capacity and conditions of the system to ensure the bottom-up approaches are successful (for example, supportive rules and regulations and funding arrangements) </w:t>
      </w:r>
      <w:r w:rsidRPr="001014EE">
        <w:rPr>
          <w:szCs w:val="24"/>
        </w:rPr>
        <w:t>(Curtis, Burkett and Vanstone 2018)</w:t>
      </w:r>
      <w:r>
        <w:t xml:space="preserve">. </w:t>
      </w:r>
    </w:p>
    <w:p w:rsidR="006D461D" w:rsidRDefault="006D461D" w:rsidP="006D461D">
      <w:pPr>
        <w:pStyle w:val="BodyText"/>
      </w:pPr>
      <w:r>
        <w:t>We will be reviewing a range of initiatives in the course of this project, such as those noted below.</w:t>
      </w:r>
    </w:p>
    <w:p w:rsidR="006D461D" w:rsidRDefault="006D461D" w:rsidP="006D461D">
      <w:pPr>
        <w:pStyle w:val="BodyText"/>
      </w:pPr>
      <w:r>
        <w:t xml:space="preserve">Models for addressing </w:t>
      </w:r>
      <w:r w:rsidRPr="00B84FE1">
        <w:t>system design challenges</w:t>
      </w:r>
      <w:r>
        <w:t>, which combine top-down and bottom-up approaches,</w:t>
      </w:r>
      <w:r w:rsidRPr="007A4060">
        <w:t xml:space="preserve"> </w:t>
      </w:r>
      <w:r>
        <w:t>have been applied</w:t>
      </w:r>
      <w:r w:rsidRPr="007A4060">
        <w:t xml:space="preserve"> </w:t>
      </w:r>
      <w:r>
        <w:t>within individual (local) communities. These models generally involve new ways of connecting at</w:t>
      </w:r>
      <w:r>
        <w:noBreakHyphen/>
        <w:t xml:space="preserve">risk children and families with appropriate services. The challenge is replicating their success on a larger scale </w:t>
      </w:r>
      <w:r w:rsidRPr="003609E1">
        <w:rPr>
          <w:szCs w:val="24"/>
        </w:rPr>
        <w:t>(Fox et al. 2015)</w:t>
      </w:r>
      <w:r>
        <w:t>.</w:t>
      </w:r>
    </w:p>
    <w:p w:rsidR="006D461D" w:rsidRDefault="006D461D" w:rsidP="006D461D">
      <w:pPr>
        <w:pStyle w:val="ListBullet"/>
        <w:numPr>
          <w:ilvl w:val="0"/>
          <w:numId w:val="1"/>
        </w:numPr>
      </w:pPr>
      <w:r w:rsidRPr="000B6E7B">
        <w:rPr>
          <w:i/>
        </w:rPr>
        <w:t>Network models</w:t>
      </w:r>
      <w:r>
        <w:t xml:space="preserve"> — these models can involve government in funding and governance, but development and implementation are driven by local organisations and leaders </w:t>
      </w:r>
      <w:r w:rsidRPr="00BE1F20">
        <w:rPr>
          <w:szCs w:val="24"/>
        </w:rPr>
        <w:t>(Fox et al. 2015)</w:t>
      </w:r>
      <w:r>
        <w:t xml:space="preserve">. One example is </w:t>
      </w:r>
      <w:r w:rsidRPr="003230B9">
        <w:rPr>
          <w:i/>
        </w:rPr>
        <w:t>Strong Communities for Children</w:t>
      </w:r>
      <w:r>
        <w:t xml:space="preserve"> </w:t>
      </w:r>
      <w:r w:rsidRPr="00FF5B02">
        <w:t>(in the United States)</w:t>
      </w:r>
      <w:r>
        <w:t xml:space="preserve"> that uses a principles-based, rather than prescriptive, approach focussed on community mobilisation through volunteers and community organisations. It involves</w:t>
      </w:r>
      <w:r w:rsidRPr="00FF5B02">
        <w:t xml:space="preserve"> community engagement and leadership development </w:t>
      </w:r>
      <w:r>
        <w:t>to encourage</w:t>
      </w:r>
      <w:r w:rsidRPr="00FF5B02">
        <w:t xml:space="preserve"> </w:t>
      </w:r>
      <w:r>
        <w:t xml:space="preserve">a </w:t>
      </w:r>
      <w:r w:rsidRPr="00FF5B02">
        <w:t>communi</w:t>
      </w:r>
      <w:r>
        <w:t>ty</w:t>
      </w:r>
      <w:r w:rsidRPr="00FF5B02">
        <w:t xml:space="preserve"> </w:t>
      </w:r>
      <w:r>
        <w:t xml:space="preserve">to </w:t>
      </w:r>
      <w:r w:rsidRPr="00FF5B02">
        <w:t>accept responsibility for parent support and child safety</w:t>
      </w:r>
      <w:r>
        <w:t xml:space="preserve"> and to develop solutions tailored to the local context (the public health approach to focus on prevention/early intervention)</w:t>
      </w:r>
      <w:r w:rsidRPr="00FF5B02">
        <w:t xml:space="preserve">. Evaluations of </w:t>
      </w:r>
      <w:r>
        <w:t>this approach</w:t>
      </w:r>
      <w:r w:rsidRPr="00FF5B02">
        <w:t xml:space="preserve"> show decreases in child maltreatment </w:t>
      </w:r>
      <w:r>
        <w:t>rates,</w:t>
      </w:r>
      <w:r w:rsidRPr="00FF5B02">
        <w:t xml:space="preserve"> relative to a community where the approach was not adopt</w:t>
      </w:r>
      <w:r>
        <w:t xml:space="preserve">ed </w:t>
      </w:r>
      <w:r w:rsidRPr="00BE1F20">
        <w:rPr>
          <w:szCs w:val="24"/>
        </w:rPr>
        <w:t>(McLeigh et al. 2015)</w:t>
      </w:r>
      <w:r>
        <w:t xml:space="preserve">. </w:t>
      </w:r>
    </w:p>
    <w:p w:rsidR="006D461D" w:rsidRDefault="006D461D" w:rsidP="006D461D">
      <w:pPr>
        <w:pStyle w:val="ListBullet"/>
        <w:numPr>
          <w:ilvl w:val="0"/>
          <w:numId w:val="1"/>
        </w:numPr>
      </w:pPr>
      <w:r w:rsidRPr="000B6E7B">
        <w:rPr>
          <w:i/>
        </w:rPr>
        <w:t>Centre-based models</w:t>
      </w:r>
      <w:r>
        <w:t xml:space="preserve"> — these models involve integrated service centres that target parents of young children through an accessible universal service platform (for example, a school) with other services important to families such as child care and parenting support</w:t>
      </w:r>
      <w:r w:rsidRPr="00841F45">
        <w:t xml:space="preserve"> </w:t>
      </w:r>
      <w:r>
        <w:t>co</w:t>
      </w:r>
      <w:r>
        <w:noBreakHyphen/>
        <w:t>located, as well as being able to refer ‘at risk’ families to more intensive supports which may be located elsewhere (the public health approach of prevention and if required early intervention through referral). I</w:t>
      </w:r>
      <w:r w:rsidRPr="00F34526">
        <w:t xml:space="preserve">ntegrated </w:t>
      </w:r>
      <w:r>
        <w:t>service</w:t>
      </w:r>
      <w:r w:rsidRPr="00F34526">
        <w:t xml:space="preserve"> </w:t>
      </w:r>
      <w:r>
        <w:t>centres</w:t>
      </w:r>
      <w:r w:rsidRPr="00F34526">
        <w:t xml:space="preserve"> </w:t>
      </w:r>
      <w:r>
        <w:t>have a number of potential benefits:</w:t>
      </w:r>
    </w:p>
    <w:p w:rsidR="006D461D" w:rsidRDefault="006D461D" w:rsidP="006D461D">
      <w:pPr>
        <w:pStyle w:val="ListBullet2"/>
        <w:numPr>
          <w:ilvl w:val="0"/>
          <w:numId w:val="2"/>
        </w:numPr>
      </w:pPr>
      <w:r>
        <w:t xml:space="preserve">vulnerable families will be more comfortable attending these universally accessible centres (as there is no stigma attached — being involved in child protection services </w:t>
      </w:r>
      <w:r>
        <w:lastRenderedPageBreak/>
        <w:t xml:space="preserve">can mean being seen as ‘bad parents’ </w:t>
      </w:r>
      <w:r w:rsidRPr="001707BD">
        <w:rPr>
          <w:szCs w:val="24"/>
        </w:rPr>
        <w:t>(Hinton 2013)</w:t>
      </w:r>
      <w:r>
        <w:t xml:space="preserve">), which can facilitate the early detection of problems </w:t>
      </w:r>
    </w:p>
    <w:p w:rsidR="006D461D" w:rsidRDefault="006D461D" w:rsidP="006D461D">
      <w:pPr>
        <w:pStyle w:val="ListBullet2"/>
        <w:numPr>
          <w:ilvl w:val="0"/>
          <w:numId w:val="2"/>
        </w:numPr>
      </w:pPr>
      <w:r>
        <w:t xml:space="preserve">links can be easily built across services for a coordinated approach </w:t>
      </w:r>
      <w:r w:rsidRPr="003609E1">
        <w:rPr>
          <w:szCs w:val="24"/>
        </w:rPr>
        <w:t>(Fox et al. 2015)</w:t>
      </w:r>
      <w:r>
        <w:t>.</w:t>
      </w:r>
    </w:p>
    <w:p w:rsidR="006D461D" w:rsidRDefault="006D461D" w:rsidP="006D461D">
      <w:pPr>
        <w:pStyle w:val="BodyText"/>
      </w:pPr>
      <w:r>
        <w:t>Large-scale system designs have sought to apply similar approaches across whole regions or countries, though the evidence available on their success</w:t>
      </w:r>
      <w:r w:rsidRPr="00B53E84">
        <w:t xml:space="preserve"> </w:t>
      </w:r>
      <w:r>
        <w:t>varies:</w:t>
      </w:r>
    </w:p>
    <w:p w:rsidR="006D461D" w:rsidRDefault="006D461D" w:rsidP="006D461D">
      <w:pPr>
        <w:pStyle w:val="ListBullet"/>
        <w:numPr>
          <w:ilvl w:val="0"/>
          <w:numId w:val="1"/>
        </w:numPr>
      </w:pPr>
      <w:r w:rsidRPr="000B6E7B">
        <w:rPr>
          <w:i/>
        </w:rPr>
        <w:t>Children’s Trust (UK)</w:t>
      </w:r>
      <w:r>
        <w:t xml:space="preserve"> — Children’s Trusts were established across the UK in 2004 and involve interagency governance and decision-making power to determine how government service providers (such as hospitals, health services and police), voluntary groups and non-government services coordinate and integrate their service delivery and tailor it to meet needs of local children. In addition, a Safeguarding Children Board was established in each Trust to focus on the needs of vulnerable and at</w:t>
      </w:r>
      <w:r>
        <w:noBreakHyphen/>
        <w:t xml:space="preserve">risk children using a whole-of-population needs assessment </w:t>
      </w:r>
      <w:r w:rsidRPr="00C611AE">
        <w:rPr>
          <w:szCs w:val="24"/>
        </w:rPr>
        <w:t>(Fox et al. 2015)</w:t>
      </w:r>
      <w:r>
        <w:t xml:space="preserve">. </w:t>
      </w:r>
    </w:p>
    <w:p w:rsidR="006D461D" w:rsidRDefault="006D461D" w:rsidP="006D461D">
      <w:pPr>
        <w:pStyle w:val="ListBullet"/>
        <w:numPr>
          <w:ilvl w:val="0"/>
          <w:numId w:val="1"/>
        </w:numPr>
      </w:pPr>
      <w:r w:rsidRPr="000B6E7B">
        <w:rPr>
          <w:i/>
        </w:rPr>
        <w:t>Getting it right for every child (Scotland)</w:t>
      </w:r>
      <w:r>
        <w:t xml:space="preserve"> — this model seeks to reform service systems to focus on early intervention and prevention (the public health approach) by prioritising the role of universal services. It designates a ‘named person’ for every child who is in the h</w:t>
      </w:r>
      <w:r w:rsidRPr="009A5FFC">
        <w:t xml:space="preserve">ealth or </w:t>
      </w:r>
      <w:r>
        <w:t>e</w:t>
      </w:r>
      <w:r w:rsidRPr="009A5FFC">
        <w:t xml:space="preserve">ducation </w:t>
      </w:r>
      <w:r>
        <w:t xml:space="preserve">sectors (and who is </w:t>
      </w:r>
      <w:r w:rsidRPr="009A5FFC">
        <w:t>already known to the child</w:t>
      </w:r>
      <w:r>
        <w:t xml:space="preserve">, such as a school principal) and a ‘lead professional’ for children and families with more complex needs. The ‘named person’ and ‘lead professional’ work closely together (where relevant) and are responsible to ensure the children and their families get the help they need to promote their wellbeing. A pilot of this model showed a substantial reduction in children’s involvement with child protection services over the period of the pilot, and relative to other regions </w:t>
      </w:r>
      <w:r w:rsidRPr="000B3A04">
        <w:rPr>
          <w:szCs w:val="24"/>
        </w:rPr>
        <w:t>(Fox et al. 2015)</w:t>
      </w:r>
      <w:r>
        <w:t xml:space="preserve">. </w:t>
      </w:r>
    </w:p>
    <w:p w:rsidR="006D461D" w:rsidRDefault="006D461D" w:rsidP="006D461D">
      <w:pPr>
        <w:pStyle w:val="BodyText"/>
      </w:pPr>
      <w:r>
        <w:t xml:space="preserve">Given the crisis-oriented nature of the current system, the temptation may be to address </w:t>
      </w:r>
      <w:r w:rsidRPr="00B84FE1">
        <w:t xml:space="preserve">system design challenges </w:t>
      </w:r>
      <w:r>
        <w:t xml:space="preserve">by focussing efforts on implementing bottom-up approaches that directly engage individual families, without giving sufficient attention to </w:t>
      </w:r>
      <w:r w:rsidRPr="00531EE8">
        <w:t>top-down</w:t>
      </w:r>
      <w:r>
        <w:t xml:space="preserve"> approaches to </w:t>
      </w:r>
      <w:r w:rsidRPr="00531EE8">
        <w:t xml:space="preserve">build the capacity and conditions </w:t>
      </w:r>
      <w:r>
        <w:t>for long</w:t>
      </w:r>
      <w:r>
        <w:noBreakHyphen/>
        <w:t>term success. Some top-down strategies that may support bottom-up approaches</w:t>
      </w:r>
      <w:r w:rsidRPr="00D91F18">
        <w:t xml:space="preserve"> </w:t>
      </w:r>
      <w:r>
        <w:t xml:space="preserve">include the following (although no evidence of their success is currently available): </w:t>
      </w:r>
    </w:p>
    <w:p w:rsidR="006D461D" w:rsidRDefault="006D461D" w:rsidP="006D461D">
      <w:pPr>
        <w:pStyle w:val="ListBullet"/>
        <w:numPr>
          <w:ilvl w:val="0"/>
          <w:numId w:val="1"/>
        </w:numPr>
      </w:pPr>
      <w:r>
        <w:t>Having strong system leaders (with decision</w:t>
      </w:r>
      <w:r>
        <w:noBreakHyphen/>
        <w:t xml:space="preserve">making authority) who can foster cooperation and coordination across the system to embed a focus on ‘co-creating future action’ — an approach known as ‘system stewardship’ </w:t>
      </w:r>
      <w:r w:rsidRPr="004B19AC">
        <w:rPr>
          <w:szCs w:val="24"/>
        </w:rPr>
        <w:t>(Wise 2017)</w:t>
      </w:r>
      <w:r>
        <w:t>.</w:t>
      </w:r>
    </w:p>
    <w:p w:rsidR="006D461D" w:rsidRDefault="006D461D" w:rsidP="006D461D">
      <w:pPr>
        <w:pStyle w:val="ListBullet"/>
        <w:numPr>
          <w:ilvl w:val="0"/>
          <w:numId w:val="1"/>
        </w:numPr>
      </w:pPr>
      <w:r>
        <w:t xml:space="preserve">Using intergovernmental funding arrangements to give State Governments a financial incentive to provide services (such as mental health services and in-home parenting training) to families at risk of entering the child protection system — an approach recently adopted in the United States via legislation in the </w:t>
      </w:r>
      <w:r w:rsidRPr="00313E0E">
        <w:rPr>
          <w:i/>
        </w:rPr>
        <w:t>Family First Prevention Services Act</w:t>
      </w:r>
      <w:r>
        <w:t xml:space="preserve"> </w:t>
      </w:r>
      <w:r w:rsidRPr="001014EE">
        <w:rPr>
          <w:szCs w:val="24"/>
        </w:rPr>
        <w:t>(First Focus: Campaign for Children 2018)</w:t>
      </w:r>
      <w:r>
        <w:t>.</w:t>
      </w:r>
    </w:p>
    <w:p w:rsidR="006D461D" w:rsidRDefault="006D461D" w:rsidP="006D461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D461D" w:rsidTr="00A1171E">
        <w:trPr>
          <w:tblHeader/>
        </w:trPr>
        <w:tc>
          <w:tcPr>
            <w:tcW w:w="5000" w:type="pct"/>
            <w:tcBorders>
              <w:top w:val="single" w:sz="6" w:space="0" w:color="78A22F"/>
              <w:left w:val="nil"/>
              <w:bottom w:val="nil"/>
              <w:right w:val="nil"/>
            </w:tcBorders>
            <w:shd w:val="clear" w:color="auto" w:fill="auto"/>
          </w:tcPr>
          <w:p w:rsidR="006D461D" w:rsidRPr="00CE4C64" w:rsidRDefault="006D461D" w:rsidP="00A1171E">
            <w:pPr>
              <w:pStyle w:val="InformationRequestTitle"/>
              <w:spacing w:before="120"/>
            </w:pPr>
            <w:r w:rsidRPr="006E7EE2">
              <w:t>request</w:t>
            </w:r>
            <w:r>
              <w:t xml:space="preserve"> FOR INFORMATION</w:t>
            </w:r>
          </w:p>
        </w:tc>
      </w:tr>
      <w:tr w:rsidR="006D461D" w:rsidRPr="00750BE2" w:rsidTr="00A1171E">
        <w:tc>
          <w:tcPr>
            <w:tcW w:w="5000" w:type="pct"/>
            <w:tcBorders>
              <w:top w:val="nil"/>
              <w:left w:val="nil"/>
              <w:bottom w:val="nil"/>
              <w:right w:val="nil"/>
            </w:tcBorders>
            <w:shd w:val="clear" w:color="auto" w:fill="auto"/>
          </w:tcPr>
          <w:p w:rsidR="006D461D" w:rsidRDefault="006D461D" w:rsidP="00A1171E">
            <w:pPr>
              <w:pStyle w:val="InformationRequest"/>
              <w:keepNext/>
            </w:pPr>
            <w:r>
              <w:t>We are seeking your views, evidence and other relevant information on:</w:t>
            </w:r>
          </w:p>
          <w:p w:rsidR="006D461D" w:rsidRPr="002B7473" w:rsidRDefault="006D461D" w:rsidP="00A1171E">
            <w:pPr>
              <w:pStyle w:val="InformationRequestBullet"/>
            </w:pPr>
            <w:r w:rsidRPr="002B7473">
              <w:t>the main barriers</w:t>
            </w:r>
            <w:r>
              <w:t xml:space="preserve"> and </w:t>
            </w:r>
            <w:r w:rsidRPr="002B7473">
              <w:t xml:space="preserve">enablers to implementing the </w:t>
            </w:r>
            <w:r>
              <w:t>public health approach</w:t>
            </w:r>
            <w:r w:rsidRPr="002B7473">
              <w:t xml:space="preserve"> in </w:t>
            </w:r>
            <w:r>
              <w:t xml:space="preserve">a </w:t>
            </w:r>
            <w:r w:rsidRPr="002B7473">
              <w:t>system to protect children</w:t>
            </w:r>
            <w:r>
              <w:t xml:space="preserve"> </w:t>
            </w:r>
            <w:r w:rsidRPr="00E63E22">
              <w:t xml:space="preserve">in </w:t>
            </w:r>
            <w:r>
              <w:t>Australia (with a focus on working across the entire system)</w:t>
            </w:r>
            <w:r w:rsidRPr="002B7473">
              <w:t xml:space="preserve"> </w:t>
            </w:r>
          </w:p>
          <w:p w:rsidR="006D461D" w:rsidRDefault="006D461D" w:rsidP="00A1171E">
            <w:pPr>
              <w:pStyle w:val="InformationRequestBullet"/>
            </w:pPr>
            <w:r>
              <w:t xml:space="preserve">examples of approaches to </w:t>
            </w:r>
            <w:r w:rsidRPr="00614F3E">
              <w:t>address system design</w:t>
            </w:r>
            <w:r>
              <w:t xml:space="preserve"> and implementation</w:t>
            </w:r>
            <w:r w:rsidRPr="00614F3E">
              <w:t xml:space="preserve"> challenges </w:t>
            </w:r>
            <w:r>
              <w:t>and their applicability to, or success in, the Australian context (including across different cultural groups and locations)</w:t>
            </w:r>
          </w:p>
          <w:p w:rsidR="006D461D" w:rsidRDefault="006D461D" w:rsidP="00A1171E">
            <w:pPr>
              <w:pStyle w:val="InformationRequestBullet"/>
            </w:pPr>
            <w:r>
              <w:t>public health approaches used in other social service areas and the lessons they provide for designing a system to protect children.</w:t>
            </w:r>
          </w:p>
          <w:p w:rsidR="006D461D" w:rsidRPr="00062BD1" w:rsidRDefault="006D461D" w:rsidP="00A1171E">
            <w:pPr>
              <w:pStyle w:val="InformationRequest"/>
            </w:pPr>
            <w:r>
              <w:t>Both quantitative and qualitative evidence is welcome.</w:t>
            </w:r>
          </w:p>
        </w:tc>
      </w:tr>
      <w:tr w:rsidR="006D461D" w:rsidTr="00A1171E">
        <w:tc>
          <w:tcPr>
            <w:tcW w:w="5000" w:type="pct"/>
            <w:tcBorders>
              <w:top w:val="nil"/>
              <w:left w:val="nil"/>
              <w:bottom w:val="single" w:sz="6" w:space="0" w:color="78A22F"/>
              <w:right w:val="nil"/>
            </w:tcBorders>
            <w:shd w:val="clear" w:color="auto" w:fill="auto"/>
          </w:tcPr>
          <w:p w:rsidR="006D461D" w:rsidRDefault="006D461D" w:rsidP="00A1171E">
            <w:pPr>
              <w:pStyle w:val="Space"/>
              <w:keepLines/>
            </w:pPr>
          </w:p>
        </w:tc>
      </w:tr>
      <w:tr w:rsidR="006D461D" w:rsidRPr="000863A5" w:rsidTr="00A1171E">
        <w:tc>
          <w:tcPr>
            <w:tcW w:w="5000" w:type="pct"/>
            <w:tcBorders>
              <w:top w:val="single" w:sz="6" w:space="0" w:color="78A22F"/>
              <w:left w:val="nil"/>
              <w:bottom w:val="nil"/>
              <w:right w:val="nil"/>
            </w:tcBorders>
          </w:tcPr>
          <w:p w:rsidR="006D461D" w:rsidRPr="00626D32" w:rsidRDefault="006D461D" w:rsidP="00A1171E">
            <w:pPr>
              <w:pStyle w:val="BoxSpaceBelow"/>
              <w:keepLines/>
            </w:pPr>
          </w:p>
        </w:tc>
      </w:tr>
    </w:tbl>
    <w:p w:rsidR="006D461D" w:rsidRPr="00FB7C5D" w:rsidRDefault="006D461D" w:rsidP="006D461D">
      <w:pPr>
        <w:pStyle w:val="BodyText"/>
      </w:pPr>
      <w:bookmarkStart w:id="8" w:name="_Toc511661008"/>
      <w:bookmarkStart w:id="9" w:name="_Toc512930371"/>
      <w:bookmarkStart w:id="10" w:name="_Toc512933222"/>
      <w:bookmarkStart w:id="11" w:name="_Toc512933701"/>
      <w:bookmarkStart w:id="12" w:name="_Toc512933789"/>
    </w:p>
    <w:p w:rsidR="006D461D" w:rsidRDefault="006D461D" w:rsidP="006D461D">
      <w:pPr>
        <w:rPr>
          <w:rFonts w:ascii="Arial" w:hAnsi="Arial"/>
          <w:b/>
          <w:sz w:val="32"/>
          <w:szCs w:val="20"/>
        </w:rPr>
      </w:pPr>
      <w:r>
        <w:br w:type="page"/>
      </w:r>
    </w:p>
    <w:p w:rsidR="006D461D" w:rsidRDefault="006D461D" w:rsidP="006D461D">
      <w:pPr>
        <w:pStyle w:val="Heading2"/>
      </w:pPr>
      <w:r>
        <w:lastRenderedPageBreak/>
        <w:t xml:space="preserve">References </w:t>
      </w:r>
    </w:p>
    <w:p w:rsidR="006D461D" w:rsidRPr="00DD719E" w:rsidRDefault="006D461D" w:rsidP="006D461D">
      <w:pPr>
        <w:pStyle w:val="Reference"/>
      </w:pPr>
      <w:r w:rsidRPr="00DD719E">
        <w:t xml:space="preserve">Allen Consulting Group 2008, </w:t>
      </w:r>
      <w:r w:rsidRPr="00DD719E">
        <w:rPr>
          <w:i/>
          <w:iCs/>
        </w:rPr>
        <w:t>Inverting the Pyramid: Enhancing Systems for Protecting Children</w:t>
      </w:r>
      <w:r w:rsidRPr="00DD719E">
        <w:t>, Australian Research Alliance for Children and Youth (ARACY), Melbourne.</w:t>
      </w:r>
    </w:p>
    <w:p w:rsidR="006D461D" w:rsidRPr="00DD719E" w:rsidRDefault="006D461D" w:rsidP="006D461D">
      <w:pPr>
        <w:pStyle w:val="Reference"/>
      </w:pPr>
      <w:r w:rsidRPr="00DD719E">
        <w:t xml:space="preserve">AMA (Australian Medical Association) 2018, </w:t>
      </w:r>
      <w:r w:rsidRPr="00DD719E">
        <w:rPr>
          <w:i/>
          <w:iCs/>
        </w:rPr>
        <w:t>Campaign for a public health approach to preventing child abuse</w:t>
      </w:r>
      <w:r w:rsidRPr="00DD719E">
        <w:t>, ama.com.au/ausmed/campaign-public-health-approach-preventing-child-abuse (accessed 6 August 2018).</w:t>
      </w:r>
    </w:p>
    <w:p w:rsidR="006D461D" w:rsidRPr="00DD719E" w:rsidRDefault="006D461D" w:rsidP="006D461D">
      <w:pPr>
        <w:pStyle w:val="Reference"/>
      </w:pPr>
      <w:r w:rsidRPr="00DD719E">
        <w:t xml:space="preserve">Barlow, J. and Calam, R. 2011, ‘A Public Health Approach to Safeguarding in the 21st Century’, </w:t>
      </w:r>
      <w:r w:rsidRPr="00DD719E">
        <w:rPr>
          <w:i/>
          <w:iCs/>
        </w:rPr>
        <w:t>Child Abuse Review</w:t>
      </w:r>
      <w:r w:rsidRPr="00DD719E">
        <w:t>, vol. 20, pp. 238–266.</w:t>
      </w:r>
    </w:p>
    <w:p w:rsidR="006D461D" w:rsidRPr="00DD719E" w:rsidRDefault="006D461D" w:rsidP="006D461D">
      <w:pPr>
        <w:pStyle w:val="Reference"/>
      </w:pPr>
      <w:r w:rsidRPr="00DD719E">
        <w:t xml:space="preserve">Broadley, K. and Goddard, C. 2014, ‘A public health approach to child protection: Why data matter’, </w:t>
      </w:r>
      <w:r w:rsidRPr="00DD719E">
        <w:rPr>
          <w:i/>
          <w:iCs/>
        </w:rPr>
        <w:t>Children Australia</w:t>
      </w:r>
      <w:r w:rsidRPr="00DD719E">
        <w:t>, vol. 40, no. 1, pp. 69–77.</w:t>
      </w:r>
    </w:p>
    <w:p w:rsidR="006D461D" w:rsidRPr="0093300E" w:rsidRDefault="006D461D" w:rsidP="006D461D">
      <w:pPr>
        <w:pStyle w:val="Reference"/>
      </w:pPr>
      <w:r w:rsidRPr="003E70F2">
        <w:rPr>
          <w:shd w:val="clear" w:color="auto" w:fill="FFFFFF" w:themeFill="background1"/>
        </w:rPr>
        <w:t xml:space="preserve">CFCA (Child Family Community Australia) 2014, Effects of child abuse and neglect for children and adolescents, </w:t>
      </w:r>
      <w:r w:rsidRPr="003E70F2">
        <w:rPr>
          <w:i/>
          <w:shd w:val="clear" w:color="auto" w:fill="FFFFFF" w:themeFill="background1"/>
        </w:rPr>
        <w:t>CFCA Resource Sheet</w:t>
      </w:r>
      <w:r w:rsidRPr="003E70F2">
        <w:rPr>
          <w:shd w:val="clear" w:color="auto" w:fill="FFFFFF" w:themeFill="background1"/>
        </w:rPr>
        <w:t>, Australian Institute of Family Studies (AIFS), Melbourne.</w:t>
      </w:r>
    </w:p>
    <w:p w:rsidR="006D461D" w:rsidRPr="00DD719E" w:rsidRDefault="006D461D" w:rsidP="006D461D">
      <w:pPr>
        <w:pStyle w:val="Reference"/>
      </w:pPr>
      <w:r w:rsidRPr="00DD719E">
        <w:t xml:space="preserve">COAG (Council of Australian Governments) 2009, </w:t>
      </w:r>
      <w:r w:rsidRPr="00DD719E">
        <w:rPr>
          <w:i/>
          <w:iCs/>
        </w:rPr>
        <w:t>Protecting Children is Everyone’s Business: National Framework for Protecting Australia’s Children 2009–2020</w:t>
      </w:r>
      <w:r w:rsidRPr="00DD719E">
        <w:t>, Australian Government, Council of Australian Governments, Canberra.</w:t>
      </w:r>
    </w:p>
    <w:p w:rsidR="006D461D" w:rsidRPr="00DD719E" w:rsidRDefault="006D461D" w:rsidP="006D461D">
      <w:pPr>
        <w:pStyle w:val="Reference"/>
      </w:pPr>
      <w:r w:rsidRPr="00DD719E">
        <w:t xml:space="preserve">Curtis, C., Burkett, I. and Vanstone, C. 2018, </w:t>
      </w:r>
      <w:r w:rsidRPr="00DD719E">
        <w:rPr>
          <w:i/>
          <w:iCs/>
        </w:rPr>
        <w:t>Examples and emerging insights from TACSI’s big change work: What we’re learning about systems change through practice.</w:t>
      </w:r>
      <w:r w:rsidRPr="00DD719E">
        <w:t>, The Australian Centre for Social Innovation, Adelaide.</w:t>
      </w:r>
    </w:p>
    <w:p w:rsidR="006D461D" w:rsidRPr="00DD719E" w:rsidRDefault="006D461D" w:rsidP="006D461D">
      <w:pPr>
        <w:pStyle w:val="Reference"/>
      </w:pPr>
      <w:r w:rsidRPr="00DD719E">
        <w:t xml:space="preserve">First Focus: Campaign for Children 2018, </w:t>
      </w:r>
      <w:r w:rsidRPr="00DD719E">
        <w:rPr>
          <w:i/>
          <w:iCs/>
        </w:rPr>
        <w:t>Family First Prevention Services Act: Bill Summary</w:t>
      </w:r>
      <w:r w:rsidRPr="00DD719E">
        <w:t>, First Focus, Washington, DC.</w:t>
      </w:r>
    </w:p>
    <w:p w:rsidR="006D461D" w:rsidRPr="00DD719E" w:rsidRDefault="006D461D" w:rsidP="006D461D">
      <w:pPr>
        <w:pStyle w:val="Reference"/>
      </w:pPr>
      <w:r w:rsidRPr="00DD719E">
        <w:t xml:space="preserve">Fox, S., Southwell, A., Stafford, N., Goodhue, R., Jackson, D. and Smith, C. 2015, </w:t>
      </w:r>
      <w:r w:rsidRPr="00DD719E">
        <w:rPr>
          <w:i/>
          <w:iCs/>
        </w:rPr>
        <w:t>Better Systems, Better Chances: A Review of Research and Practice for Prevention and Early Intervention</w:t>
      </w:r>
      <w:r w:rsidRPr="00DD719E">
        <w:t>, Australian Research Alliance for Children and Youth (ARACY), Canberra.</w:t>
      </w:r>
    </w:p>
    <w:p w:rsidR="006D461D" w:rsidRPr="00DD719E" w:rsidRDefault="006D461D" w:rsidP="006D461D">
      <w:pPr>
        <w:pStyle w:val="Reference"/>
      </w:pPr>
      <w:r w:rsidRPr="00DD719E">
        <w:t xml:space="preserve">Ghate, D. 2016, ‘From Programs to Systems: Deploying Implementation Science and Practice for Sustained Real World Effectiveness in Services for Children and Families’, </w:t>
      </w:r>
      <w:r w:rsidRPr="00DD719E">
        <w:rPr>
          <w:i/>
          <w:iCs/>
        </w:rPr>
        <w:t>Journal Of Clinical Child And Adolescent Psychology</w:t>
      </w:r>
      <w:r w:rsidRPr="00DD719E">
        <w:t>, vol. 45, no. 6, pp. 812–826.</w:t>
      </w:r>
    </w:p>
    <w:p w:rsidR="006D461D" w:rsidRPr="00DD719E" w:rsidRDefault="006D461D" w:rsidP="006D461D">
      <w:pPr>
        <w:pStyle w:val="Reference"/>
      </w:pPr>
      <w:r w:rsidRPr="00DD719E">
        <w:t xml:space="preserve">Herrenkohl, T.I., Higgins, D.J., Merrick, M.T. and Leeb, R.T. 2015, ‘Positioning a public health framework at the intersection of  child  maltreatment and intimate partner violence: Primary prevention requires working outside existing systems’, </w:t>
      </w:r>
      <w:r w:rsidRPr="00DD719E">
        <w:rPr>
          <w:i/>
          <w:iCs/>
        </w:rPr>
        <w:t>Child  Abuse and Neglect</w:t>
      </w:r>
      <w:r w:rsidRPr="00DD719E">
        <w:t>, vol. 48, pp. 22–28.</w:t>
      </w:r>
    </w:p>
    <w:p w:rsidR="006D461D" w:rsidRPr="00DD719E" w:rsidRDefault="006D461D" w:rsidP="006D461D">
      <w:pPr>
        <w:pStyle w:val="Reference"/>
      </w:pPr>
      <w:r w:rsidRPr="00DD719E">
        <w:t xml:space="preserve">Higgins, D.J. 2014, </w:t>
      </w:r>
      <w:r w:rsidRPr="00DD719E">
        <w:rPr>
          <w:i/>
          <w:iCs/>
        </w:rPr>
        <w:t>Safe and supportive family environments</w:t>
      </w:r>
      <w:r w:rsidRPr="00DD719E">
        <w:t>, www3.aifs.gov.au/cfca</w:t>
      </w:r>
      <w:r>
        <w:t xml:space="preserve"> </w:t>
      </w:r>
      <w:r w:rsidRPr="00DD719E">
        <w:t>/2014/07/29/safe-and-supportive-family-environments (accessed 16 October 2018).</w:t>
      </w:r>
    </w:p>
    <w:p w:rsidR="006D461D" w:rsidRPr="00DD719E" w:rsidRDefault="006D461D" w:rsidP="006D461D">
      <w:pPr>
        <w:pStyle w:val="Reference"/>
      </w:pPr>
      <w:r w:rsidRPr="00DD719E">
        <w:t xml:space="preserve">—— 2015, ‘A public health </w:t>
      </w:r>
      <w:r>
        <w:t xml:space="preserve">approach </w:t>
      </w:r>
      <w:r w:rsidRPr="00DD719E">
        <w:t>to enhancing safe and supp</w:t>
      </w:r>
      <w:r>
        <w:t xml:space="preserve">ortive family environments for </w:t>
      </w:r>
      <w:r w:rsidRPr="00DD719E">
        <w:t xml:space="preserve">children’, </w:t>
      </w:r>
      <w:r w:rsidRPr="00DD719E">
        <w:rPr>
          <w:i/>
          <w:iCs/>
        </w:rPr>
        <w:t>Family Matters</w:t>
      </w:r>
      <w:r w:rsidRPr="00DD719E">
        <w:t>, no. 96, pp. 39–52.</w:t>
      </w:r>
    </w:p>
    <w:p w:rsidR="006D461D" w:rsidRPr="00DD719E" w:rsidRDefault="006D461D" w:rsidP="006D461D">
      <w:pPr>
        <w:pStyle w:val="Reference"/>
      </w:pPr>
      <w:r w:rsidRPr="00DD719E">
        <w:t xml:space="preserve">Hinton, T. 2013, </w:t>
      </w:r>
      <w:r w:rsidRPr="00DD719E">
        <w:rPr>
          <w:i/>
          <w:iCs/>
        </w:rPr>
        <w:t>Parents in the child protection system</w:t>
      </w:r>
      <w:r w:rsidRPr="00DD719E">
        <w:t>, Anglicare Tasmania, Hobart.</w:t>
      </w:r>
    </w:p>
    <w:p w:rsidR="006D461D" w:rsidRPr="00DD719E" w:rsidRDefault="006D461D" w:rsidP="006D461D">
      <w:pPr>
        <w:pStyle w:val="Reference"/>
      </w:pPr>
      <w:r w:rsidRPr="00DD719E">
        <w:t xml:space="preserve">Jack, S.M. 2010, ‘The role of public health in addressing child maltreatment in Canada’, </w:t>
      </w:r>
      <w:r w:rsidRPr="00DD719E">
        <w:rPr>
          <w:i/>
          <w:iCs/>
        </w:rPr>
        <w:t>Chronic Diseases in Canada</w:t>
      </w:r>
      <w:r w:rsidRPr="00DD719E">
        <w:t>, vol. 31, no. 1, pp. 39–44.</w:t>
      </w:r>
    </w:p>
    <w:p w:rsidR="006D461D" w:rsidRPr="00DD719E" w:rsidRDefault="006D461D" w:rsidP="006D461D">
      <w:pPr>
        <w:pStyle w:val="Reference"/>
      </w:pPr>
      <w:r w:rsidRPr="00DD719E">
        <w:lastRenderedPageBreak/>
        <w:t xml:space="preserve">Katz, I., Cortis, N., Shlonsky, A., Mildon, R. and UNSW Social Policy Research Centre 2016, </w:t>
      </w:r>
      <w:r w:rsidRPr="00DD719E">
        <w:rPr>
          <w:i/>
          <w:iCs/>
        </w:rPr>
        <w:t>Modernising Child Protection in New Zealand: Learning from system reforms in other jurisdictions</w:t>
      </w:r>
      <w:r w:rsidRPr="00DD719E">
        <w:t>, UNSW Social Policy Research Centre, Sydney.</w:t>
      </w:r>
    </w:p>
    <w:p w:rsidR="006D461D" w:rsidRPr="00DD719E" w:rsidRDefault="006D461D" w:rsidP="006D461D">
      <w:pPr>
        <w:pStyle w:val="Reference"/>
      </w:pPr>
      <w:r w:rsidRPr="00DD719E">
        <w:t xml:space="preserve">McLeigh, J.D., Katz, C., Davidson-Arad, B. and Ben-Arieh, A. 2015, ‘The Cultural Adaptation of a Community-Based Child Maltreatment Prevention Initiative’, </w:t>
      </w:r>
      <w:r w:rsidRPr="00DD719E">
        <w:rPr>
          <w:i/>
          <w:iCs/>
        </w:rPr>
        <w:t>Family Process</w:t>
      </w:r>
      <w:r w:rsidRPr="00DD719E">
        <w:t>, vol. 56, no. 2, pp. 393–407.</w:t>
      </w:r>
    </w:p>
    <w:p w:rsidR="006D461D" w:rsidRPr="00DD719E" w:rsidRDefault="006D461D" w:rsidP="006D461D">
      <w:pPr>
        <w:pStyle w:val="Reference"/>
      </w:pPr>
      <w:r w:rsidRPr="00DD719E">
        <w:t xml:space="preserve">Moxley, K.M., Squires, J. and Lindstrom, L. 2012, ‘Early Intervention and Maltreated Children: A Current Look at the Child Abuse Prevention and Treatment Act and Part C’, </w:t>
      </w:r>
      <w:r w:rsidRPr="00DD719E">
        <w:rPr>
          <w:i/>
          <w:iCs/>
        </w:rPr>
        <w:t>Infants and Young Children</w:t>
      </w:r>
      <w:r w:rsidRPr="00DD719E">
        <w:t>, vol. 25, no. 1, pp. 3–18.</w:t>
      </w:r>
    </w:p>
    <w:p w:rsidR="006D461D" w:rsidRPr="00DD719E" w:rsidRDefault="006D461D" w:rsidP="006D461D">
      <w:pPr>
        <w:pStyle w:val="Reference"/>
      </w:pPr>
      <w:r w:rsidRPr="00DD719E">
        <w:t xml:space="preserve">O’Donnell, M., Scott, D. and Stanley, F. 2008, ‘Child abuse and neglect — Is it time for a public health approach?’, </w:t>
      </w:r>
      <w:r w:rsidRPr="00DD719E">
        <w:rPr>
          <w:i/>
          <w:iCs/>
        </w:rPr>
        <w:t>Australian and New Zealand Journal of Public Health</w:t>
      </w:r>
      <w:r w:rsidRPr="00DD719E">
        <w:t>, vol. 32, no. 4, pp. 325–330.</w:t>
      </w:r>
    </w:p>
    <w:p w:rsidR="006D461D" w:rsidRPr="00DD719E" w:rsidRDefault="006D461D" w:rsidP="006D461D">
      <w:pPr>
        <w:pStyle w:val="Reference"/>
      </w:pPr>
      <w:r w:rsidRPr="00DD719E">
        <w:t xml:space="preserve">Prinz, R.J. 2016, ‘Parenting and family support within a broad child abuse prevention strategy’, </w:t>
      </w:r>
      <w:r w:rsidRPr="00DD719E">
        <w:rPr>
          <w:i/>
          <w:iCs/>
        </w:rPr>
        <w:t>Child abuse &amp; neglect</w:t>
      </w:r>
      <w:r w:rsidRPr="00DD719E">
        <w:t>, vol. 51, pp. 400–406.</w:t>
      </w:r>
    </w:p>
    <w:p w:rsidR="006D461D" w:rsidRPr="00DD719E" w:rsidRDefault="006D461D" w:rsidP="006D461D">
      <w:pPr>
        <w:pStyle w:val="Reference"/>
      </w:pPr>
      <w:r w:rsidRPr="00DD719E">
        <w:t xml:space="preserve">Put, C.E. van der, Bouwmeester-Landweer, M.B.R., Landsmeer-Beker, E.A., Wit, J.M., Dekker, F.W., Kousemaker, N.P.J. and Baartman, H.E.M. 2017, ‘Screening for potential child maltreatment in parents of a newborn baby: The predictive validity of an Instrument for early identification of Parents At Risk for child Abuse and Neglect (IPARAN)’, </w:t>
      </w:r>
      <w:r w:rsidRPr="00DD719E">
        <w:rPr>
          <w:i/>
          <w:iCs/>
        </w:rPr>
        <w:t>Child Abuse &amp; Neglect</w:t>
      </w:r>
      <w:r w:rsidRPr="00DD719E">
        <w:t>, vol. 70, pp. 160–168.</w:t>
      </w:r>
    </w:p>
    <w:p w:rsidR="006D461D" w:rsidRPr="00DD719E" w:rsidRDefault="006D461D" w:rsidP="006D461D">
      <w:pPr>
        <w:pStyle w:val="Reference"/>
      </w:pPr>
      <w:r w:rsidRPr="00DD719E">
        <w:t xml:space="preserve">Richmond-Crum, M., Joyner, C., Fogerty, S., Ellis, M.L. and Saul, J. 2013, ‘Applying a public health approach: the role of state health departments in preventing maltreatment and fatalities of children’, </w:t>
      </w:r>
      <w:r w:rsidRPr="00DD719E">
        <w:rPr>
          <w:i/>
          <w:iCs/>
        </w:rPr>
        <w:t>Child Welfare</w:t>
      </w:r>
      <w:r w:rsidRPr="00DD719E">
        <w:t>, vol. 92, no. 2, pp. 99–117.</w:t>
      </w:r>
    </w:p>
    <w:p w:rsidR="006D461D" w:rsidRPr="00DD719E" w:rsidRDefault="006D461D" w:rsidP="006D461D">
      <w:pPr>
        <w:pStyle w:val="Reference"/>
      </w:pPr>
      <w:r w:rsidRPr="00DD719E">
        <w:t xml:space="preserve">Waterhouse, L. 2008, ‘Child Abuse’, </w:t>
      </w:r>
      <w:r w:rsidRPr="00DD719E">
        <w:rPr>
          <w:i/>
          <w:iCs/>
        </w:rPr>
        <w:t>The Blackwell companion to social work</w:t>
      </w:r>
      <w:r w:rsidRPr="00DD719E">
        <w:t>, 3rd edn, pp. 18–26.</w:t>
      </w:r>
    </w:p>
    <w:p w:rsidR="006D461D" w:rsidRPr="00DD719E" w:rsidRDefault="006D461D" w:rsidP="006D461D">
      <w:pPr>
        <w:pStyle w:val="Reference"/>
      </w:pPr>
      <w:r w:rsidRPr="00DD719E">
        <w:t xml:space="preserve">Wilson, M.L., Tumen, S., Ota, R. and Simmers, A.G. 2015, ‘Predictive Modeling: Potential Application in Prevention Services’, </w:t>
      </w:r>
      <w:r w:rsidRPr="00DD719E">
        <w:rPr>
          <w:i/>
          <w:iCs/>
        </w:rPr>
        <w:t>American Journal of Preventative Medicine</w:t>
      </w:r>
      <w:r w:rsidRPr="00DD719E">
        <w:t>, vol. 48, no. 5, pp. 509–519.</w:t>
      </w:r>
    </w:p>
    <w:p w:rsidR="006D461D" w:rsidRPr="00DD719E" w:rsidRDefault="006D461D" w:rsidP="006D461D">
      <w:pPr>
        <w:pStyle w:val="Reference"/>
      </w:pPr>
      <w:r w:rsidRPr="00DD719E">
        <w:t xml:space="preserve">Wise, S. 2017, </w:t>
      </w:r>
      <w:r w:rsidRPr="00DD719E">
        <w:rPr>
          <w:i/>
          <w:iCs/>
        </w:rPr>
        <w:t>Developments to strengthen systems for child protection across Australia (CFCA Paper No. 44)</w:t>
      </w:r>
      <w:r w:rsidRPr="00DD719E">
        <w:t>, Child Family Community Australia information exchange, Australian Institute of Family Studies (AIFS), Melbourne.</w:t>
      </w:r>
    </w:p>
    <w:p w:rsidR="006D461D" w:rsidRPr="00890AC7" w:rsidRDefault="006D461D" w:rsidP="006D461D">
      <w:pPr>
        <w:pStyle w:val="Reference"/>
      </w:pPr>
    </w:p>
    <w:p w:rsidR="006D461D" w:rsidRPr="00D50473" w:rsidRDefault="006D461D" w:rsidP="006D461D">
      <w:pPr>
        <w:pStyle w:val="Reference"/>
      </w:pPr>
    </w:p>
    <w:p w:rsidR="006D461D" w:rsidRDefault="006D461D" w:rsidP="006D461D">
      <w:pPr>
        <w:pStyle w:val="Reference"/>
      </w:pPr>
      <w:r>
        <w:br w:type="page"/>
      </w:r>
    </w:p>
    <w:p w:rsidR="006D461D" w:rsidRPr="00A86D53" w:rsidRDefault="006D461D" w:rsidP="006D461D">
      <w:pPr>
        <w:pStyle w:val="Heading2"/>
      </w:pPr>
      <w:r w:rsidRPr="00A86D53">
        <w:lastRenderedPageBreak/>
        <w:t xml:space="preserve">Attachment A: How to </w:t>
      </w:r>
      <w:bookmarkEnd w:id="8"/>
      <w:bookmarkEnd w:id="9"/>
      <w:bookmarkEnd w:id="10"/>
      <w:bookmarkEnd w:id="11"/>
      <w:bookmarkEnd w:id="12"/>
      <w:r w:rsidRPr="00A86D53">
        <w:t>provide feedback</w:t>
      </w:r>
    </w:p>
    <w:p w:rsidR="006D461D" w:rsidRPr="00A86D53" w:rsidRDefault="006D461D" w:rsidP="006D461D">
      <w:pPr>
        <w:keepNext/>
        <w:spacing w:before="280" w:line="320" w:lineRule="exact"/>
        <w:outlineLvl w:val="2"/>
        <w:rPr>
          <w:rFonts w:ascii="Arial" w:hAnsi="Arial"/>
          <w:b/>
          <w:sz w:val="26"/>
          <w:szCs w:val="20"/>
        </w:rPr>
      </w:pPr>
      <w:r w:rsidRPr="00A86D53">
        <w:rPr>
          <w:rFonts w:ascii="Arial" w:hAnsi="Arial"/>
          <w:b/>
          <w:sz w:val="26"/>
          <w:szCs w:val="20"/>
        </w:rPr>
        <w:t xml:space="preserve">How to </w:t>
      </w:r>
      <w:r>
        <w:rPr>
          <w:rFonts w:ascii="Arial" w:hAnsi="Arial"/>
          <w:b/>
          <w:sz w:val="26"/>
          <w:szCs w:val="20"/>
        </w:rPr>
        <w:t>provide feedback</w:t>
      </w:r>
    </w:p>
    <w:p w:rsidR="006D461D" w:rsidRPr="00A86D53" w:rsidRDefault="006D461D" w:rsidP="006D461D">
      <w:pPr>
        <w:spacing w:before="240" w:line="300" w:lineRule="atLeast"/>
        <w:jc w:val="both"/>
        <w:rPr>
          <w:szCs w:val="20"/>
        </w:rPr>
      </w:pPr>
      <w:r>
        <w:rPr>
          <w:szCs w:val="20"/>
        </w:rPr>
        <w:t>Feedback</w:t>
      </w:r>
      <w:r w:rsidRPr="00A86D53">
        <w:rPr>
          <w:szCs w:val="20"/>
        </w:rPr>
        <w:t xml:space="preserve"> may range from a short </w:t>
      </w:r>
      <w:r>
        <w:rPr>
          <w:szCs w:val="20"/>
        </w:rPr>
        <w:t>paragraph</w:t>
      </w:r>
      <w:r w:rsidRPr="00A86D53">
        <w:rPr>
          <w:szCs w:val="20"/>
        </w:rPr>
        <w:t xml:space="preserve"> outlining your views on a particular topic to much more s</w:t>
      </w:r>
      <w:smartTag w:uri="urn:schemas-microsoft-com:office:smarttags" w:element="PersonName">
        <w:r w:rsidRPr="00A86D53">
          <w:rPr>
            <w:szCs w:val="20"/>
          </w:rPr>
          <w:t>ubs</w:t>
        </w:r>
      </w:smartTag>
      <w:r w:rsidRPr="00A86D53">
        <w:rPr>
          <w:szCs w:val="20"/>
        </w:rPr>
        <w:t>ta</w:t>
      </w:r>
      <w:smartTag w:uri="urn:schemas-microsoft-com:office:smarttags" w:element="PersonName">
        <w:r w:rsidRPr="00A86D53">
          <w:rPr>
            <w:szCs w:val="20"/>
          </w:rPr>
          <w:t>nt</w:t>
        </w:r>
      </w:smartTag>
      <w:r w:rsidRPr="00A86D53">
        <w:rPr>
          <w:szCs w:val="20"/>
        </w:rPr>
        <w:t xml:space="preserve">ial </w:t>
      </w:r>
      <w:r>
        <w:rPr>
          <w:szCs w:val="20"/>
        </w:rPr>
        <w:t>feedback</w:t>
      </w:r>
      <w:r w:rsidRPr="00A86D53">
        <w:rPr>
          <w:szCs w:val="20"/>
        </w:rPr>
        <w:t xml:space="preserve"> covering a range of issues. Where possible, </w:t>
      </w:r>
      <w:r>
        <w:rPr>
          <w:szCs w:val="20"/>
        </w:rPr>
        <w:t xml:space="preserve">please </w:t>
      </w:r>
      <w:r w:rsidRPr="00A86D53">
        <w:rPr>
          <w:szCs w:val="20"/>
        </w:rPr>
        <w:t>provide evidence, such as relevant data and documentation, to support your views.</w:t>
      </w:r>
      <w:r>
        <w:rPr>
          <w:szCs w:val="20"/>
        </w:rPr>
        <w:t xml:space="preserve"> </w:t>
      </w:r>
    </w:p>
    <w:p w:rsidR="006D461D" w:rsidRPr="00A86D53" w:rsidRDefault="006D461D" w:rsidP="006D461D">
      <w:pPr>
        <w:keepNext/>
        <w:spacing w:before="480" w:line="320" w:lineRule="exact"/>
        <w:outlineLvl w:val="3"/>
        <w:rPr>
          <w:rFonts w:ascii="Arial" w:hAnsi="Arial"/>
          <w:szCs w:val="20"/>
        </w:rPr>
      </w:pPr>
      <w:r w:rsidRPr="00A86D53">
        <w:rPr>
          <w:rFonts w:ascii="Arial" w:hAnsi="Arial"/>
          <w:szCs w:val="20"/>
        </w:rPr>
        <w:t>Generally</w:t>
      </w:r>
    </w:p>
    <w:p w:rsidR="006D461D" w:rsidRPr="00A86D53" w:rsidRDefault="006D461D" w:rsidP="006D461D">
      <w:pPr>
        <w:numPr>
          <w:ilvl w:val="0"/>
          <w:numId w:val="1"/>
        </w:numPr>
        <w:spacing w:before="120" w:line="300" w:lineRule="atLeast"/>
        <w:jc w:val="both"/>
        <w:rPr>
          <w:szCs w:val="20"/>
        </w:rPr>
      </w:pPr>
      <w:r>
        <w:rPr>
          <w:szCs w:val="20"/>
        </w:rPr>
        <w:t>Feedback</w:t>
      </w:r>
      <w:r w:rsidRPr="00A86D53">
        <w:rPr>
          <w:szCs w:val="20"/>
        </w:rPr>
        <w:t xml:space="preserve">, except for </w:t>
      </w:r>
      <w:r>
        <w:rPr>
          <w:szCs w:val="20"/>
        </w:rPr>
        <w:t>anything</w:t>
      </w:r>
      <w:r w:rsidRPr="00A86D53">
        <w:rPr>
          <w:szCs w:val="20"/>
        </w:rPr>
        <w:t xml:space="preserve"> supplied in confidence, </w:t>
      </w:r>
      <w:r>
        <w:rPr>
          <w:szCs w:val="20"/>
        </w:rPr>
        <w:t>may be</w:t>
      </w:r>
      <w:r w:rsidRPr="00A86D53">
        <w:rPr>
          <w:szCs w:val="20"/>
        </w:rPr>
        <w:t xml:space="preserve"> </w:t>
      </w:r>
      <w:r>
        <w:rPr>
          <w:szCs w:val="20"/>
        </w:rPr>
        <w:t>used and attributed to you in the final report</w:t>
      </w:r>
      <w:r w:rsidRPr="00A86D53">
        <w:rPr>
          <w:szCs w:val="20"/>
        </w:rPr>
        <w:t>.</w:t>
      </w:r>
      <w:r>
        <w:rPr>
          <w:szCs w:val="20"/>
        </w:rPr>
        <w:t xml:space="preserve"> </w:t>
      </w:r>
    </w:p>
    <w:p w:rsidR="006D461D" w:rsidRPr="00A86D53" w:rsidRDefault="006D461D" w:rsidP="006D461D">
      <w:pPr>
        <w:numPr>
          <w:ilvl w:val="0"/>
          <w:numId w:val="1"/>
        </w:numPr>
        <w:spacing w:before="120" w:line="300" w:lineRule="atLeast"/>
        <w:jc w:val="both"/>
        <w:rPr>
          <w:szCs w:val="20"/>
        </w:rPr>
      </w:pPr>
      <w:r w:rsidRPr="00A86D53">
        <w:rPr>
          <w:szCs w:val="20"/>
        </w:rPr>
        <w:t xml:space="preserve">The </w:t>
      </w:r>
      <w:r>
        <w:rPr>
          <w:szCs w:val="20"/>
        </w:rPr>
        <w:t>Secretariat</w:t>
      </w:r>
      <w:r w:rsidRPr="00A86D53">
        <w:rPr>
          <w:szCs w:val="20"/>
        </w:rPr>
        <w:t xml:space="preserve"> reserves the right to not </w:t>
      </w:r>
      <w:r>
        <w:rPr>
          <w:szCs w:val="20"/>
        </w:rPr>
        <w:t>use your material particularly if</w:t>
      </w:r>
      <w:r w:rsidRPr="00A86D53">
        <w:rPr>
          <w:szCs w:val="20"/>
        </w:rPr>
        <w:t xml:space="preserve"> </w:t>
      </w:r>
      <w:r>
        <w:rPr>
          <w:szCs w:val="20"/>
        </w:rPr>
        <w:t>it</w:t>
      </w:r>
      <w:r w:rsidRPr="00A86D53">
        <w:rPr>
          <w:szCs w:val="20"/>
        </w:rPr>
        <w:t xml:space="preserve"> is offensive, potentially defamatory, or clearly out of scope for the </w:t>
      </w:r>
      <w:r>
        <w:rPr>
          <w:szCs w:val="20"/>
        </w:rPr>
        <w:t>project</w:t>
      </w:r>
      <w:r w:rsidRPr="00A86D53">
        <w:rPr>
          <w:szCs w:val="20"/>
        </w:rPr>
        <w:t>.</w:t>
      </w:r>
    </w:p>
    <w:p w:rsidR="006D461D" w:rsidRPr="00A86D53" w:rsidRDefault="006D461D" w:rsidP="006D461D">
      <w:pPr>
        <w:keepNext/>
        <w:spacing w:before="480" w:line="320" w:lineRule="exact"/>
        <w:outlineLvl w:val="3"/>
        <w:rPr>
          <w:rFonts w:ascii="Arial" w:hAnsi="Arial"/>
          <w:szCs w:val="20"/>
        </w:rPr>
      </w:pPr>
      <w:r w:rsidRPr="00A86D53">
        <w:rPr>
          <w:rFonts w:ascii="Arial" w:hAnsi="Arial"/>
          <w:szCs w:val="20"/>
        </w:rPr>
        <w:t>In confidence material</w:t>
      </w:r>
    </w:p>
    <w:p w:rsidR="006D461D" w:rsidRPr="00A86D53" w:rsidRDefault="006D461D" w:rsidP="006D461D">
      <w:pPr>
        <w:numPr>
          <w:ilvl w:val="0"/>
          <w:numId w:val="1"/>
        </w:numPr>
        <w:spacing w:before="120" w:line="300" w:lineRule="atLeast"/>
        <w:jc w:val="both"/>
        <w:rPr>
          <w:szCs w:val="20"/>
        </w:rPr>
      </w:pPr>
      <w:r w:rsidRPr="00A86D53">
        <w:rPr>
          <w:szCs w:val="20"/>
        </w:rPr>
        <w:t>Th</w:t>
      </w:r>
      <w:r>
        <w:rPr>
          <w:szCs w:val="20"/>
        </w:rPr>
        <w:t>e</w:t>
      </w:r>
      <w:r w:rsidRPr="00A86D53">
        <w:rPr>
          <w:szCs w:val="20"/>
        </w:rPr>
        <w:t xml:space="preserve"> </w:t>
      </w:r>
      <w:r>
        <w:rPr>
          <w:szCs w:val="20"/>
        </w:rPr>
        <w:t>final report will be</w:t>
      </w:r>
      <w:r w:rsidRPr="00A86D53">
        <w:rPr>
          <w:szCs w:val="20"/>
        </w:rPr>
        <w:t xml:space="preserve"> public </w:t>
      </w:r>
      <w:r>
        <w:rPr>
          <w:szCs w:val="20"/>
        </w:rPr>
        <w:t>and all</w:t>
      </w:r>
      <w:r w:rsidRPr="00A86D53">
        <w:rPr>
          <w:szCs w:val="20"/>
        </w:rPr>
        <w:t xml:space="preserve"> </w:t>
      </w:r>
      <w:r>
        <w:rPr>
          <w:szCs w:val="20"/>
        </w:rPr>
        <w:t>feedback</w:t>
      </w:r>
      <w:r w:rsidRPr="00A86D53">
        <w:rPr>
          <w:szCs w:val="20"/>
        </w:rPr>
        <w:t xml:space="preserve"> should be provided </w:t>
      </w:r>
      <w:r>
        <w:rPr>
          <w:szCs w:val="20"/>
        </w:rPr>
        <w:t>so it can be used by the</w:t>
      </w:r>
      <w:r w:rsidRPr="00A86D53">
        <w:rPr>
          <w:szCs w:val="20"/>
        </w:rPr>
        <w:t xml:space="preserve"> </w:t>
      </w:r>
      <w:r>
        <w:rPr>
          <w:szCs w:val="20"/>
        </w:rPr>
        <w:t>Secretariat</w:t>
      </w:r>
      <w:r w:rsidRPr="00A86D53">
        <w:rPr>
          <w:szCs w:val="20"/>
        </w:rPr>
        <w:t xml:space="preserve"> for others to read. However, information which is of a confidential nature or which is submitted in confidence can be treated as such by the Commission, provided the cause for such treatment is shown.</w:t>
      </w:r>
    </w:p>
    <w:p w:rsidR="006D461D" w:rsidRPr="00A86D53" w:rsidRDefault="006D461D" w:rsidP="00F07F4E">
      <w:pPr>
        <w:numPr>
          <w:ilvl w:val="0"/>
          <w:numId w:val="1"/>
        </w:numPr>
        <w:shd w:val="clear" w:color="auto" w:fill="FFFFFF" w:themeFill="background1"/>
        <w:spacing w:before="120" w:line="300" w:lineRule="atLeast"/>
        <w:jc w:val="both"/>
        <w:rPr>
          <w:szCs w:val="20"/>
        </w:rPr>
      </w:pPr>
      <w:r>
        <w:rPr>
          <w:szCs w:val="20"/>
        </w:rPr>
        <w:t xml:space="preserve">We </w:t>
      </w:r>
      <w:r w:rsidRPr="00A86D53">
        <w:rPr>
          <w:szCs w:val="20"/>
        </w:rPr>
        <w:t>may also request a non</w:t>
      </w:r>
      <w:r w:rsidRPr="00A86D53">
        <w:rPr>
          <w:szCs w:val="20"/>
        </w:rPr>
        <w:noBreakHyphen/>
        <w:t>confidential summary of the confidential material it is given, or the reasons why a summary cannot be provided.</w:t>
      </w:r>
    </w:p>
    <w:p w:rsidR="006D461D" w:rsidRPr="00A86D53" w:rsidRDefault="006D461D" w:rsidP="00F07F4E">
      <w:pPr>
        <w:numPr>
          <w:ilvl w:val="0"/>
          <w:numId w:val="1"/>
        </w:numPr>
        <w:shd w:val="clear" w:color="auto" w:fill="FFFFFF" w:themeFill="background1"/>
        <w:spacing w:before="120" w:line="300" w:lineRule="atLeast"/>
        <w:jc w:val="both"/>
        <w:rPr>
          <w:szCs w:val="20"/>
        </w:rPr>
      </w:pPr>
      <w:r w:rsidRPr="00A86D53">
        <w:rPr>
          <w:szCs w:val="20"/>
        </w:rPr>
        <w:t>Material supplied in confidence should be clearly marked ‘IN CONFIDENCE’.</w:t>
      </w:r>
    </w:p>
    <w:p w:rsidR="006D461D" w:rsidRPr="00A86D53" w:rsidRDefault="006D461D" w:rsidP="006D461D">
      <w:pPr>
        <w:numPr>
          <w:ilvl w:val="0"/>
          <w:numId w:val="1"/>
        </w:numPr>
        <w:spacing w:before="120" w:line="300" w:lineRule="atLeast"/>
        <w:jc w:val="both"/>
        <w:rPr>
          <w:szCs w:val="20"/>
        </w:rPr>
      </w:pPr>
      <w:r w:rsidRPr="00A86D53">
        <w:rPr>
          <w:szCs w:val="20"/>
        </w:rPr>
        <w:t xml:space="preserve">You are encouraged to contact </w:t>
      </w:r>
      <w:r>
        <w:rPr>
          <w:szCs w:val="20"/>
        </w:rPr>
        <w:t>us</w:t>
      </w:r>
      <w:r w:rsidRPr="00A86D53">
        <w:rPr>
          <w:szCs w:val="20"/>
        </w:rPr>
        <w:t xml:space="preserve"> for further information and advice before submitting such material.</w:t>
      </w:r>
    </w:p>
    <w:p w:rsidR="006D461D" w:rsidRPr="00A86D53" w:rsidRDefault="006D461D" w:rsidP="006D461D">
      <w:pPr>
        <w:keepNext/>
        <w:spacing w:before="480" w:line="320" w:lineRule="exact"/>
        <w:outlineLvl w:val="3"/>
        <w:rPr>
          <w:rFonts w:ascii="Arial" w:hAnsi="Arial"/>
          <w:szCs w:val="20"/>
        </w:rPr>
      </w:pPr>
      <w:r w:rsidRPr="00A86D53">
        <w:rPr>
          <w:rFonts w:ascii="Arial" w:hAnsi="Arial"/>
          <w:szCs w:val="20"/>
        </w:rPr>
        <w:t>Privacy</w:t>
      </w:r>
    </w:p>
    <w:p w:rsidR="006D461D" w:rsidRPr="00A86D53" w:rsidRDefault="006D461D" w:rsidP="006D461D">
      <w:pPr>
        <w:numPr>
          <w:ilvl w:val="0"/>
          <w:numId w:val="1"/>
        </w:numPr>
        <w:spacing w:before="120" w:line="300" w:lineRule="atLeast"/>
        <w:jc w:val="both"/>
        <w:rPr>
          <w:szCs w:val="20"/>
        </w:rPr>
      </w:pPr>
      <w:r>
        <w:rPr>
          <w:szCs w:val="20"/>
        </w:rPr>
        <w:t>A list of people who provided feedback during the consultation processes for this consultation paper will be included in the final report for this project</w:t>
      </w:r>
      <w:r w:rsidRPr="00A86D53">
        <w:rPr>
          <w:szCs w:val="20"/>
        </w:rPr>
        <w:t>.</w:t>
      </w:r>
    </w:p>
    <w:p w:rsidR="006D461D" w:rsidRPr="008520B0" w:rsidRDefault="006D461D" w:rsidP="006D461D">
      <w:pPr>
        <w:numPr>
          <w:ilvl w:val="0"/>
          <w:numId w:val="1"/>
        </w:numPr>
        <w:spacing w:before="120" w:line="300" w:lineRule="atLeast"/>
        <w:jc w:val="both"/>
        <w:rPr>
          <w:rFonts w:ascii="Arial" w:hAnsi="Arial"/>
          <w:szCs w:val="20"/>
        </w:rPr>
      </w:pPr>
      <w:r w:rsidRPr="008520B0">
        <w:rPr>
          <w:szCs w:val="20"/>
        </w:rPr>
        <w:t>You may wish to remain anonymous. Please note that, if you choose to remain anonymous</w:t>
      </w:r>
      <w:r w:rsidRPr="000345A8">
        <w:rPr>
          <w:szCs w:val="20"/>
        </w:rPr>
        <w:t xml:space="preserve">, the </w:t>
      </w:r>
      <w:r>
        <w:rPr>
          <w:szCs w:val="20"/>
        </w:rPr>
        <w:t>Secretariat</w:t>
      </w:r>
      <w:r w:rsidRPr="000345A8">
        <w:rPr>
          <w:szCs w:val="20"/>
        </w:rPr>
        <w:t xml:space="preserve"> may place less weight on your feedback</w:t>
      </w:r>
      <w:r w:rsidRPr="00A86D53">
        <w:rPr>
          <w:szCs w:val="20"/>
        </w:rPr>
        <w:t>.</w:t>
      </w:r>
    </w:p>
    <w:p w:rsidR="006D461D" w:rsidRPr="00A86D53" w:rsidRDefault="006D461D" w:rsidP="006D461D">
      <w:pPr>
        <w:keepNext/>
        <w:spacing w:before="560" w:line="320" w:lineRule="exact"/>
        <w:outlineLvl w:val="2"/>
        <w:rPr>
          <w:rFonts w:ascii="Arial" w:hAnsi="Arial"/>
          <w:b/>
          <w:sz w:val="26"/>
          <w:szCs w:val="20"/>
        </w:rPr>
      </w:pPr>
      <w:r w:rsidRPr="00A86D53">
        <w:rPr>
          <w:rFonts w:ascii="Arial" w:hAnsi="Arial"/>
          <w:b/>
          <w:sz w:val="26"/>
          <w:szCs w:val="20"/>
        </w:rPr>
        <w:t xml:space="preserve">How to </w:t>
      </w:r>
      <w:r>
        <w:rPr>
          <w:rFonts w:ascii="Arial" w:hAnsi="Arial"/>
          <w:b/>
          <w:sz w:val="26"/>
          <w:szCs w:val="20"/>
        </w:rPr>
        <w:t>lodge feedback</w:t>
      </w:r>
    </w:p>
    <w:p w:rsidR="006D461D" w:rsidRPr="00A86D53" w:rsidRDefault="006D461D" w:rsidP="006D461D">
      <w:pPr>
        <w:numPr>
          <w:ilvl w:val="0"/>
          <w:numId w:val="1"/>
        </w:numPr>
        <w:spacing w:before="120" w:line="300" w:lineRule="atLeast"/>
        <w:jc w:val="both"/>
        <w:rPr>
          <w:szCs w:val="20"/>
        </w:rPr>
      </w:pPr>
      <w:r>
        <w:rPr>
          <w:szCs w:val="20"/>
        </w:rPr>
        <w:t xml:space="preserve">Feedback </w:t>
      </w:r>
      <w:r w:rsidRPr="00A86D53">
        <w:rPr>
          <w:szCs w:val="20"/>
        </w:rPr>
        <w:t xml:space="preserve">should be lodged using the online form on the </w:t>
      </w:r>
      <w:r>
        <w:rPr>
          <w:szCs w:val="20"/>
        </w:rPr>
        <w:t xml:space="preserve">Productivity </w:t>
      </w:r>
      <w:r w:rsidRPr="00A86D53">
        <w:rPr>
          <w:szCs w:val="20"/>
        </w:rPr>
        <w:t>Commission’s website</w:t>
      </w:r>
      <w:r>
        <w:rPr>
          <w:szCs w:val="20"/>
        </w:rPr>
        <w:t xml:space="preserve"> at</w:t>
      </w:r>
      <w:r w:rsidRPr="00D3276B">
        <w:t xml:space="preserve"> </w:t>
      </w:r>
      <w:r w:rsidRPr="00D3276B">
        <w:rPr>
          <w:szCs w:val="20"/>
        </w:rPr>
        <w:t>www.pc.gov.au/research/ongoing/report-on-government-services/what-works/child-protection</w:t>
      </w:r>
      <w:r w:rsidRPr="00A86D53">
        <w:rPr>
          <w:szCs w:val="20"/>
        </w:rPr>
        <w:t xml:space="preserve">. You </w:t>
      </w:r>
      <w:r>
        <w:rPr>
          <w:szCs w:val="20"/>
        </w:rPr>
        <w:t>will also be able to provide links, or load documents as part of your feedback</w:t>
      </w:r>
      <w:r w:rsidRPr="00A86D53">
        <w:rPr>
          <w:szCs w:val="20"/>
        </w:rPr>
        <w:t>.</w:t>
      </w:r>
    </w:p>
    <w:p w:rsidR="006D461D" w:rsidRPr="00D3276B" w:rsidRDefault="006D461D" w:rsidP="006D461D">
      <w:pPr>
        <w:numPr>
          <w:ilvl w:val="0"/>
          <w:numId w:val="1"/>
        </w:numPr>
        <w:spacing w:before="120" w:line="300" w:lineRule="atLeast"/>
        <w:jc w:val="both"/>
        <w:rPr>
          <w:szCs w:val="20"/>
        </w:rPr>
      </w:pPr>
      <w:r>
        <w:rPr>
          <w:szCs w:val="20"/>
        </w:rPr>
        <w:t>Please d</w:t>
      </w:r>
      <w:r w:rsidRPr="00A86D53">
        <w:rPr>
          <w:szCs w:val="20"/>
        </w:rPr>
        <w:t xml:space="preserve">o not send password protected </w:t>
      </w:r>
      <w:r>
        <w:rPr>
          <w:szCs w:val="20"/>
        </w:rPr>
        <w:t>documents</w:t>
      </w:r>
      <w:r w:rsidRPr="00A86D53">
        <w:rPr>
          <w:szCs w:val="20"/>
        </w:rPr>
        <w:t>.</w:t>
      </w:r>
    </w:p>
    <w:p w:rsidR="006D461D" w:rsidRPr="00A86D53" w:rsidRDefault="006D461D" w:rsidP="006D461D">
      <w:pPr>
        <w:spacing w:before="240" w:after="240" w:line="300" w:lineRule="atLeast"/>
        <w:jc w:val="both"/>
        <w:rPr>
          <w:szCs w:val="20"/>
        </w:rPr>
      </w:pPr>
      <w:r w:rsidRPr="00A86D53">
        <w:rPr>
          <w:szCs w:val="20"/>
        </w:rPr>
        <w:lastRenderedPageBreak/>
        <w:t xml:space="preserve">If you do not receive notification of receipt of your </w:t>
      </w:r>
      <w:r>
        <w:rPr>
          <w:szCs w:val="20"/>
        </w:rPr>
        <w:t>feedback</w:t>
      </w:r>
      <w:r w:rsidRPr="00A86D53">
        <w:rPr>
          <w:szCs w:val="20"/>
        </w:rPr>
        <w:t>, please co</w:t>
      </w:r>
      <w:smartTag w:uri="urn:schemas-microsoft-com:office:smarttags" w:element="PersonName">
        <w:r w:rsidRPr="00A86D53">
          <w:rPr>
            <w:szCs w:val="20"/>
          </w:rPr>
          <w:t>nt</w:t>
        </w:r>
      </w:smartTag>
      <w:r w:rsidRPr="00A86D53">
        <w:rPr>
          <w:szCs w:val="20"/>
        </w:rPr>
        <w:t xml:space="preserve">act the </w:t>
      </w:r>
      <w:r w:rsidRPr="00A82B30">
        <w:rPr>
          <w:szCs w:val="20"/>
        </w:rPr>
        <w:t>Secretariat via email at gsp.whatworks@pc.gov.au</w:t>
      </w:r>
      <w:r w:rsidRPr="00A86D53">
        <w:rPr>
          <w:szCs w:val="20"/>
        </w:rPr>
        <w:t>.</w:t>
      </w:r>
    </w:p>
    <w:p w:rsidR="006D461D" w:rsidRPr="00F77526" w:rsidRDefault="006D461D" w:rsidP="006D461D">
      <w:pPr>
        <w:keepNext/>
        <w:spacing w:before="480" w:line="320" w:lineRule="exact"/>
        <w:outlineLvl w:val="3"/>
        <w:rPr>
          <w:rFonts w:ascii="Arial" w:hAnsi="Arial"/>
          <w:szCs w:val="20"/>
        </w:rPr>
      </w:pPr>
      <w:r w:rsidRPr="00F77526">
        <w:rPr>
          <w:rStyle w:val="BodyTextChar"/>
        </w:rPr>
        <w:t>Due date for feedback on information requests in this consultation paper:</w:t>
      </w:r>
      <w:r>
        <w:rPr>
          <w:rFonts w:ascii="Arial" w:hAnsi="Arial"/>
          <w:szCs w:val="20"/>
        </w:rPr>
        <w:t xml:space="preserve"> </w:t>
      </w:r>
      <w:r w:rsidR="00F77526">
        <w:rPr>
          <w:rFonts w:ascii="Arial" w:hAnsi="Arial"/>
          <w:szCs w:val="20"/>
        </w:rPr>
        <w:br/>
      </w:r>
      <w:r w:rsidRPr="00F250D9">
        <w:rPr>
          <w:b/>
          <w:szCs w:val="20"/>
        </w:rPr>
        <w:t>Thursday, 21 March 2019</w:t>
      </w:r>
      <w:r w:rsidRPr="00A86D53">
        <w:rPr>
          <w:szCs w:val="20"/>
        </w:rPr>
        <w:t>.</w:t>
      </w:r>
    </w:p>
    <w:p w:rsidR="000C54DD" w:rsidRPr="000C54DD" w:rsidRDefault="000C54DD" w:rsidP="00743A27">
      <w:pPr>
        <w:pStyle w:val="BodyText"/>
        <w:rPr>
          <w:rStyle w:val="CommentReference"/>
        </w:rPr>
      </w:pPr>
    </w:p>
    <w:sectPr w:rsidR="000C54DD" w:rsidRPr="000C54DD" w:rsidSect="005253D5">
      <w:headerReference w:type="even" r:id="rId16"/>
      <w:headerReference w:type="default" r:id="rId17"/>
      <w:footerReference w:type="even" r:id="rId18"/>
      <w:footerReference w:type="default" r:id="rId19"/>
      <w:pgSz w:w="11907" w:h="16840" w:code="9"/>
      <w:pgMar w:top="1985" w:right="1304" w:bottom="1135"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DD" w:rsidRDefault="000C54DD">
      <w:r>
        <w:separator/>
      </w:r>
    </w:p>
    <w:p w:rsidR="000C54DD" w:rsidRDefault="000C54DD"/>
    <w:p w:rsidR="000C54DD" w:rsidRDefault="000C54DD"/>
  </w:endnote>
  <w:endnote w:type="continuationSeparator" w:id="0">
    <w:p w:rsidR="000C54DD" w:rsidRDefault="000C54DD">
      <w:r>
        <w:continuationSeparator/>
      </w:r>
    </w:p>
    <w:p w:rsidR="000C54DD" w:rsidRDefault="000C54DD"/>
    <w:p w:rsidR="000C54DD" w:rsidRDefault="000C5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D3F58" w:rsidTr="005F48ED">
      <w:trPr>
        <w:trHeight w:hRule="exact" w:val="567"/>
      </w:trPr>
      <w:tc>
        <w:tcPr>
          <w:tcW w:w="510" w:type="dxa"/>
        </w:tcPr>
        <w:p w:rsidR="004D3F58" w:rsidRPr="00A24443" w:rsidRDefault="004D3F5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716A9">
            <w:rPr>
              <w:rStyle w:val="PageNumber"/>
              <w:caps w:val="0"/>
              <w:noProof/>
            </w:rPr>
            <w:t>ii</w:t>
          </w:r>
          <w:r w:rsidRPr="00A24443">
            <w:rPr>
              <w:rStyle w:val="PageNumber"/>
              <w:caps w:val="0"/>
            </w:rPr>
            <w:fldChar w:fldCharType="end"/>
          </w:r>
        </w:p>
      </w:tc>
      <w:tc>
        <w:tcPr>
          <w:tcW w:w="7767" w:type="dxa"/>
        </w:tcPr>
        <w:p w:rsidR="004D3F58" w:rsidRPr="0013739A" w:rsidRDefault="00C058AB" w:rsidP="0013739A">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sidR="002059B2">
            <w:rPr>
              <w:rFonts w:cs="Arial"/>
            </w:rPr>
            <w:t>Report title</w:t>
          </w:r>
          <w:r w:rsidRPr="00BA5B14">
            <w:rPr>
              <w:rFonts w:cs="Arial"/>
            </w:rPr>
            <w:fldChar w:fldCharType="end"/>
          </w:r>
        </w:p>
      </w:tc>
      <w:tc>
        <w:tcPr>
          <w:tcW w:w="510" w:type="dxa"/>
        </w:tcPr>
        <w:p w:rsidR="004D3F58" w:rsidRDefault="004D3F58" w:rsidP="0019293B">
          <w:pPr>
            <w:pStyle w:val="Footer"/>
          </w:pPr>
        </w:p>
      </w:tc>
    </w:tr>
  </w:tbl>
  <w:p w:rsidR="004D3F58" w:rsidRDefault="004D3F58" w:rsidP="0019293B">
    <w:pPr>
      <w:pStyle w:val="FooterEnd"/>
    </w:pPr>
  </w:p>
  <w:p w:rsidR="00D37AC2" w:rsidRDefault="00D37AC2">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448F7" w:rsidTr="005F48ED">
      <w:trPr>
        <w:trHeight w:hRule="exact" w:val="567"/>
      </w:trPr>
      <w:tc>
        <w:tcPr>
          <w:tcW w:w="510" w:type="dxa"/>
        </w:tcPr>
        <w:p w:rsidR="007448F7" w:rsidRDefault="007448F7">
          <w:pPr>
            <w:pStyle w:val="Footer"/>
            <w:ind w:right="360" w:firstLine="360"/>
          </w:pPr>
        </w:p>
      </w:tc>
      <w:tc>
        <w:tcPr>
          <w:tcW w:w="7767" w:type="dxa"/>
        </w:tcPr>
        <w:p w:rsidR="007448F7" w:rsidRPr="00BA5B14" w:rsidRDefault="003B1BEA" w:rsidP="007448F7">
          <w:pPr>
            <w:pStyle w:val="Footer"/>
            <w:jc w:val="right"/>
            <w:rPr>
              <w:rFonts w:cs="Arial"/>
            </w:rPr>
          </w:pPr>
          <w:r>
            <w:rPr>
              <w:noProof/>
            </w:rPr>
            <w:t>Contents</w:t>
          </w:r>
          <w:r w:rsidR="007448F7">
            <w:rPr>
              <w:rFonts w:cs="Arial"/>
            </w:rPr>
            <w:t xml:space="preserve"> </w:t>
          </w:r>
        </w:p>
      </w:tc>
      <w:tc>
        <w:tcPr>
          <w:tcW w:w="510" w:type="dxa"/>
        </w:tcPr>
        <w:p w:rsidR="007448F7" w:rsidRPr="007448F7" w:rsidRDefault="007448F7">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4716A9">
            <w:rPr>
              <w:rStyle w:val="PageNumber"/>
              <w:caps w:val="0"/>
              <w:noProof/>
            </w:rPr>
            <w:t>iii</w:t>
          </w:r>
          <w:r w:rsidRPr="007448F7">
            <w:rPr>
              <w:rStyle w:val="PageNumber"/>
              <w:caps w:val="0"/>
            </w:rPr>
            <w:fldChar w:fldCharType="end"/>
          </w:r>
        </w:p>
      </w:tc>
    </w:tr>
  </w:tbl>
  <w:p w:rsidR="007448F7" w:rsidRDefault="007448F7">
    <w:pPr>
      <w:pStyle w:val="FooterEnd"/>
    </w:pPr>
  </w:p>
  <w:p w:rsidR="00D37AC2" w:rsidRDefault="00D37AC2">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C44FB" w:rsidTr="005F48ED">
      <w:trPr>
        <w:trHeight w:hRule="exact" w:val="567"/>
      </w:trPr>
      <w:tc>
        <w:tcPr>
          <w:tcW w:w="510" w:type="dxa"/>
        </w:tcPr>
        <w:p w:rsidR="00AC44FB" w:rsidRPr="00A24443" w:rsidRDefault="006D461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716A9">
            <w:rPr>
              <w:rStyle w:val="PageNumber"/>
              <w:caps w:val="0"/>
              <w:noProof/>
            </w:rPr>
            <w:t>12</w:t>
          </w:r>
          <w:r w:rsidRPr="00A24443">
            <w:rPr>
              <w:rStyle w:val="PageNumber"/>
              <w:caps w:val="0"/>
            </w:rPr>
            <w:fldChar w:fldCharType="end"/>
          </w:r>
        </w:p>
      </w:tc>
      <w:tc>
        <w:tcPr>
          <w:tcW w:w="7767" w:type="dxa"/>
        </w:tcPr>
        <w:p w:rsidR="00AC44FB" w:rsidRPr="0013739A" w:rsidRDefault="006D461D" w:rsidP="000C203E">
          <w:pPr>
            <w:pStyle w:val="Footer"/>
            <w:rPr>
              <w:rFonts w:cs="Arial"/>
            </w:rPr>
          </w:pPr>
          <w:bookmarkStart w:id="13" w:name="DraftReportEven"/>
          <w:bookmarkEnd w:id="13"/>
          <w:r>
            <w:rPr>
              <w:rFonts w:cs="Arial"/>
            </w:rPr>
            <w:t xml:space="preserve">Systems </w:t>
          </w:r>
          <w:r w:rsidR="000C203E">
            <w:rPr>
              <w:rFonts w:cs="Arial"/>
            </w:rPr>
            <w:t>for</w:t>
          </w:r>
          <w:r>
            <w:rPr>
              <w:rFonts w:cs="Arial"/>
            </w:rPr>
            <w:t xml:space="preserve"> Protect</w:t>
          </w:r>
          <w:r w:rsidR="000C203E">
            <w:rPr>
              <w:rFonts w:cs="Arial"/>
            </w:rPr>
            <w:t>ing</w:t>
          </w:r>
          <w:r>
            <w:rPr>
              <w:rFonts w:cs="Arial"/>
            </w:rPr>
            <w:t xml:space="preserve"> children</w:t>
          </w:r>
        </w:p>
      </w:tc>
      <w:tc>
        <w:tcPr>
          <w:tcW w:w="510" w:type="dxa"/>
        </w:tcPr>
        <w:p w:rsidR="00AC44FB" w:rsidRDefault="004716A9" w:rsidP="0019293B">
          <w:pPr>
            <w:pStyle w:val="Footer"/>
          </w:pPr>
        </w:p>
      </w:tc>
    </w:tr>
  </w:tbl>
  <w:p w:rsidR="00AC44FB" w:rsidRDefault="004716A9" w:rsidP="0019293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C44FB" w:rsidTr="005F48ED">
      <w:trPr>
        <w:trHeight w:hRule="exact" w:val="567"/>
      </w:trPr>
      <w:tc>
        <w:tcPr>
          <w:tcW w:w="510" w:type="dxa"/>
        </w:tcPr>
        <w:p w:rsidR="00AC44FB" w:rsidRDefault="004716A9">
          <w:pPr>
            <w:pStyle w:val="Footer"/>
            <w:ind w:right="360" w:firstLine="360"/>
          </w:pPr>
        </w:p>
      </w:tc>
      <w:tc>
        <w:tcPr>
          <w:tcW w:w="7767" w:type="dxa"/>
        </w:tcPr>
        <w:p w:rsidR="00AC44FB" w:rsidRPr="00BA5B14" w:rsidRDefault="006D461D" w:rsidP="0013739A">
          <w:pPr>
            <w:pStyle w:val="Footer"/>
            <w:jc w:val="right"/>
            <w:rPr>
              <w:rFonts w:cs="Arial"/>
            </w:rPr>
          </w:pPr>
          <w:r w:rsidRPr="001F5B89">
            <w:rPr>
              <w:rFonts w:cs="Arial"/>
            </w:rPr>
            <w:t>CONSULTATION PAPER</w:t>
          </w:r>
          <w:bookmarkStart w:id="14" w:name="DraftReportOdd"/>
          <w:bookmarkEnd w:id="14"/>
        </w:p>
      </w:tc>
      <w:tc>
        <w:tcPr>
          <w:tcW w:w="510" w:type="dxa"/>
        </w:tcPr>
        <w:p w:rsidR="00AC44FB" w:rsidRPr="00A24443" w:rsidRDefault="006D461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716A9">
            <w:rPr>
              <w:rStyle w:val="PageNumber"/>
              <w:caps w:val="0"/>
              <w:noProof/>
            </w:rPr>
            <w:t>13</w:t>
          </w:r>
          <w:r w:rsidRPr="00A24443">
            <w:rPr>
              <w:rStyle w:val="PageNumber"/>
              <w:caps w:val="0"/>
            </w:rPr>
            <w:fldChar w:fldCharType="end"/>
          </w:r>
        </w:p>
      </w:tc>
    </w:tr>
  </w:tbl>
  <w:p w:rsidR="00AC44FB" w:rsidRDefault="004716A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DD" w:rsidRDefault="000C54DD">
      <w:r>
        <w:separator/>
      </w:r>
    </w:p>
    <w:p w:rsidR="000C54DD" w:rsidRDefault="000C54DD"/>
    <w:p w:rsidR="000C54DD" w:rsidRDefault="000C54DD"/>
  </w:footnote>
  <w:footnote w:type="continuationSeparator" w:id="0">
    <w:p w:rsidR="000C54DD" w:rsidRDefault="000C54DD">
      <w:r>
        <w:continuationSeparator/>
      </w:r>
    </w:p>
    <w:p w:rsidR="000C54DD" w:rsidRDefault="000C54DD"/>
    <w:p w:rsidR="000C54DD" w:rsidRDefault="000C54DD"/>
  </w:footnote>
  <w:footnote w:id="1">
    <w:p w:rsidR="006D461D" w:rsidRDefault="006D461D" w:rsidP="006D461D">
      <w:pPr>
        <w:pStyle w:val="FootnoteText"/>
      </w:pPr>
      <w:r w:rsidRPr="001D3B4F">
        <w:rPr>
          <w:rStyle w:val="FootnoteReference"/>
        </w:rPr>
        <w:footnoteRef/>
      </w:r>
      <w:r>
        <w:tab/>
        <w:t xml:space="preserve">For example, the </w:t>
      </w:r>
      <w:r w:rsidRPr="00D62217">
        <w:rPr>
          <w:i/>
        </w:rPr>
        <w:t>Royal Commission into Institutional Responses to Child Sexual Abuse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D37AC2">
      <w:tc>
        <w:tcPr>
          <w:tcW w:w="2155" w:type="dxa"/>
          <w:tcBorders>
            <w:top w:val="single" w:sz="24" w:space="0" w:color="auto"/>
          </w:tcBorders>
        </w:tcPr>
        <w:p w:rsidR="00D37AC2" w:rsidRDefault="00D37AC2">
          <w:pPr>
            <w:pStyle w:val="Header"/>
          </w:pPr>
        </w:p>
      </w:tc>
      <w:tc>
        <w:tcPr>
          <w:tcW w:w="6634" w:type="dxa"/>
          <w:tcBorders>
            <w:top w:val="single" w:sz="6" w:space="0" w:color="auto"/>
          </w:tcBorders>
        </w:tcPr>
        <w:p w:rsidR="00D37AC2" w:rsidRDefault="00D37AC2">
          <w:pPr>
            <w:pStyle w:val="Header"/>
          </w:pPr>
        </w:p>
      </w:tc>
    </w:tr>
  </w:tbl>
  <w:p w:rsidR="00D37AC2" w:rsidRDefault="00D37AC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37AC2" w:rsidTr="005C68FE">
      <w:tc>
        <w:tcPr>
          <w:tcW w:w="6634" w:type="dxa"/>
          <w:tcBorders>
            <w:top w:val="single" w:sz="6" w:space="0" w:color="auto"/>
          </w:tcBorders>
        </w:tcPr>
        <w:p w:rsidR="00D37AC2" w:rsidRDefault="00D37AC2" w:rsidP="005C68FE">
          <w:pPr>
            <w:pStyle w:val="HeaderOdd"/>
          </w:pPr>
        </w:p>
      </w:tc>
      <w:tc>
        <w:tcPr>
          <w:tcW w:w="2155" w:type="dxa"/>
          <w:tcBorders>
            <w:top w:val="single" w:sz="24" w:space="0" w:color="auto"/>
          </w:tcBorders>
        </w:tcPr>
        <w:p w:rsidR="00D37AC2" w:rsidRDefault="00D37AC2" w:rsidP="005C68FE">
          <w:pPr>
            <w:pStyle w:val="HeaderOdd"/>
          </w:pPr>
        </w:p>
      </w:tc>
    </w:tr>
  </w:tbl>
  <w:p w:rsidR="00D37AC2" w:rsidRPr="005C68FE" w:rsidRDefault="00D37AC2" w:rsidP="005C68FE">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AC44FB">
      <w:tc>
        <w:tcPr>
          <w:tcW w:w="2155" w:type="dxa"/>
          <w:tcBorders>
            <w:top w:val="single" w:sz="24" w:space="0" w:color="auto"/>
          </w:tcBorders>
        </w:tcPr>
        <w:p w:rsidR="00AC44FB" w:rsidRDefault="004716A9" w:rsidP="0019293B">
          <w:pPr>
            <w:pStyle w:val="HeaderEven"/>
          </w:pPr>
        </w:p>
      </w:tc>
      <w:tc>
        <w:tcPr>
          <w:tcW w:w="6634" w:type="dxa"/>
          <w:tcBorders>
            <w:top w:val="single" w:sz="6" w:space="0" w:color="auto"/>
          </w:tcBorders>
        </w:tcPr>
        <w:p w:rsidR="00AC44FB" w:rsidRDefault="004716A9" w:rsidP="0019293B">
          <w:pPr>
            <w:pStyle w:val="HeaderEven"/>
          </w:pPr>
        </w:p>
      </w:tc>
    </w:tr>
  </w:tbl>
  <w:p w:rsidR="00AC44FB" w:rsidRDefault="004716A9" w:rsidP="0019293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C44FB">
      <w:tc>
        <w:tcPr>
          <w:tcW w:w="6634" w:type="dxa"/>
          <w:tcBorders>
            <w:top w:val="single" w:sz="6" w:space="0" w:color="auto"/>
          </w:tcBorders>
        </w:tcPr>
        <w:p w:rsidR="00AC44FB" w:rsidRDefault="004716A9" w:rsidP="00E669E2">
          <w:pPr>
            <w:pStyle w:val="HeaderOdd"/>
          </w:pPr>
        </w:p>
      </w:tc>
      <w:tc>
        <w:tcPr>
          <w:tcW w:w="2155" w:type="dxa"/>
          <w:tcBorders>
            <w:top w:val="single" w:sz="24" w:space="0" w:color="auto"/>
          </w:tcBorders>
        </w:tcPr>
        <w:p w:rsidR="00AC44FB" w:rsidRDefault="004716A9" w:rsidP="00E669E2">
          <w:pPr>
            <w:pStyle w:val="HeaderOdd"/>
          </w:pPr>
        </w:p>
      </w:tc>
    </w:tr>
  </w:tbl>
  <w:p w:rsidR="00AC44FB" w:rsidRDefault="004716A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2"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5" w15:restartNumberingAfterBreak="0">
    <w:nsid w:val="23FF358D"/>
    <w:multiLevelType w:val="singleLevel"/>
    <w:tmpl w:val="849CD80E"/>
    <w:lvl w:ilvl="0">
      <w:start w:val="1"/>
      <w:numFmt w:val="bullet"/>
      <w:pStyle w:val="RecBBullet"/>
      <w:lvlText w:val=""/>
      <w:lvlJc w:val="left"/>
      <w:pPr>
        <w:tabs>
          <w:tab w:val="num" w:pos="360"/>
        </w:tabs>
        <w:ind w:left="340" w:hanging="340"/>
      </w:pPr>
      <w:rPr>
        <w:rFonts w:ascii="Symbol" w:hAnsi="Symbol" w:hint="default"/>
        <w:b w:val="0"/>
        <w:i w:val="0"/>
        <w:sz w:val="18"/>
      </w:rPr>
    </w:lvl>
  </w:abstractNum>
  <w:abstractNum w:abstractNumId="6"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0"/>
  </w:num>
  <w:num w:numId="3">
    <w:abstractNumId w:val="5"/>
  </w:num>
  <w:num w:numId="4">
    <w:abstractNumId w:val="4"/>
  </w:num>
  <w:num w:numId="5">
    <w:abstractNumId w:val="7"/>
  </w:num>
  <w:num w:numId="6">
    <w:abstractNumId w:val="1"/>
  </w:num>
  <w:num w:numId="7">
    <w:abstractNumId w:val="13"/>
  </w:num>
  <w:num w:numId="8">
    <w:abstractNumId w:val="12"/>
  </w:num>
  <w:num w:numId="9">
    <w:abstractNumId w:val="2"/>
  </w:num>
  <w:num w:numId="10">
    <w:abstractNumId w:val="6"/>
  </w:num>
  <w:num w:numId="11">
    <w:abstractNumId w:val="14"/>
  </w:num>
  <w:num w:numId="12">
    <w:abstractNumId w:val="9"/>
  </w:num>
  <w:num w:numId="13">
    <w:abstractNumId w:val="8"/>
  </w:num>
  <w:num w:numId="14">
    <w:abstractNumId w:val="0"/>
  </w:num>
  <w:num w:numId="15">
    <w:abstractNumId w:val="3"/>
  </w:num>
  <w:num w:numId="16">
    <w:abstractNumId w:val="11"/>
  </w:num>
  <w:num w:numId="17">
    <w:abstractNumId w:val="1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mirrorMargin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4DD"/>
    <w:rsid w:val="00017AFC"/>
    <w:rsid w:val="00025878"/>
    <w:rsid w:val="00026B38"/>
    <w:rsid w:val="000502D3"/>
    <w:rsid w:val="00052CB2"/>
    <w:rsid w:val="00054D29"/>
    <w:rsid w:val="000623BF"/>
    <w:rsid w:val="000779EB"/>
    <w:rsid w:val="00095EEA"/>
    <w:rsid w:val="00097C15"/>
    <w:rsid w:val="000A0A0E"/>
    <w:rsid w:val="000A5E12"/>
    <w:rsid w:val="000B416E"/>
    <w:rsid w:val="000C203E"/>
    <w:rsid w:val="000C54DD"/>
    <w:rsid w:val="000F185F"/>
    <w:rsid w:val="000F2F5F"/>
    <w:rsid w:val="00106041"/>
    <w:rsid w:val="0010611E"/>
    <w:rsid w:val="00122FE9"/>
    <w:rsid w:val="00131572"/>
    <w:rsid w:val="00131D4F"/>
    <w:rsid w:val="0013399B"/>
    <w:rsid w:val="00180515"/>
    <w:rsid w:val="00181F4B"/>
    <w:rsid w:val="00190919"/>
    <w:rsid w:val="00196FB3"/>
    <w:rsid w:val="001A5071"/>
    <w:rsid w:val="001B4E73"/>
    <w:rsid w:val="001B7F1E"/>
    <w:rsid w:val="001D4B1F"/>
    <w:rsid w:val="001D6629"/>
    <w:rsid w:val="001E3390"/>
    <w:rsid w:val="001F2270"/>
    <w:rsid w:val="00203B40"/>
    <w:rsid w:val="002059B2"/>
    <w:rsid w:val="00205A82"/>
    <w:rsid w:val="00211BEE"/>
    <w:rsid w:val="002179C6"/>
    <w:rsid w:val="00261607"/>
    <w:rsid w:val="00263DD1"/>
    <w:rsid w:val="00264D3B"/>
    <w:rsid w:val="00265685"/>
    <w:rsid w:val="00271B0C"/>
    <w:rsid w:val="00281D5F"/>
    <w:rsid w:val="002923AD"/>
    <w:rsid w:val="002930E2"/>
    <w:rsid w:val="00296592"/>
    <w:rsid w:val="002A0A4B"/>
    <w:rsid w:val="002A499E"/>
    <w:rsid w:val="002B636E"/>
    <w:rsid w:val="002B64D6"/>
    <w:rsid w:val="002C12F5"/>
    <w:rsid w:val="002C42AF"/>
    <w:rsid w:val="002D6FCE"/>
    <w:rsid w:val="00340511"/>
    <w:rsid w:val="0038647D"/>
    <w:rsid w:val="00391242"/>
    <w:rsid w:val="00393A49"/>
    <w:rsid w:val="003B1BEA"/>
    <w:rsid w:val="003B41E0"/>
    <w:rsid w:val="003C3D73"/>
    <w:rsid w:val="003D624D"/>
    <w:rsid w:val="003E7802"/>
    <w:rsid w:val="0042007A"/>
    <w:rsid w:val="00433C81"/>
    <w:rsid w:val="00446D6B"/>
    <w:rsid w:val="00457B3F"/>
    <w:rsid w:val="00463022"/>
    <w:rsid w:val="004716A9"/>
    <w:rsid w:val="00481CF0"/>
    <w:rsid w:val="004B492A"/>
    <w:rsid w:val="004C0B0C"/>
    <w:rsid w:val="004D3F58"/>
    <w:rsid w:val="004E52E2"/>
    <w:rsid w:val="004E6BB4"/>
    <w:rsid w:val="004E7D3C"/>
    <w:rsid w:val="00515D43"/>
    <w:rsid w:val="0052544D"/>
    <w:rsid w:val="00526B19"/>
    <w:rsid w:val="00551FB8"/>
    <w:rsid w:val="005537F6"/>
    <w:rsid w:val="00560F43"/>
    <w:rsid w:val="005654D0"/>
    <w:rsid w:val="00585B3F"/>
    <w:rsid w:val="005B17AB"/>
    <w:rsid w:val="005C68FE"/>
    <w:rsid w:val="005F7D30"/>
    <w:rsid w:val="00602523"/>
    <w:rsid w:val="006040CB"/>
    <w:rsid w:val="00604351"/>
    <w:rsid w:val="00607D8A"/>
    <w:rsid w:val="0061590F"/>
    <w:rsid w:val="006362BA"/>
    <w:rsid w:val="00636390"/>
    <w:rsid w:val="00636497"/>
    <w:rsid w:val="00641AE2"/>
    <w:rsid w:val="0064456A"/>
    <w:rsid w:val="00650DDA"/>
    <w:rsid w:val="0065126A"/>
    <w:rsid w:val="00653FA6"/>
    <w:rsid w:val="0067557D"/>
    <w:rsid w:val="006802D4"/>
    <w:rsid w:val="00683849"/>
    <w:rsid w:val="00691AB5"/>
    <w:rsid w:val="006D461D"/>
    <w:rsid w:val="006E1E6B"/>
    <w:rsid w:val="006F0EAC"/>
    <w:rsid w:val="006F6A85"/>
    <w:rsid w:val="0070311F"/>
    <w:rsid w:val="0070328D"/>
    <w:rsid w:val="00731F96"/>
    <w:rsid w:val="00734127"/>
    <w:rsid w:val="00735FEA"/>
    <w:rsid w:val="00743460"/>
    <w:rsid w:val="00743A27"/>
    <w:rsid w:val="007448F7"/>
    <w:rsid w:val="00753DC6"/>
    <w:rsid w:val="0075578C"/>
    <w:rsid w:val="00766DFB"/>
    <w:rsid w:val="007734B5"/>
    <w:rsid w:val="007809B8"/>
    <w:rsid w:val="007813A6"/>
    <w:rsid w:val="007D5BA5"/>
    <w:rsid w:val="00805FD7"/>
    <w:rsid w:val="00806E54"/>
    <w:rsid w:val="008206EE"/>
    <w:rsid w:val="008214B1"/>
    <w:rsid w:val="008273A9"/>
    <w:rsid w:val="00836ED7"/>
    <w:rsid w:val="0084355E"/>
    <w:rsid w:val="008453AC"/>
    <w:rsid w:val="00860D09"/>
    <w:rsid w:val="00862044"/>
    <w:rsid w:val="00880BF7"/>
    <w:rsid w:val="0089269F"/>
    <w:rsid w:val="008A2133"/>
    <w:rsid w:val="008A3857"/>
    <w:rsid w:val="008B2205"/>
    <w:rsid w:val="008C08EF"/>
    <w:rsid w:val="008C305F"/>
    <w:rsid w:val="008C3AD2"/>
    <w:rsid w:val="008C7C3D"/>
    <w:rsid w:val="008D6F66"/>
    <w:rsid w:val="008E1BEA"/>
    <w:rsid w:val="008E242D"/>
    <w:rsid w:val="008E43D2"/>
    <w:rsid w:val="008E43D4"/>
    <w:rsid w:val="008E5248"/>
    <w:rsid w:val="008F04C9"/>
    <w:rsid w:val="008F7C50"/>
    <w:rsid w:val="008F7DB7"/>
    <w:rsid w:val="009064D3"/>
    <w:rsid w:val="00915300"/>
    <w:rsid w:val="00927B1A"/>
    <w:rsid w:val="00933B0C"/>
    <w:rsid w:val="00935676"/>
    <w:rsid w:val="0098401D"/>
    <w:rsid w:val="009A789F"/>
    <w:rsid w:val="009B12EF"/>
    <w:rsid w:val="009B48F7"/>
    <w:rsid w:val="009B6185"/>
    <w:rsid w:val="009C6C6D"/>
    <w:rsid w:val="009E1E78"/>
    <w:rsid w:val="009F4517"/>
    <w:rsid w:val="00A073FF"/>
    <w:rsid w:val="00A1597D"/>
    <w:rsid w:val="00A22CD0"/>
    <w:rsid w:val="00A46989"/>
    <w:rsid w:val="00A469AA"/>
    <w:rsid w:val="00A71CE9"/>
    <w:rsid w:val="00A72A19"/>
    <w:rsid w:val="00A75A30"/>
    <w:rsid w:val="00A76217"/>
    <w:rsid w:val="00A93C82"/>
    <w:rsid w:val="00AB2A48"/>
    <w:rsid w:val="00AC3236"/>
    <w:rsid w:val="00AD4874"/>
    <w:rsid w:val="00AE1F8A"/>
    <w:rsid w:val="00B036B2"/>
    <w:rsid w:val="00B04D19"/>
    <w:rsid w:val="00B153C3"/>
    <w:rsid w:val="00B22087"/>
    <w:rsid w:val="00B64D67"/>
    <w:rsid w:val="00B722F2"/>
    <w:rsid w:val="00B80355"/>
    <w:rsid w:val="00B90958"/>
    <w:rsid w:val="00B95339"/>
    <w:rsid w:val="00BA0B81"/>
    <w:rsid w:val="00BA311E"/>
    <w:rsid w:val="00BB334E"/>
    <w:rsid w:val="00BB5DCF"/>
    <w:rsid w:val="00BC2476"/>
    <w:rsid w:val="00BD1636"/>
    <w:rsid w:val="00BF59EA"/>
    <w:rsid w:val="00BF79CD"/>
    <w:rsid w:val="00C058AB"/>
    <w:rsid w:val="00C0721B"/>
    <w:rsid w:val="00C34C8C"/>
    <w:rsid w:val="00C50792"/>
    <w:rsid w:val="00C51371"/>
    <w:rsid w:val="00C55A45"/>
    <w:rsid w:val="00C64B94"/>
    <w:rsid w:val="00C670DE"/>
    <w:rsid w:val="00C81F24"/>
    <w:rsid w:val="00C904D9"/>
    <w:rsid w:val="00C94C06"/>
    <w:rsid w:val="00CA48BF"/>
    <w:rsid w:val="00CB3ACC"/>
    <w:rsid w:val="00CB4745"/>
    <w:rsid w:val="00CD2163"/>
    <w:rsid w:val="00CD4FE7"/>
    <w:rsid w:val="00CD5E6B"/>
    <w:rsid w:val="00CE32F2"/>
    <w:rsid w:val="00CE4FBC"/>
    <w:rsid w:val="00CE5D96"/>
    <w:rsid w:val="00CE7344"/>
    <w:rsid w:val="00CF26EE"/>
    <w:rsid w:val="00D310F0"/>
    <w:rsid w:val="00D37AC2"/>
    <w:rsid w:val="00D500A9"/>
    <w:rsid w:val="00D61180"/>
    <w:rsid w:val="00D63227"/>
    <w:rsid w:val="00D64121"/>
    <w:rsid w:val="00D67119"/>
    <w:rsid w:val="00D732FE"/>
    <w:rsid w:val="00D74E25"/>
    <w:rsid w:val="00D772E9"/>
    <w:rsid w:val="00D82E10"/>
    <w:rsid w:val="00D969AE"/>
    <w:rsid w:val="00DA31AB"/>
    <w:rsid w:val="00DA3281"/>
    <w:rsid w:val="00DA6D3E"/>
    <w:rsid w:val="00DC02E8"/>
    <w:rsid w:val="00DC75C7"/>
    <w:rsid w:val="00DC78D3"/>
    <w:rsid w:val="00DD1077"/>
    <w:rsid w:val="00DE1760"/>
    <w:rsid w:val="00DF00FE"/>
    <w:rsid w:val="00DF4592"/>
    <w:rsid w:val="00E11C15"/>
    <w:rsid w:val="00E15FDC"/>
    <w:rsid w:val="00E2651B"/>
    <w:rsid w:val="00E30DDB"/>
    <w:rsid w:val="00E425A1"/>
    <w:rsid w:val="00E6632E"/>
    <w:rsid w:val="00E71452"/>
    <w:rsid w:val="00E90CF2"/>
    <w:rsid w:val="00EC38C1"/>
    <w:rsid w:val="00EC628B"/>
    <w:rsid w:val="00ED0F61"/>
    <w:rsid w:val="00EE3F6D"/>
    <w:rsid w:val="00EE73E1"/>
    <w:rsid w:val="00F07F4E"/>
    <w:rsid w:val="00F12107"/>
    <w:rsid w:val="00F13165"/>
    <w:rsid w:val="00F4234E"/>
    <w:rsid w:val="00F61429"/>
    <w:rsid w:val="00F7477E"/>
    <w:rsid w:val="00F77526"/>
    <w:rsid w:val="00F82270"/>
    <w:rsid w:val="00F85393"/>
    <w:rsid w:val="00FA4A24"/>
    <w:rsid w:val="00FC41B4"/>
    <w:rsid w:val="00FC5A6B"/>
    <w:rsid w:val="00FD06C0"/>
    <w:rsid w:val="00FD4728"/>
    <w:rsid w:val="00FD741A"/>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5:docId w15:val="{1D7F01C7-9387-4907-B5C0-03A0A580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461D"/>
    <w:rPr>
      <w:sz w:val="24"/>
      <w:szCs w:val="24"/>
    </w:rPr>
  </w:style>
  <w:style w:type="paragraph" w:styleId="Heading1">
    <w:name w:val="heading 1"/>
    <w:basedOn w:val="Normal"/>
    <w:next w:val="BodyText"/>
    <w:qFormat/>
    <w:rsid w:val="00F7477E"/>
    <w:pPr>
      <w:keepNext/>
      <w:spacing w:before="160" w:after="1360" w:line="600" w:lineRule="exact"/>
      <w:ind w:left="907" w:hanging="907"/>
      <w:outlineLvl w:val="0"/>
    </w:pPr>
    <w:rPr>
      <w:kern w:val="28"/>
      <w:sz w:val="52"/>
    </w:rPr>
  </w:style>
  <w:style w:type="paragraph" w:styleId="Heading2">
    <w:name w:val="heading 2"/>
    <w:basedOn w:val="Chapter"/>
    <w:next w:val="BodyText"/>
    <w:link w:val="Heading2Char"/>
    <w:qFormat/>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pPr>
      <w:spacing w:before="560" w:line="320" w:lineRule="exact"/>
      <w:ind w:left="0" w:firstLine="0"/>
      <w:outlineLvl w:val="2"/>
    </w:pPr>
    <w:rPr>
      <w:sz w:val="26"/>
    </w:rPr>
  </w:style>
  <w:style w:type="paragraph" w:styleId="Heading4">
    <w:name w:val="heading 4"/>
    <w:basedOn w:val="Heading3"/>
    <w:next w:val="BodyText"/>
    <w:qFormat/>
    <w:pPr>
      <w:spacing w:before="480"/>
      <w:outlineLvl w:val="3"/>
    </w:pPr>
    <w:rPr>
      <w:b w:val="0"/>
      <w:i/>
      <w:sz w:val="24"/>
    </w:rPr>
  </w:style>
  <w:style w:type="paragraph" w:styleId="Heading5">
    <w:name w:val="heading 5"/>
    <w:basedOn w:val="Heading4"/>
    <w:next w:val="BodyText"/>
    <w:qFormat/>
    <w:pPr>
      <w:outlineLvl w:val="4"/>
    </w:pPr>
    <w:rPr>
      <w:rFonts w:ascii="Times New Roman" w:hAnsi="Times New Roman"/>
      <w:sz w:val="26"/>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sz w:val="20"/>
    </w:rPr>
  </w:style>
  <w:style w:type="paragraph" w:styleId="Heading8">
    <w:name w:val="heading 8"/>
    <w:basedOn w:val="Normal"/>
    <w:next w:val="Normal"/>
    <w:semiHidden/>
    <w:qFormat/>
    <w:pPr>
      <w:spacing w:before="240" w:after="60"/>
      <w:outlineLvl w:val="7"/>
    </w:pPr>
    <w:rPr>
      <w:rFonts w:ascii="Arial" w:hAnsi="Arial"/>
      <w:i/>
      <w:sz w:val="20"/>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new legislation style,Body Text Char2 Char,Body Text Char Char1 Char,Body Text Char2 Char Char Char1,Body Text Char1 Char1 Char Char Char1,Body Text Char Char Char1 Char Char Char1,Body Text Char1 Char Char Char Char Char Char1,Body Text Char1"/>
    <w:link w:val="BodyTextChar"/>
    <w:qFormat/>
    <w:rsid w:val="0010611E"/>
    <w:pPr>
      <w:spacing w:before="240" w:line="300" w:lineRule="atLeast"/>
      <w:jc w:val="both"/>
    </w:pPr>
    <w:rPr>
      <w:sz w:val="24"/>
    </w:rPr>
  </w:style>
  <w:style w:type="paragraph" w:customStyle="1" w:styleId="Abbreviation">
    <w:name w:val="Abbreviation"/>
    <w:basedOn w:val="BodyText"/>
    <w:pPr>
      <w:spacing w:before="120"/>
      <w:ind w:left="2381" w:hanging="2381"/>
      <w:jc w:val="left"/>
    </w:pPr>
  </w:style>
  <w:style w:type="paragraph" w:customStyle="1" w:styleId="Box">
    <w:name w:val="Box"/>
    <w:basedOn w:val="BodyText"/>
    <w:qFormat/>
    <w:rsid w:val="0010611E"/>
    <w:pPr>
      <w:keepNext/>
      <w:spacing w:before="120" w:line="260" w:lineRule="atLeast"/>
    </w:pPr>
    <w:rPr>
      <w:rFonts w:ascii="Arial" w:hAnsi="Arial"/>
      <w:sz w:val="20"/>
    </w:rPr>
  </w:style>
  <w:style w:type="paragraph" w:customStyle="1" w:styleId="Note">
    <w:name w:val="Note"/>
    <w:basedOn w:val="BodyText"/>
    <w:next w:val="BodyText"/>
    <w:rsid w:val="0010611E"/>
    <w:pPr>
      <w:keepLines/>
      <w:spacing w:before="80" w:line="220" w:lineRule="exact"/>
    </w:pPr>
    <w:rPr>
      <w:rFonts w:ascii="Arial" w:hAnsi="Arial"/>
      <w:sz w:val="18"/>
    </w:rPr>
  </w:style>
  <w:style w:type="paragraph" w:customStyle="1" w:styleId="Source">
    <w:name w:val="Source"/>
    <w:basedOn w:val="Normal"/>
    <w:next w:val="BodyText"/>
    <w:rsid w:val="0010611E"/>
    <w:pPr>
      <w:keepLines/>
      <w:spacing w:before="80" w:line="220" w:lineRule="exact"/>
      <w:jc w:val="both"/>
    </w:pPr>
    <w:rPr>
      <w:rFonts w:ascii="Arial" w:hAnsi="Arial"/>
      <w:sz w:val="18"/>
    </w:rPr>
  </w:style>
  <w:style w:type="paragraph" w:customStyle="1" w:styleId="BoxSource">
    <w:name w:val="Box Source"/>
    <w:basedOn w:val="Source"/>
    <w:next w:val="BodyText"/>
    <w:rsid w:val="0010611E"/>
    <w:pPr>
      <w:spacing w:before="120"/>
    </w:pPr>
  </w:style>
  <w:style w:type="paragraph" w:customStyle="1" w:styleId="BoxContinued">
    <w:name w:val="Box Continued"/>
    <w:basedOn w:val="Normal"/>
    <w:next w:val="BodyText"/>
    <w:pPr>
      <w:spacing w:before="180" w:line="220" w:lineRule="exact"/>
      <w:jc w:val="right"/>
    </w:pPr>
    <w:rPr>
      <w:rFonts w:ascii="Arial" w:hAnsi="Arial"/>
      <w:sz w:val="18"/>
    </w:rPr>
  </w:style>
  <w:style w:type="paragraph" w:customStyle="1" w:styleId="BoxHeading1">
    <w:name w:val="Box Heading 1"/>
    <w:basedOn w:val="BodyText"/>
    <w:next w:val="Box"/>
    <w:rsid w:val="0010611E"/>
    <w:pPr>
      <w:keepNext/>
      <w:spacing w:before="200" w:line="280" w:lineRule="atLeast"/>
    </w:pPr>
    <w:rPr>
      <w:rFonts w:ascii="Arial" w:hAnsi="Arial"/>
      <w:b/>
      <w:sz w:val="22"/>
    </w:rPr>
  </w:style>
  <w:style w:type="paragraph" w:customStyle="1" w:styleId="BoxHeading2">
    <w:name w:val="Box Heading 2"/>
    <w:basedOn w:val="BoxHeading1"/>
    <w:next w:val="Normal"/>
    <w:rsid w:val="0010611E"/>
    <w:rPr>
      <w:b w:val="0"/>
      <w:i/>
    </w:rPr>
  </w:style>
  <w:style w:type="paragraph" w:customStyle="1" w:styleId="BoxListBullet">
    <w:name w:val="Box List Bullet"/>
    <w:basedOn w:val="BodyText"/>
    <w:rsid w:val="0010611E"/>
    <w:pPr>
      <w:keepNext/>
      <w:numPr>
        <w:numId w:val="5"/>
      </w:numPr>
      <w:spacing w:before="100" w:line="260" w:lineRule="atLeast"/>
    </w:pPr>
    <w:rPr>
      <w:rFonts w:ascii="Arial" w:hAnsi="Arial"/>
      <w:sz w:val="20"/>
    </w:rPr>
  </w:style>
  <w:style w:type="paragraph" w:customStyle="1" w:styleId="BoxListBullet2">
    <w:name w:val="Box List Bullet 2"/>
    <w:basedOn w:val="BoxListBullet"/>
    <w:rsid w:val="0010611E"/>
    <w:pPr>
      <w:numPr>
        <w:numId w:val="6"/>
      </w:numPr>
    </w:pPr>
  </w:style>
  <w:style w:type="paragraph" w:customStyle="1" w:styleId="BoxListNumber">
    <w:name w:val="Box List Number"/>
    <w:basedOn w:val="BodyText"/>
    <w:rsid w:val="0010611E"/>
    <w:pPr>
      <w:keepNext/>
      <w:numPr>
        <w:numId w:val="9"/>
      </w:numPr>
      <w:spacing w:before="100" w:line="260" w:lineRule="atLeast"/>
    </w:pPr>
    <w:rPr>
      <w:rFonts w:ascii="Arial" w:hAnsi="Arial"/>
      <w:sz w:val="20"/>
    </w:rPr>
  </w:style>
  <w:style w:type="paragraph" w:customStyle="1" w:styleId="BoxListNumber2">
    <w:name w:val="Box List Number 2"/>
    <w:basedOn w:val="BoxListNumber"/>
    <w:rsid w:val="0010611E"/>
    <w:pPr>
      <w:numPr>
        <w:ilvl w:val="1"/>
      </w:numPr>
    </w:pPr>
  </w:style>
  <w:style w:type="paragraph" w:customStyle="1" w:styleId="BoxQuote">
    <w:name w:val="Box Quote"/>
    <w:basedOn w:val="BodyText"/>
    <w:next w:val="Box"/>
    <w:qFormat/>
    <w:rsid w:val="0010611E"/>
    <w:pPr>
      <w:keepNext/>
      <w:spacing w:before="60" w:line="240" w:lineRule="exact"/>
      <w:ind w:left="284"/>
    </w:pPr>
    <w:rPr>
      <w:rFonts w:ascii="Arial" w:hAnsi="Arial"/>
      <w:sz w:val="18"/>
    </w:rPr>
  </w:style>
  <w:style w:type="paragraph" w:customStyle="1" w:styleId="BoxSpace">
    <w:name w:val="Box Space"/>
    <w:basedOn w:val="Normal"/>
    <w:pPr>
      <w:keepNext/>
      <w:spacing w:before="360" w:line="80" w:lineRule="exact"/>
    </w:pPr>
  </w:style>
  <w:style w:type="paragraph" w:styleId="Caption">
    <w:name w:val="caption"/>
    <w:basedOn w:val="Normal"/>
    <w:next w:val="BodyText"/>
    <w:qFormat/>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10611E"/>
    <w:pPr>
      <w:spacing w:before="120" w:after="0"/>
    </w:pPr>
  </w:style>
  <w:style w:type="paragraph" w:customStyle="1" w:styleId="BoxSubtitle">
    <w:name w:val="Box Subtitle"/>
    <w:basedOn w:val="BoxTitle"/>
    <w:next w:val="Normal"/>
    <w:rsid w:val="0010611E"/>
    <w:pPr>
      <w:spacing w:after="80" w:line="200" w:lineRule="exact"/>
      <w:ind w:firstLine="0"/>
    </w:pPr>
    <w:rPr>
      <w:b w:val="0"/>
      <w:sz w:val="20"/>
    </w:rPr>
  </w:style>
  <w:style w:type="paragraph" w:customStyle="1" w:styleId="Chapter">
    <w:name w:val="Chapter"/>
    <w:basedOn w:val="Heading1"/>
    <w:next w:val="BodyText"/>
    <w:semiHidden/>
    <w:rsid w:val="0010611E"/>
    <w:pPr>
      <w:ind w:left="0" w:firstLine="0"/>
      <w:outlineLvl w:val="9"/>
    </w:pPr>
    <w:rPr>
      <w:kern w:val="0"/>
    </w:rPr>
  </w:style>
  <w:style w:type="paragraph" w:customStyle="1" w:styleId="ChapterSummary">
    <w:name w:val="Chapter Summary"/>
    <w:basedOn w:val="BodyText"/>
    <w:rsid w:val="0010611E"/>
    <w:pPr>
      <w:spacing w:line="280" w:lineRule="atLeast"/>
      <w:ind w:left="907"/>
    </w:pPr>
    <w:rPr>
      <w:rFonts w:ascii="Arial" w:hAnsi="Arial"/>
      <w:b/>
      <w:sz w:val="20"/>
    </w:rPr>
  </w:style>
  <w:style w:type="character" w:styleId="CommentReference">
    <w:name w:val="annotation reference"/>
    <w:semiHidden/>
    <w:rPr>
      <w:b/>
      <w:vanish/>
      <w:color w:val="FF00FF"/>
      <w:sz w:val="20"/>
    </w:rPr>
  </w:style>
  <w:style w:type="paragraph" w:styleId="CommentText">
    <w:name w:val="annotation text"/>
    <w:basedOn w:val="Normal"/>
    <w:link w:val="CommentTextChar"/>
    <w:semiHidden/>
    <w:pPr>
      <w:spacing w:before="120" w:line="240" w:lineRule="atLeast"/>
      <w:ind w:left="567" w:hanging="567"/>
    </w:pPr>
    <w:rPr>
      <w:sz w:val="20"/>
    </w:rPr>
  </w:style>
  <w:style w:type="paragraph" w:customStyle="1" w:styleId="Continued">
    <w:name w:val="Continued"/>
    <w:basedOn w:val="Normal"/>
    <w:next w:val="BodyText"/>
    <w:rsid w:val="0010611E"/>
    <w:pPr>
      <w:spacing w:before="180" w:line="220" w:lineRule="exact"/>
      <w:jc w:val="right"/>
    </w:pPr>
    <w:rPr>
      <w:rFonts w:ascii="Arial" w:hAnsi="Arial"/>
      <w:sz w:val="18"/>
    </w:rPr>
  </w:style>
  <w:style w:type="paragraph" w:customStyle="1" w:styleId="DocInfo">
    <w:name w:val="Doc Info"/>
    <w:basedOn w:val="Normal"/>
    <w:next w:val="Normal"/>
    <w:semiHidden/>
    <w:pPr>
      <w:jc w:val="center"/>
    </w:pPr>
    <w:rPr>
      <w:rFonts w:ascii="Arial" w:hAnsi="Arial"/>
      <w:sz w:val="14"/>
    </w:rPr>
  </w:style>
  <w:style w:type="paragraph" w:styleId="Footer">
    <w:name w:val="footer"/>
    <w:basedOn w:val="Normal"/>
    <w:link w:val="FooterChar"/>
    <w:rsid w:val="008273A9"/>
    <w:pPr>
      <w:spacing w:before="80" w:line="200" w:lineRule="exact"/>
      <w:ind w:right="6"/>
    </w:pPr>
    <w:rPr>
      <w:rFonts w:ascii="Arial" w:hAnsi="Arial"/>
      <w:caps/>
      <w:spacing w:val="-4"/>
      <w:sz w:val="16"/>
    </w:rPr>
  </w:style>
  <w:style w:type="character" w:customStyle="1" w:styleId="DocumentInfo">
    <w:name w:val="Document Info"/>
    <w:semiHidden/>
    <w:rPr>
      <w:rFonts w:ascii="Arial" w:hAnsi="Arial"/>
      <w:sz w:val="14"/>
    </w:rPr>
  </w:style>
  <w:style w:type="character" w:customStyle="1" w:styleId="DraftingNote">
    <w:name w:val="Drafting Note"/>
    <w:rPr>
      <w:b/>
      <w:color w:val="FF0000"/>
      <w:sz w:val="24"/>
      <w:u w:val="dotted"/>
    </w:rPr>
  </w:style>
  <w:style w:type="paragraph" w:customStyle="1" w:styleId="Figure">
    <w:name w:val="Figure"/>
    <w:basedOn w:val="BodyText"/>
    <w:pPr>
      <w:keepNext/>
      <w:spacing w:before="120" w:after="120" w:line="240" w:lineRule="atLeast"/>
      <w:jc w:val="center"/>
    </w:pPr>
  </w:style>
  <w:style w:type="paragraph" w:customStyle="1" w:styleId="FigureTitle">
    <w:name w:val="Figure Title"/>
    <w:basedOn w:val="Caption"/>
    <w:next w:val="Subtitle"/>
    <w:rsid w:val="0010611E"/>
    <w:pPr>
      <w:spacing w:before="120"/>
    </w:pPr>
  </w:style>
  <w:style w:type="paragraph" w:styleId="Subtitle">
    <w:name w:val="Subtitle"/>
    <w:basedOn w:val="Normal"/>
    <w:next w:val="Normal"/>
    <w:link w:val="SubtitleChar"/>
    <w:qFormat/>
    <w:rsid w:val="0010611E"/>
    <w:pPr>
      <w:numPr>
        <w:ilvl w:val="1"/>
      </w:numPr>
    </w:pPr>
    <w:rPr>
      <w:rFonts w:asciiTheme="majorHAnsi" w:eastAsiaTheme="majorEastAsia" w:hAnsiTheme="majorHAnsi" w:cstheme="majorBidi"/>
      <w:i/>
      <w:iCs/>
      <w:color w:val="78A22F" w:themeColor="accent1"/>
      <w:spacing w:val="15"/>
    </w:rPr>
  </w:style>
  <w:style w:type="paragraph" w:customStyle="1" w:styleId="Finding">
    <w:name w:val="Finding"/>
    <w:basedOn w:val="BodyText"/>
    <w:rsid w:val="0010611E"/>
    <w:pPr>
      <w:keepLines/>
      <w:spacing w:before="120" w:line="280" w:lineRule="atLeast"/>
    </w:pPr>
    <w:rPr>
      <w:rFonts w:ascii="Arial" w:hAnsi="Arial"/>
      <w:sz w:val="22"/>
    </w:rPr>
  </w:style>
  <w:style w:type="paragraph" w:customStyle="1" w:styleId="FindingBullet">
    <w:name w:val="Finding Bullet"/>
    <w:basedOn w:val="Finding"/>
    <w:rsid w:val="0010611E"/>
    <w:pPr>
      <w:numPr>
        <w:numId w:val="11"/>
      </w:numPr>
      <w:spacing w:before="80"/>
    </w:pPr>
  </w:style>
  <w:style w:type="paragraph" w:customStyle="1" w:styleId="FindingNoTitle">
    <w:name w:val="Finding NoTitle"/>
    <w:basedOn w:val="Finding"/>
    <w:pPr>
      <w:spacing w:before="240"/>
    </w:pPr>
  </w:style>
  <w:style w:type="paragraph" w:customStyle="1" w:styleId="RecTitle">
    <w:name w:val="Rec Title"/>
    <w:basedOn w:val="BodyText"/>
    <w:next w:val="Normal"/>
    <w:qFormat/>
    <w:rsid w:val="0010611E"/>
    <w:pPr>
      <w:keepNext/>
      <w:keepLines/>
      <w:spacing w:line="280" w:lineRule="atLeast"/>
    </w:pPr>
    <w:rPr>
      <w:rFonts w:ascii="Arial" w:hAnsi="Arial"/>
      <w:caps/>
      <w:sz w:val="18"/>
    </w:rPr>
  </w:style>
  <w:style w:type="paragraph" w:customStyle="1" w:styleId="FindingTitle">
    <w:name w:val="Finding Title"/>
    <w:basedOn w:val="RecTitle"/>
    <w:next w:val="Finding"/>
    <w:rsid w:val="0010611E"/>
    <w:pPr>
      <w:framePr w:wrap="notBeside" w:hAnchor="text"/>
    </w:pPr>
  </w:style>
  <w:style w:type="paragraph" w:customStyle="1" w:styleId="FooterEnd">
    <w:name w:val="Footer End"/>
    <w:basedOn w:val="Footer"/>
    <w:pPr>
      <w:spacing w:before="0" w:line="20" w:lineRule="exact"/>
    </w:pPr>
  </w:style>
  <w:style w:type="character" w:styleId="FootnoteReference">
    <w:name w:val="footnote reference"/>
    <w:semiHidden/>
    <w:rPr>
      <w:rFonts w:ascii="Times New Roman" w:hAnsi="Times New Roman"/>
      <w:position w:val="6"/>
      <w:sz w:val="22"/>
      <w:vertAlign w:val="baseline"/>
    </w:rPr>
  </w:style>
  <w:style w:type="paragraph" w:styleId="FootnoteText">
    <w:name w:val="footnote text"/>
    <w:basedOn w:val="BodyText"/>
    <w:pPr>
      <w:tabs>
        <w:tab w:val="left" w:pos="284"/>
      </w:tabs>
      <w:spacing w:before="80" w:line="260" w:lineRule="exact"/>
      <w:ind w:left="170" w:hanging="170"/>
    </w:pPr>
    <w:rPr>
      <w:sz w:val="22"/>
    </w:rPr>
  </w:style>
  <w:style w:type="paragraph" w:customStyle="1" w:styleId="Heading2NotTOC">
    <w:name w:val="Heading 2 Not TOC"/>
    <w:basedOn w:val="Heading2"/>
    <w:next w:val="BodyText"/>
    <w:rsid w:val="000B416E"/>
  </w:style>
  <w:style w:type="paragraph" w:customStyle="1" w:styleId="HeaderEnd">
    <w:name w:val="Header End"/>
    <w:basedOn w:val="Header"/>
    <w:rsid w:val="005C68FE"/>
    <w:pPr>
      <w:spacing w:line="20" w:lineRule="exact"/>
    </w:pPr>
  </w:style>
  <w:style w:type="paragraph" w:customStyle="1" w:styleId="HeaderEven">
    <w:name w:val="Header Even"/>
    <w:basedOn w:val="Header"/>
  </w:style>
  <w:style w:type="paragraph" w:customStyle="1" w:styleId="HeaderOdd">
    <w:name w:val="Header Odd"/>
    <w:basedOn w:val="Header"/>
    <w:rsid w:val="00181F4B"/>
  </w:style>
  <w:style w:type="paragraph" w:customStyle="1" w:styleId="InformationRequest">
    <w:name w:val="Information Request"/>
    <w:basedOn w:val="Finding"/>
    <w:next w:val="BodyText"/>
    <w:rsid w:val="0010611E"/>
    <w:rPr>
      <w:i/>
    </w:rPr>
  </w:style>
  <w:style w:type="paragraph" w:styleId="ListBullet">
    <w:name w:val="List Bullet"/>
    <w:aliases w:val="List Bullet Char1,List Bullet Char Char,List Bullet Char1 Char Char,List Bullet1"/>
    <w:basedOn w:val="BodyText"/>
    <w:link w:val="ListBulletChar"/>
    <w:qFormat/>
    <w:rsid w:val="0010611E"/>
    <w:pPr>
      <w:numPr>
        <w:numId w:val="12"/>
      </w:numPr>
      <w:spacing w:before="120"/>
    </w:pPr>
  </w:style>
  <w:style w:type="paragraph" w:styleId="ListBullet2">
    <w:name w:val="List Bullet 2"/>
    <w:basedOn w:val="BodyText"/>
    <w:rsid w:val="0010611E"/>
    <w:pPr>
      <w:numPr>
        <w:numId w:val="14"/>
      </w:numPr>
      <w:spacing w:before="120"/>
    </w:pPr>
  </w:style>
  <w:style w:type="paragraph" w:styleId="ListBullet3">
    <w:name w:val="List Bullet 3"/>
    <w:basedOn w:val="BodyText"/>
    <w:rsid w:val="0010611E"/>
    <w:pPr>
      <w:numPr>
        <w:numId w:val="7"/>
      </w:numPr>
      <w:spacing w:before="120"/>
    </w:pPr>
  </w:style>
  <w:style w:type="paragraph" w:styleId="ListNumber">
    <w:name w:val="List Number"/>
    <w:basedOn w:val="BodyText"/>
    <w:rsid w:val="0010611E"/>
    <w:pPr>
      <w:numPr>
        <w:numId w:val="15"/>
      </w:numPr>
      <w:spacing w:before="120"/>
    </w:pPr>
  </w:style>
  <w:style w:type="paragraph" w:styleId="ListNumber2">
    <w:name w:val="List Number 2"/>
    <w:basedOn w:val="ListNumber"/>
    <w:rsid w:val="0010611E"/>
    <w:pPr>
      <w:numPr>
        <w:ilvl w:val="1"/>
      </w:numPr>
    </w:pPr>
  </w:style>
  <w:style w:type="paragraph" w:styleId="ListNumber3">
    <w:name w:val="List Number 3"/>
    <w:basedOn w:val="ListNumber2"/>
    <w:rsid w:val="0010611E"/>
    <w:pPr>
      <w:numPr>
        <w:ilvl w:val="2"/>
      </w:numPr>
    </w:pPr>
  </w:style>
  <w:style w:type="character" w:customStyle="1" w:styleId="NoteLabel">
    <w:name w:val="Note Label"/>
    <w:basedOn w:val="DefaultParagraphFont"/>
    <w:rsid w:val="0010611E"/>
    <w:rPr>
      <w:rFonts w:ascii="Arial" w:hAnsi="Arial"/>
      <w:b/>
      <w:position w:val="6"/>
      <w:sz w:val="18"/>
    </w:rPr>
  </w:style>
  <w:style w:type="character" w:styleId="PageNumber">
    <w:name w:val="page number"/>
    <w:rsid w:val="008273A9"/>
    <w:rPr>
      <w:rFonts w:ascii="Arial" w:hAnsi="Arial"/>
      <w:b/>
      <w:caps w:val="0"/>
      <w:smallCaps w:val="0"/>
      <w:sz w:val="16"/>
    </w:rPr>
  </w:style>
  <w:style w:type="paragraph" w:customStyle="1" w:styleId="PartDivider">
    <w:name w:val="Part Divider"/>
    <w:basedOn w:val="Normal"/>
    <w:next w:val="Normal"/>
    <w:pPr>
      <w:spacing w:line="40" w:lineRule="exact"/>
      <w:jc w:val="right"/>
    </w:pPr>
    <w:rPr>
      <w:smallCaps/>
      <w:sz w:val="16"/>
    </w:rPr>
  </w:style>
  <w:style w:type="paragraph" w:customStyle="1" w:styleId="PartNumber">
    <w:name w:val="Part Number"/>
    <w:basedOn w:val="Normal"/>
    <w:next w:val="Normal"/>
    <w:pPr>
      <w:spacing w:before="4000" w:line="320" w:lineRule="exact"/>
      <w:ind w:left="6634"/>
      <w:jc w:val="right"/>
    </w:pPr>
    <w:rPr>
      <w:smallCaps/>
      <w:spacing w:val="60"/>
      <w:sz w:val="32"/>
    </w:rPr>
  </w:style>
  <w:style w:type="paragraph" w:customStyle="1" w:styleId="PartTitle">
    <w:name w:val="Part Title"/>
    <w:basedOn w:val="Normal"/>
    <w:pPr>
      <w:spacing w:before="160" w:after="1360" w:line="520" w:lineRule="exact"/>
      <w:ind w:right="2381"/>
      <w:jc w:val="right"/>
    </w:pPr>
    <w:rPr>
      <w:smallCaps/>
      <w:sz w:val="52"/>
    </w:rPr>
  </w:style>
  <w:style w:type="paragraph" w:styleId="Quote">
    <w:name w:val="Quote"/>
    <w:basedOn w:val="BodyText"/>
    <w:next w:val="BodyText"/>
    <w:link w:val="QuoteChar"/>
    <w:qFormat/>
    <w:rsid w:val="0010611E"/>
    <w:pPr>
      <w:spacing w:before="120" w:line="280" w:lineRule="exact"/>
      <w:ind w:left="340"/>
    </w:pPr>
    <w:rPr>
      <w:sz w:val="22"/>
    </w:rPr>
  </w:style>
  <w:style w:type="paragraph" w:customStyle="1" w:styleId="Rec">
    <w:name w:val="Rec"/>
    <w:basedOn w:val="BodyText"/>
    <w:qFormat/>
    <w:rsid w:val="0010611E"/>
    <w:pPr>
      <w:keepLines/>
      <w:spacing w:before="120" w:line="280" w:lineRule="atLeast"/>
    </w:pPr>
    <w:rPr>
      <w:rFonts w:ascii="Arial" w:hAnsi="Arial"/>
      <w:sz w:val="22"/>
    </w:rPr>
  </w:style>
  <w:style w:type="paragraph" w:customStyle="1" w:styleId="RecBullet">
    <w:name w:val="Rec Bullet"/>
    <w:basedOn w:val="Rec"/>
    <w:rsid w:val="0010611E"/>
    <w:pPr>
      <w:numPr>
        <w:numId w:val="17"/>
      </w:numPr>
      <w:spacing w:before="80"/>
    </w:pPr>
  </w:style>
  <w:style w:type="paragraph" w:customStyle="1" w:styleId="RecB">
    <w:name w:val="RecB"/>
    <w:basedOn w:val="Rec"/>
    <w:pPr>
      <w:pBdr>
        <w:left w:val="single" w:sz="24" w:space="12" w:color="C0C0C0"/>
      </w:pBdr>
    </w:pPr>
  </w:style>
  <w:style w:type="paragraph" w:customStyle="1" w:styleId="RecBBullet">
    <w:name w:val="RecB Bullet"/>
    <w:basedOn w:val="RecB"/>
    <w:pPr>
      <w:numPr>
        <w:numId w:val="3"/>
      </w:numPr>
      <w:spacing w:before="80"/>
    </w:pPr>
  </w:style>
  <w:style w:type="paragraph" w:customStyle="1" w:styleId="RecBNoTitle">
    <w:name w:val="RecB NoTitle"/>
    <w:basedOn w:val="RecB"/>
    <w:pPr>
      <w:spacing w:before="240"/>
    </w:pPr>
  </w:style>
  <w:style w:type="paragraph" w:customStyle="1" w:styleId="Reference">
    <w:name w:val="Reference"/>
    <w:basedOn w:val="BodyText"/>
    <w:rsid w:val="0010611E"/>
    <w:pPr>
      <w:spacing w:before="120"/>
      <w:ind w:left="340" w:hanging="340"/>
    </w:pPr>
  </w:style>
  <w:style w:type="paragraph" w:customStyle="1" w:styleId="SequenceInfo">
    <w:name w:val="Sequence Info"/>
    <w:basedOn w:val="Normal"/>
    <w:rPr>
      <w:vanish/>
      <w:sz w:val="16"/>
    </w:rPr>
  </w:style>
  <w:style w:type="paragraph" w:customStyle="1" w:styleId="SideNote">
    <w:name w:val="Side Note"/>
    <w:basedOn w:val="BodyText"/>
    <w:next w:val="BodyText"/>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pPr>
      <w:framePr w:wrap="around"/>
      <w:numPr>
        <w:numId w:val="4"/>
      </w:numPr>
      <w:tabs>
        <w:tab w:val="left" w:pos="227"/>
      </w:tabs>
    </w:pPr>
  </w:style>
  <w:style w:type="paragraph" w:customStyle="1" w:styleId="SideNoteGraphic">
    <w:name w:val="Side Note Graphic"/>
    <w:basedOn w:val="SideNote"/>
    <w:next w:val="BodyText"/>
    <w:pPr>
      <w:framePr w:wrap="around"/>
    </w:pPr>
  </w:style>
  <w:style w:type="paragraph" w:customStyle="1" w:styleId="TableBodyText">
    <w:name w:val="Table Body Text"/>
    <w:basedOn w:val="BodyText"/>
    <w:rsid w:val="0010611E"/>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10611E"/>
    <w:pPr>
      <w:numPr>
        <w:numId w:val="18"/>
      </w:numPr>
      <w:jc w:val="left"/>
    </w:pPr>
  </w:style>
  <w:style w:type="paragraph" w:customStyle="1" w:styleId="TableColumnHeading">
    <w:name w:val="Table Column Heading"/>
    <w:basedOn w:val="TableBodyText"/>
    <w:rsid w:val="0010611E"/>
    <w:pPr>
      <w:spacing w:before="80" w:after="80"/>
    </w:pPr>
    <w:rPr>
      <w:i/>
    </w:rPr>
  </w:style>
  <w:style w:type="paragraph" w:styleId="TOC2">
    <w:name w:val="toc 2"/>
    <w:basedOn w:val="TOC1"/>
    <w:uiPriority w:val="39"/>
    <w:rsid w:val="008B2205"/>
    <w:pPr>
      <w:ind w:left="1020"/>
    </w:pPr>
    <w:rPr>
      <w:b w:val="0"/>
    </w:rPr>
  </w:style>
  <w:style w:type="paragraph" w:styleId="TOC3">
    <w:name w:val="toc 3"/>
    <w:basedOn w:val="TOC2"/>
    <w:rsid w:val="00D772E9"/>
    <w:pPr>
      <w:spacing w:before="60"/>
      <w:ind w:left="1190" w:hanging="680"/>
    </w:pPr>
  </w:style>
  <w:style w:type="paragraph" w:styleId="TableofFigures">
    <w:name w:val="table of figures"/>
    <w:basedOn w:val="TOC3"/>
    <w:next w:val="BodyText"/>
    <w:rsid w:val="00B722F2"/>
    <w:pPr>
      <w:tabs>
        <w:tab w:val="left" w:pos="1191"/>
      </w:tabs>
      <w:ind w:left="737" w:hanging="737"/>
    </w:pPr>
  </w:style>
  <w:style w:type="paragraph" w:customStyle="1" w:styleId="TableTitle">
    <w:name w:val="Table Title"/>
    <w:basedOn w:val="Caption"/>
    <w:next w:val="Subtitle"/>
    <w:qFormat/>
    <w:rsid w:val="0010611E"/>
  </w:style>
  <w:style w:type="paragraph" w:customStyle="1" w:styleId="TableUnitsRow">
    <w:name w:val="Table Units Row"/>
    <w:basedOn w:val="TableBodyText"/>
    <w:rsid w:val="0010611E"/>
    <w:pPr>
      <w:spacing w:before="80" w:after="80"/>
    </w:pPr>
  </w:style>
  <w:style w:type="paragraph" w:styleId="TOC1">
    <w:name w:val="toc 1"/>
    <w:basedOn w:val="Normal"/>
    <w:next w:val="TOC2"/>
    <w:link w:val="TOC1Char"/>
    <w:uiPriority w:val="39"/>
    <w:rsid w:val="00DD1077"/>
    <w:pPr>
      <w:tabs>
        <w:tab w:val="right" w:pos="8789"/>
      </w:tabs>
      <w:spacing w:before="120" w:line="320" w:lineRule="exact"/>
      <w:ind w:left="510" w:right="851" w:hanging="510"/>
    </w:pPr>
    <w:rPr>
      <w:rFonts w:ascii="Arial" w:hAnsi="Arial"/>
      <w:b/>
      <w:szCs w:val="26"/>
    </w:rPr>
  </w:style>
  <w:style w:type="paragraph" w:styleId="TOC4">
    <w:name w:val="toc 4"/>
    <w:basedOn w:val="TOC3"/>
    <w:autoRedefine/>
    <w:semiHidden/>
    <w:rsid w:val="00DA3281"/>
    <w:pPr>
      <w:ind w:left="765" w:firstLine="0"/>
    </w:pPr>
  </w:style>
  <w:style w:type="paragraph" w:styleId="Header">
    <w:name w:val="header"/>
    <w:basedOn w:val="Normal"/>
    <w:rsid w:val="00181F4B"/>
    <w:pPr>
      <w:tabs>
        <w:tab w:val="center" w:pos="4394"/>
        <w:tab w:val="right" w:pos="8789"/>
      </w:tabs>
      <w:spacing w:line="240" w:lineRule="atLeast"/>
    </w:pPr>
    <w:rPr>
      <w:rFonts w:ascii="Arial" w:hAnsi="Arial"/>
      <w:caps/>
      <w:sz w:val="16"/>
    </w:rPr>
  </w:style>
  <w:style w:type="paragraph" w:customStyle="1" w:styleId="QuoteBullet">
    <w:name w:val="Quote Bullet"/>
    <w:basedOn w:val="Quote"/>
    <w:rsid w:val="0010611E"/>
    <w:pPr>
      <w:numPr>
        <w:numId w:val="16"/>
      </w:numPr>
    </w:pPr>
  </w:style>
  <w:style w:type="paragraph" w:styleId="BalloonText">
    <w:name w:val="Balloon Text"/>
    <w:basedOn w:val="Normal"/>
    <w:semiHidden/>
    <w:rsid w:val="002B64D6"/>
    <w:rPr>
      <w:rFonts w:ascii="Tahoma" w:hAnsi="Tahoma" w:cs="Tahoma"/>
      <w:sz w:val="16"/>
      <w:szCs w:val="16"/>
    </w:rPr>
  </w:style>
  <w:style w:type="character" w:customStyle="1" w:styleId="BodyTextChar">
    <w:name w:val="Body Text Char"/>
    <w:aliases w:val="new legislation style Char,Body Text Char2 Char Char,Body Text Char Char1 Char Char,Body Text Char2 Char Char Char1 Char,Body Text Char1 Char1 Char Char Char1 Char,Body Text Char Char Char1 Char Char Char1 Char,Body Text Char1 Char"/>
    <w:basedOn w:val="DefaultParagraphFont"/>
    <w:link w:val="BodyText"/>
    <w:locked/>
    <w:rsid w:val="0010611E"/>
    <w:rPr>
      <w:sz w:val="24"/>
    </w:rPr>
  </w:style>
  <w:style w:type="paragraph" w:customStyle="1" w:styleId="Heading1NotTOC">
    <w:name w:val="Heading 1 Not TOC"/>
    <w:basedOn w:val="Heading1"/>
    <w:next w:val="BodyText"/>
    <w:rsid w:val="00F7477E"/>
    <w:rPr>
      <w:szCs w:val="26"/>
    </w:rPr>
  </w:style>
  <w:style w:type="paragraph" w:customStyle="1" w:styleId="PCAddress">
    <w:name w:val="PC Address"/>
    <w:basedOn w:val="Normal"/>
    <w:rsid w:val="008B2205"/>
    <w:pPr>
      <w:tabs>
        <w:tab w:val="left" w:pos="866"/>
      </w:tabs>
      <w:spacing w:after="60"/>
    </w:pPr>
    <w:rPr>
      <w:sz w:val="16"/>
    </w:rPr>
  </w:style>
  <w:style w:type="paragraph" w:styleId="Salutation">
    <w:name w:val="Salutation"/>
    <w:basedOn w:val="Normal"/>
    <w:next w:val="Normal"/>
    <w:link w:val="SalutationChar"/>
    <w:autoRedefine/>
    <w:rsid w:val="003B41E0"/>
    <w:rPr>
      <w:noProof/>
    </w:rPr>
  </w:style>
  <w:style w:type="character" w:customStyle="1" w:styleId="SalutationChar">
    <w:name w:val="Salutation Char"/>
    <w:basedOn w:val="DefaultParagraphFont"/>
    <w:link w:val="Salutation"/>
    <w:rsid w:val="003B41E0"/>
    <w:rPr>
      <w:noProof/>
      <w:sz w:val="24"/>
    </w:rPr>
  </w:style>
  <w:style w:type="paragraph" w:customStyle="1" w:styleId="Signoff">
    <w:name w:val="Signoff"/>
    <w:basedOn w:val="Normal"/>
    <w:autoRedefine/>
    <w:rsid w:val="003B41E0"/>
    <w:pPr>
      <w:spacing w:before="480" w:after="1000"/>
    </w:pPr>
  </w:style>
  <w:style w:type="paragraph" w:customStyle="1" w:styleId="LetterDate">
    <w:name w:val="Letter Date"/>
    <w:basedOn w:val="BodyText"/>
    <w:rsid w:val="003B41E0"/>
    <w:pPr>
      <w:spacing w:before="0" w:after="240" w:line="240" w:lineRule="auto"/>
      <w:ind w:left="-108"/>
      <w:jc w:val="left"/>
    </w:pPr>
  </w:style>
  <w:style w:type="paragraph" w:customStyle="1" w:styleId="LetterAddress">
    <w:name w:val="Letter Address"/>
    <w:basedOn w:val="BodyText"/>
    <w:rsid w:val="003B41E0"/>
    <w:pPr>
      <w:spacing w:before="0" w:line="240" w:lineRule="auto"/>
      <w:jc w:val="left"/>
    </w:pPr>
  </w:style>
  <w:style w:type="paragraph" w:customStyle="1" w:styleId="PCBoxHeading">
    <w:name w:val="PC Box Heading"/>
    <w:basedOn w:val="BodyText"/>
    <w:link w:val="PCBoxHeadingChar"/>
    <w:qFormat/>
    <w:rsid w:val="008A3857"/>
    <w:pPr>
      <w:pBdr>
        <w:top w:val="single" w:sz="4" w:space="5" w:color="auto"/>
        <w:left w:val="single" w:sz="4" w:space="8" w:color="auto"/>
        <w:bottom w:val="single" w:sz="4" w:space="14" w:color="auto"/>
        <w:right w:val="single" w:sz="4" w:space="8" w:color="auto"/>
      </w:pBdr>
      <w:spacing w:before="480" w:line="240" w:lineRule="auto"/>
      <w:ind w:left="284" w:right="284"/>
    </w:pPr>
    <w:rPr>
      <w:rFonts w:ascii="Arial" w:hAnsi="Arial"/>
      <w:b/>
      <w:i/>
      <w:szCs w:val="24"/>
    </w:rPr>
  </w:style>
  <w:style w:type="paragraph" w:customStyle="1" w:styleId="PCBoxtext">
    <w:name w:val="PC Box text"/>
    <w:basedOn w:val="BodyText"/>
    <w:link w:val="PCBoxtextChar"/>
    <w:rsid w:val="00F4234E"/>
    <w:pPr>
      <w:pBdr>
        <w:top w:val="single" w:sz="4" w:space="5" w:color="auto"/>
        <w:left w:val="single" w:sz="4" w:space="8" w:color="auto"/>
        <w:bottom w:val="single" w:sz="4" w:space="14" w:color="auto"/>
        <w:right w:val="single" w:sz="4" w:space="8" w:color="auto"/>
      </w:pBdr>
      <w:spacing w:before="160" w:line="240" w:lineRule="auto"/>
      <w:ind w:left="284" w:right="284"/>
    </w:pPr>
    <w:rPr>
      <w:szCs w:val="24"/>
    </w:rPr>
  </w:style>
  <w:style w:type="character" w:customStyle="1" w:styleId="PCBoxHeadingChar">
    <w:name w:val="PC Box Heading Char"/>
    <w:basedOn w:val="BodyTextChar"/>
    <w:link w:val="PCBoxHeading"/>
    <w:rsid w:val="008A3857"/>
    <w:rPr>
      <w:rFonts w:ascii="Arial" w:hAnsi="Arial"/>
      <w:b/>
      <w:i/>
      <w:sz w:val="24"/>
      <w:szCs w:val="24"/>
    </w:rPr>
  </w:style>
  <w:style w:type="character" w:customStyle="1" w:styleId="PCBoxtextChar">
    <w:name w:val="PC Box text Char"/>
    <w:basedOn w:val="BodyTextChar"/>
    <w:link w:val="PCBoxtext"/>
    <w:rsid w:val="00F4234E"/>
    <w:rPr>
      <w:sz w:val="24"/>
      <w:szCs w:val="24"/>
      <w:lang w:eastAsia="en-US"/>
    </w:rPr>
  </w:style>
  <w:style w:type="character" w:styleId="Hyperlink">
    <w:name w:val="Hyperlink"/>
    <w:basedOn w:val="DefaultParagraphFont"/>
    <w:unhideWhenUsed/>
    <w:rsid w:val="00CD5E6B"/>
    <w:rPr>
      <w:rFonts w:ascii="Times New Roman" w:hAnsi="Times New Roman" w:cs="Times New Roman" w:hint="default"/>
      <w:color w:val="000000"/>
      <w:u w:val="single"/>
    </w:rPr>
  </w:style>
  <w:style w:type="paragraph" w:customStyle="1" w:styleId="Copyrightheading">
    <w:name w:val="Copyright heading"/>
    <w:basedOn w:val="TOC1"/>
    <w:link w:val="CopyrightheadingChar"/>
    <w:qFormat/>
    <w:rsid w:val="00122FE9"/>
    <w:pPr>
      <w:spacing w:line="300" w:lineRule="exact"/>
    </w:pPr>
    <w:rPr>
      <w:sz w:val="22"/>
    </w:rPr>
  </w:style>
  <w:style w:type="character" w:customStyle="1" w:styleId="TOC1Char">
    <w:name w:val="TOC 1 Char"/>
    <w:basedOn w:val="DefaultParagraphFont"/>
    <w:link w:val="TOC1"/>
    <w:rsid w:val="00D969AE"/>
    <w:rPr>
      <w:rFonts w:ascii="Arial" w:hAnsi="Arial"/>
      <w:b/>
      <w:sz w:val="26"/>
      <w:szCs w:val="26"/>
      <w:lang w:eastAsia="en-US"/>
    </w:rPr>
  </w:style>
  <w:style w:type="character" w:customStyle="1" w:styleId="CopyrightheadingChar">
    <w:name w:val="Copyright heading Char"/>
    <w:basedOn w:val="TOC1Char"/>
    <w:link w:val="Copyrightheading"/>
    <w:rsid w:val="00122FE9"/>
    <w:rPr>
      <w:rFonts w:ascii="Arial" w:hAnsi="Arial"/>
      <w:b/>
      <w:sz w:val="22"/>
      <w:szCs w:val="26"/>
      <w:lang w:eastAsia="en-US"/>
    </w:rPr>
  </w:style>
  <w:style w:type="paragraph" w:customStyle="1" w:styleId="Copyrightsubtitle">
    <w:name w:val="Copyright subtitle"/>
    <w:basedOn w:val="BodyText"/>
    <w:rsid w:val="008E242D"/>
    <w:rPr>
      <w:rFonts w:ascii="Arial" w:hAnsi="Arial"/>
      <w:b/>
      <w:sz w:val="22"/>
      <w:szCs w:val="25"/>
    </w:rPr>
  </w:style>
  <w:style w:type="paragraph" w:customStyle="1" w:styleId="BoxSpaceAbove">
    <w:name w:val="Box Space Above"/>
    <w:basedOn w:val="BodyText"/>
    <w:rsid w:val="0010611E"/>
    <w:pPr>
      <w:keepNext/>
      <w:spacing w:before="360" w:line="80" w:lineRule="exact"/>
      <w:jc w:val="left"/>
    </w:pPr>
  </w:style>
  <w:style w:type="paragraph" w:customStyle="1" w:styleId="BoxSpaceBelow">
    <w:name w:val="Box Space Below"/>
    <w:basedOn w:val="Box"/>
    <w:rsid w:val="0010611E"/>
    <w:pPr>
      <w:keepNext w:val="0"/>
      <w:spacing w:before="60" w:after="60" w:line="80" w:lineRule="exact"/>
    </w:pPr>
    <w:rPr>
      <w:sz w:val="14"/>
    </w:rPr>
  </w:style>
  <w:style w:type="paragraph" w:customStyle="1" w:styleId="Space">
    <w:name w:val="Space"/>
    <w:basedOn w:val="Normal"/>
    <w:rsid w:val="009B48F7"/>
    <w:pPr>
      <w:keepNext/>
      <w:spacing w:line="120" w:lineRule="exact"/>
      <w:jc w:val="both"/>
    </w:pPr>
    <w:rPr>
      <w:rFonts w:ascii="Arial" w:hAnsi="Arial"/>
      <w:sz w:val="21"/>
    </w:rPr>
  </w:style>
  <w:style w:type="paragraph" w:customStyle="1" w:styleId="InformationRequestTitle">
    <w:name w:val="Information Request Title"/>
    <w:basedOn w:val="FindingTitle"/>
    <w:next w:val="InformationRequest"/>
    <w:rsid w:val="0010611E"/>
    <w:pPr>
      <w:framePr w:wrap="auto"/>
    </w:pPr>
    <w:rPr>
      <w:i/>
    </w:rPr>
  </w:style>
  <w:style w:type="paragraph" w:customStyle="1" w:styleId="BoxListBullet3">
    <w:name w:val="Box List Bullet 3"/>
    <w:basedOn w:val="ListBullet3"/>
    <w:rsid w:val="0010611E"/>
    <w:pPr>
      <w:numPr>
        <w:numId w:val="8"/>
      </w:numPr>
      <w:tabs>
        <w:tab w:val="left" w:pos="907"/>
      </w:tabs>
      <w:spacing w:before="60" w:line="260" w:lineRule="atLeast"/>
    </w:pPr>
    <w:rPr>
      <w:rFonts w:ascii="Arial" w:hAnsi="Arial"/>
      <w:sz w:val="20"/>
    </w:rPr>
  </w:style>
  <w:style w:type="paragraph" w:customStyle="1" w:styleId="BoxQuoteBullet">
    <w:name w:val="Box Quote Bullet"/>
    <w:basedOn w:val="BoxQuote"/>
    <w:next w:val="Box"/>
    <w:rsid w:val="0010611E"/>
    <w:pPr>
      <w:numPr>
        <w:numId w:val="10"/>
      </w:numPr>
    </w:pPr>
  </w:style>
  <w:style w:type="paragraph" w:customStyle="1" w:styleId="Figurespace">
    <w:name w:val="Figure space"/>
    <w:basedOn w:val="Box"/>
    <w:rsid w:val="0010611E"/>
    <w:pPr>
      <w:spacing w:before="0" w:line="120" w:lineRule="exact"/>
    </w:pPr>
  </w:style>
  <w:style w:type="paragraph" w:customStyle="1" w:styleId="Heading1nochapterno">
    <w:name w:val="Heading 1 (no chapter no.)"/>
    <w:basedOn w:val="Heading1"/>
    <w:rsid w:val="0010611E"/>
    <w:pPr>
      <w:spacing w:before="0"/>
      <w:ind w:left="0" w:firstLine="0"/>
    </w:pPr>
    <w:rPr>
      <w:kern w:val="0"/>
    </w:rPr>
  </w:style>
  <w:style w:type="paragraph" w:customStyle="1" w:styleId="Heading2nosectionno">
    <w:name w:val="Heading 2 (no section no.)"/>
    <w:basedOn w:val="Heading2"/>
    <w:rsid w:val="0010611E"/>
    <w:pPr>
      <w:ind w:left="0" w:firstLine="0"/>
    </w:pPr>
  </w:style>
  <w:style w:type="paragraph" w:customStyle="1" w:styleId="InformationRequestBullet">
    <w:name w:val="Information Request Bullet"/>
    <w:basedOn w:val="ListBullet"/>
    <w:next w:val="BodyText"/>
    <w:rsid w:val="0010611E"/>
    <w:pPr>
      <w:numPr>
        <w:numId w:val="13"/>
      </w:numPr>
      <w:spacing w:before="80" w:line="280" w:lineRule="atLeast"/>
    </w:pPr>
    <w:rPr>
      <w:rFonts w:ascii="Arial" w:hAnsi="Arial"/>
      <w:i/>
      <w:sz w:val="22"/>
    </w:rPr>
  </w:style>
  <w:style w:type="paragraph" w:customStyle="1" w:styleId="KeyPointsListBullet">
    <w:name w:val="Key Points List Bullet"/>
    <w:basedOn w:val="Normal"/>
    <w:qFormat/>
    <w:rsid w:val="0010611E"/>
    <w:pPr>
      <w:keepNext/>
      <w:spacing w:before="100" w:line="260" w:lineRule="atLeast"/>
      <w:jc w:val="both"/>
    </w:pPr>
    <w:rPr>
      <w:rFonts w:ascii="Arial" w:hAnsi="Arial"/>
      <w:sz w:val="20"/>
    </w:rPr>
  </w:style>
  <w:style w:type="paragraph" w:customStyle="1" w:styleId="KeyPointsListBullet2">
    <w:name w:val="Key Points List Bullet 2"/>
    <w:basedOn w:val="KeyPointsListBullet"/>
    <w:rsid w:val="0010611E"/>
    <w:pPr>
      <w:spacing w:before="60"/>
    </w:pPr>
  </w:style>
  <w:style w:type="character" w:customStyle="1" w:styleId="QuoteChar">
    <w:name w:val="Quote Char"/>
    <w:basedOn w:val="DefaultParagraphFont"/>
    <w:link w:val="Quote"/>
    <w:rsid w:val="0010611E"/>
    <w:rPr>
      <w:sz w:val="22"/>
    </w:rPr>
  </w:style>
  <w:style w:type="character" w:customStyle="1" w:styleId="SubtitleChar">
    <w:name w:val="Subtitle Char"/>
    <w:basedOn w:val="DefaultParagraphFont"/>
    <w:link w:val="Subtitle"/>
    <w:rsid w:val="0010611E"/>
    <w:rPr>
      <w:rFonts w:asciiTheme="majorHAnsi" w:eastAsiaTheme="majorEastAsia" w:hAnsiTheme="majorHAnsi" w:cstheme="majorBidi"/>
      <w:i/>
      <w:iCs/>
      <w:color w:val="78A22F" w:themeColor="accent1"/>
      <w:spacing w:val="15"/>
      <w:sz w:val="24"/>
      <w:szCs w:val="24"/>
      <w:lang w:eastAsia="en-US"/>
    </w:rPr>
  </w:style>
  <w:style w:type="character" w:customStyle="1" w:styleId="FooterChar">
    <w:name w:val="Footer Char"/>
    <w:basedOn w:val="DefaultParagraphFont"/>
    <w:link w:val="Footer"/>
    <w:rsid w:val="008273A9"/>
    <w:rPr>
      <w:rFonts w:ascii="Arial" w:hAnsi="Arial"/>
      <w:caps/>
      <w:spacing w:val="-4"/>
      <w:sz w:val="16"/>
      <w:lang w:eastAsia="en-US"/>
    </w:rPr>
  </w:style>
  <w:style w:type="paragraph" w:customStyle="1" w:styleId="Copyrightbodytext">
    <w:name w:val="Copyright bodytext"/>
    <w:basedOn w:val="BodyText"/>
    <w:link w:val="CopyrightbodytextChar"/>
    <w:qFormat/>
    <w:rsid w:val="002A499E"/>
    <w:pPr>
      <w:spacing w:before="60"/>
    </w:pPr>
    <w:rPr>
      <w:sz w:val="20"/>
    </w:rPr>
  </w:style>
  <w:style w:type="character" w:customStyle="1" w:styleId="CopyrightbodytextChar">
    <w:name w:val="Copyright bodytext Char"/>
    <w:basedOn w:val="BodyTextChar"/>
    <w:link w:val="Copyrightbodytext"/>
    <w:rsid w:val="002A499E"/>
    <w:rPr>
      <w:sz w:val="24"/>
    </w:rPr>
  </w:style>
  <w:style w:type="table" w:customStyle="1" w:styleId="Style1">
    <w:name w:val="Style1"/>
    <w:basedOn w:val="TableNormal"/>
    <w:uiPriority w:val="99"/>
    <w:rsid w:val="00653FA6"/>
    <w:tblPr/>
  </w:style>
  <w:style w:type="character" w:styleId="FollowedHyperlink">
    <w:name w:val="FollowedHyperlink"/>
    <w:basedOn w:val="DefaultParagraphFont"/>
    <w:rsid w:val="00BA0B81"/>
    <w:rPr>
      <w:color w:val="BFBFBF" w:themeColor="followedHyperlink"/>
      <w:u w:val="single"/>
    </w:rPr>
  </w:style>
  <w:style w:type="paragraph" w:customStyle="1" w:styleId="ISSN">
    <w:name w:val="ISSN"/>
    <w:basedOn w:val="BodyText"/>
    <w:qFormat/>
    <w:rsid w:val="00BA0B81"/>
    <w:pPr>
      <w:tabs>
        <w:tab w:val="left" w:pos="851"/>
      </w:tabs>
      <w:spacing w:before="120" w:after="120"/>
      <w:jc w:val="left"/>
    </w:pPr>
    <w:rPr>
      <w:b/>
      <w:sz w:val="20"/>
    </w:rPr>
  </w:style>
  <w:style w:type="character" w:customStyle="1" w:styleId="apple-converted-space">
    <w:name w:val="apple-converted-space"/>
    <w:basedOn w:val="DefaultParagraphFont"/>
    <w:rsid w:val="00203B40"/>
  </w:style>
  <w:style w:type="paragraph" w:customStyle="1" w:styleId="FooterDraftReport">
    <w:name w:val="FooterDraftReport"/>
    <w:basedOn w:val="Footer"/>
    <w:link w:val="FooterDraftReportChar"/>
    <w:rsid w:val="00C51371"/>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C51371"/>
    <w:rPr>
      <w:rFonts w:ascii="Arial" w:hAnsi="Arial" w:cs="Arial"/>
      <w:caps/>
      <w:color w:val="808080"/>
      <w:spacing w:val="-4"/>
      <w:sz w:val="16"/>
      <w:lang w:eastAsia="en-US"/>
      <w14:textFill>
        <w14:solidFill>
          <w14:srgbClr w14:val="808080">
            <w14:lumMod w14:val="50000"/>
            <w14:lumOff w14:val="50000"/>
            <w14:lumMod w14:val="50000"/>
            <w14:lumOff w14:val="50000"/>
            <w14:lumMod w14:val="50000"/>
          </w14:srgbClr>
        </w14:solidFill>
      </w14:textFill>
    </w:rPr>
  </w:style>
  <w:style w:type="paragraph" w:customStyle="1" w:styleId="Body">
    <w:name w:val="Body"/>
    <w:basedOn w:val="BodyText"/>
    <w:link w:val="BodyChar"/>
    <w:qFormat/>
    <w:rsid w:val="006D461D"/>
  </w:style>
  <w:style w:type="character" w:customStyle="1" w:styleId="BodyChar">
    <w:name w:val="Body Char"/>
    <w:basedOn w:val="BodyTextChar"/>
    <w:link w:val="Body"/>
    <w:rsid w:val="006D461D"/>
    <w:rPr>
      <w:sz w:val="24"/>
    </w:rPr>
  </w:style>
  <w:style w:type="character" w:customStyle="1" w:styleId="Heading2Char">
    <w:name w:val="Heading 2 Char"/>
    <w:basedOn w:val="DefaultParagraphFont"/>
    <w:link w:val="Heading2"/>
    <w:rsid w:val="006D461D"/>
    <w:rPr>
      <w:rFonts w:ascii="Arial" w:hAnsi="Arial"/>
      <w:b/>
      <w:sz w:val="32"/>
    </w:rPr>
  </w:style>
  <w:style w:type="character" w:customStyle="1" w:styleId="ListBulletChar">
    <w:name w:val="List Bullet Char"/>
    <w:aliases w:val="List Bullet Char1 Char,List Bullet Char Char Char,List Bullet Char1 Char Char Char,List Bullet1 Char"/>
    <w:link w:val="ListBullet"/>
    <w:locked/>
    <w:rsid w:val="006D461D"/>
    <w:rPr>
      <w:sz w:val="24"/>
    </w:rPr>
  </w:style>
  <w:style w:type="paragraph" w:styleId="CommentSubject">
    <w:name w:val="annotation subject"/>
    <w:basedOn w:val="CommentText"/>
    <w:next w:val="CommentText"/>
    <w:link w:val="CommentSubjectChar"/>
    <w:semiHidden/>
    <w:unhideWhenUsed/>
    <w:rsid w:val="003B1BEA"/>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B1BEA"/>
    <w:rPr>
      <w:szCs w:val="24"/>
    </w:rPr>
  </w:style>
  <w:style w:type="character" w:customStyle="1" w:styleId="CommentSubjectChar">
    <w:name w:val="Comment Subject Char"/>
    <w:basedOn w:val="CommentTextChar"/>
    <w:link w:val="CommentSubject"/>
    <w:semiHidden/>
    <w:rsid w:val="003B1BEA"/>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8255">
      <w:bodyDiv w:val="1"/>
      <w:marLeft w:val="0"/>
      <w:marRight w:val="0"/>
      <w:marTop w:val="0"/>
      <w:marBottom w:val="0"/>
      <w:divBdr>
        <w:top w:val="none" w:sz="0" w:space="0" w:color="auto"/>
        <w:left w:val="none" w:sz="0" w:space="0" w:color="auto"/>
        <w:bottom w:val="none" w:sz="0" w:space="0" w:color="auto"/>
        <w:right w:val="none" w:sz="0" w:space="0" w:color="auto"/>
      </w:divBdr>
    </w:div>
    <w:div w:id="73951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prelims.dotm"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el_1\groups\Monitor\14%20What%20works\05_Reviews\02_Review%202%20-%20SES%20and%20Child%20Abuse\8.%20Consultation%20Processes\External\Consultation%201\FOR%20PUBLICATION\pictures\Copy%20of%20Book1%20-%20Versio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29962962962965"/>
          <c:y val="4.1666666666666664E-2"/>
          <c:w val="0.86214478691019802"/>
          <c:h val="0.7538866666666667"/>
        </c:manualLayout>
      </c:layout>
      <c:lineChart>
        <c:grouping val="standard"/>
        <c:varyColors val="0"/>
        <c:ser>
          <c:idx val="0"/>
          <c:order val="0"/>
          <c:tx>
            <c:strRef>
              <c:f>'Table A2'!$N$12</c:f>
              <c:strCache>
                <c:ptCount val="1"/>
                <c:pt idx="0">
                  <c:v>Substantiations of abuse or neglect</c:v>
                </c:pt>
              </c:strCache>
            </c:strRef>
          </c:tx>
          <c:spPr>
            <a:ln w="28575" cap="rnd">
              <a:solidFill>
                <a:srgbClr val="B998C9"/>
              </a:solidFill>
              <a:round/>
            </a:ln>
            <a:effectLst/>
          </c:spPr>
          <c:marker>
            <c:symbol val="none"/>
          </c:marker>
          <c:cat>
            <c:strRef>
              <c:f>'Table A2'!$L$13:$M$19</c:f>
              <c:strCache>
                <c:ptCount val="7"/>
                <c:pt idx="0">
                  <c:v>2010–11</c:v>
                </c:pt>
                <c:pt idx="1">
                  <c:v>2011–12</c:v>
                </c:pt>
                <c:pt idx="2">
                  <c:v>2012–13</c:v>
                </c:pt>
                <c:pt idx="3">
                  <c:v>2013–14</c:v>
                </c:pt>
                <c:pt idx="4">
                  <c:v>2014–15</c:v>
                </c:pt>
                <c:pt idx="5">
                  <c:v>2015–16</c:v>
                </c:pt>
                <c:pt idx="6">
                  <c:v>2016–17</c:v>
                </c:pt>
              </c:strCache>
            </c:strRef>
          </c:cat>
          <c:val>
            <c:numRef>
              <c:f>'Table A2'!$N$13:$N$19</c:f>
              <c:numCache>
                <c:formatCode>0.0</c:formatCode>
                <c:ptCount val="7"/>
                <c:pt idx="0">
                  <c:v>6.2146070764558106</c:v>
                </c:pt>
                <c:pt idx="1">
                  <c:v>7.3779228240488139</c:v>
                </c:pt>
                <c:pt idx="2">
                  <c:v>7.8442086372478155</c:v>
                </c:pt>
                <c:pt idx="3">
                  <c:v>7.7630782418463831</c:v>
                </c:pt>
                <c:pt idx="4">
                  <c:v>7.9986752082326991</c:v>
                </c:pt>
                <c:pt idx="5">
                  <c:v>8.5192933649252005</c:v>
                </c:pt>
                <c:pt idx="6">
                  <c:v>9.0181062507188976</c:v>
                </c:pt>
              </c:numCache>
            </c:numRef>
          </c:val>
          <c:smooth val="0"/>
        </c:ser>
        <c:ser>
          <c:idx val="1"/>
          <c:order val="1"/>
          <c:tx>
            <c:strRef>
              <c:f>'Table A2'!$O$12</c:f>
              <c:strCache>
                <c:ptCount val="1"/>
                <c:pt idx="0">
                  <c:v>Care and protection orders</c:v>
                </c:pt>
              </c:strCache>
            </c:strRef>
          </c:tx>
          <c:spPr>
            <a:ln w="28575" cap="rnd">
              <a:solidFill>
                <a:srgbClr val="1F6882"/>
              </a:solidFill>
              <a:round/>
            </a:ln>
            <a:effectLst/>
          </c:spPr>
          <c:marker>
            <c:symbol val="none"/>
          </c:marker>
          <c:dPt>
            <c:idx val="4"/>
            <c:marker>
              <c:symbol val="none"/>
            </c:marker>
            <c:bubble3D val="0"/>
            <c:spPr>
              <a:ln w="28575" cap="rnd">
                <a:solidFill>
                  <a:srgbClr val="265A9A"/>
                </a:solidFill>
                <a:round/>
              </a:ln>
              <a:effectLst/>
            </c:spPr>
          </c:dPt>
          <c:cat>
            <c:strRef>
              <c:f>'Table A2'!$L$13:$M$19</c:f>
              <c:strCache>
                <c:ptCount val="7"/>
                <c:pt idx="0">
                  <c:v>2010–11</c:v>
                </c:pt>
                <c:pt idx="1">
                  <c:v>2011–12</c:v>
                </c:pt>
                <c:pt idx="2">
                  <c:v>2012–13</c:v>
                </c:pt>
                <c:pt idx="3">
                  <c:v>2013–14</c:v>
                </c:pt>
                <c:pt idx="4">
                  <c:v>2014–15</c:v>
                </c:pt>
                <c:pt idx="5">
                  <c:v>2015–16</c:v>
                </c:pt>
                <c:pt idx="6">
                  <c:v>2016–17</c:v>
                </c:pt>
              </c:strCache>
            </c:strRef>
          </c:cat>
          <c:val>
            <c:numRef>
              <c:f>'Table A2'!$O$13:$O$19</c:f>
              <c:numCache>
                <c:formatCode>0.0</c:formatCode>
                <c:ptCount val="7"/>
                <c:pt idx="0">
                  <c:v>7.67979324450324</c:v>
                </c:pt>
                <c:pt idx="1">
                  <c:v>7.9574854796579233</c:v>
                </c:pt>
                <c:pt idx="2">
                  <c:v>8.1766361995013348</c:v>
                </c:pt>
                <c:pt idx="3">
                  <c:v>8.6637673808949778</c:v>
                </c:pt>
                <c:pt idx="4">
                  <c:v>9.1518388284744816</c:v>
                </c:pt>
                <c:pt idx="5">
                  <c:v>9.6463470112416356</c:v>
                </c:pt>
                <c:pt idx="6">
                  <c:v>9.9933622547201395</c:v>
                </c:pt>
              </c:numCache>
            </c:numRef>
          </c:val>
          <c:smooth val="0"/>
        </c:ser>
        <c:ser>
          <c:idx val="2"/>
          <c:order val="2"/>
          <c:tx>
            <c:strRef>
              <c:f>'Table A2'!$P$12</c:f>
              <c:strCache>
                <c:ptCount val="1"/>
                <c:pt idx="0">
                  <c:v>Out-of-home care</c:v>
                </c:pt>
              </c:strCache>
            </c:strRef>
          </c:tx>
          <c:spPr>
            <a:ln w="28575" cap="rnd">
              <a:solidFill>
                <a:srgbClr val="95C661"/>
              </a:solidFill>
              <a:prstDash val="sysDash"/>
              <a:round/>
            </a:ln>
            <a:effectLst/>
          </c:spPr>
          <c:marker>
            <c:symbol val="none"/>
          </c:marker>
          <c:cat>
            <c:strRef>
              <c:f>'Table A2'!$L$13:$M$19</c:f>
              <c:strCache>
                <c:ptCount val="7"/>
                <c:pt idx="0">
                  <c:v>2010–11</c:v>
                </c:pt>
                <c:pt idx="1">
                  <c:v>2011–12</c:v>
                </c:pt>
                <c:pt idx="2">
                  <c:v>2012–13</c:v>
                </c:pt>
                <c:pt idx="3">
                  <c:v>2013–14</c:v>
                </c:pt>
                <c:pt idx="4">
                  <c:v>2014–15</c:v>
                </c:pt>
                <c:pt idx="5">
                  <c:v>2015–16</c:v>
                </c:pt>
                <c:pt idx="6">
                  <c:v>2016–17</c:v>
                </c:pt>
              </c:strCache>
            </c:strRef>
          </c:cat>
          <c:val>
            <c:numRef>
              <c:f>'Table A2'!$P$13:$P$19</c:f>
              <c:numCache>
                <c:formatCode>0.0</c:formatCode>
                <c:ptCount val="7"/>
                <c:pt idx="0">
                  <c:v>7.4025514892994506</c:v>
                </c:pt>
                <c:pt idx="1">
                  <c:v>7.6969760311880897</c:v>
                </c:pt>
                <c:pt idx="2">
                  <c:v>7.7878568172311322</c:v>
                </c:pt>
                <c:pt idx="3">
                  <c:v>8.1454109929810716</c:v>
                </c:pt>
                <c:pt idx="4">
                  <c:v>8.1506393046781049</c:v>
                </c:pt>
                <c:pt idx="5">
                  <c:v>8.6210560682319617</c:v>
                </c:pt>
                <c:pt idx="6">
                  <c:v>8.7592279009789529</c:v>
                </c:pt>
              </c:numCache>
            </c:numRef>
          </c:val>
          <c:smooth val="0"/>
        </c:ser>
        <c:dLbls>
          <c:showLegendKey val="0"/>
          <c:showVal val="0"/>
          <c:showCatName val="0"/>
          <c:showSerName val="0"/>
          <c:showPercent val="0"/>
          <c:showBubbleSize val="0"/>
        </c:dLbls>
        <c:smooth val="0"/>
        <c:axId val="588397096"/>
        <c:axId val="588393568"/>
      </c:lineChart>
      <c:catAx>
        <c:axId val="588397096"/>
        <c:scaling>
          <c:orientation val="minMax"/>
        </c:scaling>
        <c:delete val="0"/>
        <c:axPos val="b"/>
        <c:numFmt formatCode="General" sourceLinked="1"/>
        <c:majorTickMark val="none"/>
        <c:minorTickMark val="in"/>
        <c:tickLblPos val="nextTo"/>
        <c:spPr>
          <a:noFill/>
          <a:ln w="9525" cap="flat" cmpd="sng" algn="ctr">
            <a:solidFill>
              <a:srgbClr val="BFBFBF"/>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8393568"/>
        <c:crosses val="autoZero"/>
        <c:auto val="1"/>
        <c:lblAlgn val="ctr"/>
        <c:lblOffset val="100"/>
        <c:noMultiLvlLbl val="0"/>
      </c:catAx>
      <c:valAx>
        <c:axId val="588393568"/>
        <c:scaling>
          <c:orientation val="minMax"/>
          <c:max val="10"/>
          <c:min val="6"/>
        </c:scaling>
        <c:delete val="0"/>
        <c:axPos val="l"/>
        <c:majorGridlines>
          <c:spPr>
            <a:ln w="9525" cap="flat" cmpd="sng" algn="ctr">
              <a:noFill/>
              <a:round/>
            </a:ln>
            <a:effectLst/>
            <a:extLst>
              <a:ext uri="{91240B29-F687-4F45-9708-019B960494DF}">
                <a14:hiddenLine xmlns:a14="http://schemas.microsoft.com/office/drawing/2010/main" w="9525" cap="flat" cmpd="sng" algn="ctr">
                  <a:solidFill>
                    <a:sysClr val="windowText" lastClr="000000">
                      <a:lumMod val="15000"/>
                      <a:lumOff val="85000"/>
                    </a:sysClr>
                  </a:solidFill>
                  <a:round/>
                </a14:hiddenLine>
              </a:ext>
            </a:ex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b="1"/>
                  <a:t>Per 1000 children </a:t>
                </a:r>
              </a:p>
            </c:rich>
          </c:tx>
          <c:layout>
            <c:manualLayout>
              <c:xMode val="edge"/>
              <c:yMode val="edge"/>
              <c:x val="3.3861734833320112E-2"/>
              <c:y val="0.2494688849223523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solidFill>
              <a:srgbClr val="BFBFBF"/>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88397096"/>
        <c:crosses val="autoZero"/>
        <c:crossBetween val="between"/>
        <c:majorUnit val="1"/>
      </c:valAx>
      <c:spPr>
        <a:noFill/>
        <a:ln>
          <a:noFill/>
        </a:ln>
        <a:effectLst/>
        <a:extLst/>
      </c:spPr>
    </c:plotArea>
    <c:legend>
      <c:legendPos val="b"/>
      <c:layout>
        <c:manualLayout>
          <c:xMode val="edge"/>
          <c:yMode val="edge"/>
          <c:x val="2.9087037037037036E-2"/>
          <c:y val="0.85069335083114606"/>
          <c:w val="0.97091296296296292"/>
          <c:h val="0.14930664916885389"/>
        </c:manualLayout>
      </c:layout>
      <c:overlay val="0"/>
      <c:spPr>
        <a:noFill/>
        <a:ln>
          <a:noFill/>
        </a:ln>
        <a:effectLst/>
        <a:ex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a:outerShdw blurRad="50800" dist="50800" dir="5400000" algn="ctr" rotWithShape="0">
        <a:schemeClr val="bg1"/>
      </a:outerShdw>
    </a:effectLst>
  </c:spPr>
  <c:txPr>
    <a:bodyPr/>
    <a:lstStyle/>
    <a:p>
      <a:pPr>
        <a:defRPr sz="90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BE87924-8341-4993-89D1-0D1F572D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prelims</Template>
  <TotalTime>81</TotalTime>
  <Pages>17</Pages>
  <Words>3766</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Consultation paper - Systems for Protecting Children</vt:lpstr>
    </vt:vector>
  </TitlesOfParts>
  <Company>Productivity Commission</Company>
  <LinksUpToDate>false</LinksUpToDate>
  <CharactersWithSpaces>25605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 Systems for Protecting Children</dc:title>
  <dc:subject/>
  <dc:creator>Productivity Commission</dc:creator>
  <cp:keywords/>
  <dc:description/>
  <cp:lastModifiedBy>Productivity Commission</cp:lastModifiedBy>
  <cp:revision>18</cp:revision>
  <cp:lastPrinted>2019-02-20T00:50:00Z</cp:lastPrinted>
  <dcterms:created xsi:type="dcterms:W3CDTF">2019-02-19T22:58:00Z</dcterms:created>
  <dcterms:modified xsi:type="dcterms:W3CDTF">2019-02-20T01:48:00Z</dcterms:modified>
</cp:coreProperties>
</file>