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098" w:rsidRDefault="002D6098" w:rsidP="002D6098">
      <w:pPr>
        <w:pStyle w:val="Heading2"/>
      </w:pPr>
      <w:bookmarkStart w:id="0" w:name="_Toc311649743"/>
      <w:bookmarkStart w:id="1" w:name="_Toc311650725"/>
      <w:r w:rsidRPr="000146CD">
        <w:t>The Review of Government Service Provision</w:t>
      </w:r>
      <w:bookmarkEnd w:id="0"/>
      <w:bookmarkEnd w:id="1"/>
    </w:p>
    <w:p w:rsidR="001E67DB" w:rsidRPr="001E67DB" w:rsidRDefault="001E67DB" w:rsidP="001E67DB">
      <w:pPr>
        <w:pStyle w:val="BodyText"/>
        <w:numPr>
          <w:ilvl w:val="12"/>
          <w:numId w:val="0"/>
        </w:numPr>
        <w:rPr>
          <w:b/>
        </w:rPr>
      </w:pPr>
      <w:r w:rsidRPr="001E67DB">
        <w:rPr>
          <w:b/>
        </w:rPr>
        <w:t>CONTENTS</w:t>
      </w:r>
    </w:p>
    <w:p w:rsidR="001E67DB" w:rsidRPr="006E38A6" w:rsidRDefault="001E67DB" w:rsidP="001E67DB">
      <w:pPr>
        <w:pStyle w:val="TOC2"/>
        <w:ind w:right="0"/>
        <w:jc w:val="both"/>
        <w:rPr>
          <w:rStyle w:val="Hyperlink"/>
          <w:color w:val="auto"/>
          <w:u w:val="none"/>
        </w:rPr>
      </w:pPr>
      <w:r w:rsidRPr="006E38A6">
        <w:rPr>
          <w:rStyle w:val="Hyperlink"/>
          <w:noProof/>
          <w:color w:val="auto"/>
          <w:u w:val="none"/>
        </w:rPr>
        <w:t>Role of the Steering Committee</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2</w:t>
      </w:r>
    </w:p>
    <w:p w:rsidR="001E67DB" w:rsidRPr="006E38A6" w:rsidRDefault="001E67DB" w:rsidP="001E67DB">
      <w:pPr>
        <w:pStyle w:val="TOC2"/>
        <w:ind w:right="0"/>
        <w:rPr>
          <w:rStyle w:val="Hyperlink"/>
          <w:color w:val="auto"/>
          <w:u w:val="none"/>
        </w:rPr>
      </w:pPr>
      <w:r w:rsidRPr="006E38A6">
        <w:rPr>
          <w:rStyle w:val="Hyperlink"/>
          <w:noProof/>
          <w:color w:val="auto"/>
          <w:u w:val="none"/>
        </w:rPr>
        <w:t>Role of the working groups</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5</w:t>
      </w:r>
    </w:p>
    <w:p w:rsidR="001E67DB" w:rsidRPr="006E38A6" w:rsidRDefault="001E67DB" w:rsidP="001E67DB">
      <w:pPr>
        <w:pStyle w:val="TOC2"/>
        <w:ind w:right="0"/>
        <w:rPr>
          <w:rStyle w:val="Hyperlink"/>
          <w:color w:val="auto"/>
          <w:u w:val="none"/>
        </w:rPr>
      </w:pPr>
      <w:r w:rsidRPr="006E38A6">
        <w:rPr>
          <w:rStyle w:val="Hyperlink"/>
          <w:noProof/>
          <w:color w:val="auto"/>
          <w:u w:val="none"/>
        </w:rPr>
        <w:t>Interaction between Steering Committee and working groups</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7</w:t>
      </w:r>
    </w:p>
    <w:p w:rsidR="001E67DB" w:rsidRPr="006E38A6" w:rsidRDefault="001E67DB" w:rsidP="001E67DB">
      <w:pPr>
        <w:pStyle w:val="TOC2"/>
        <w:ind w:right="0"/>
        <w:rPr>
          <w:rStyle w:val="Hyperlink"/>
          <w:color w:val="auto"/>
          <w:u w:val="none"/>
        </w:rPr>
      </w:pPr>
      <w:r w:rsidRPr="006E38A6">
        <w:rPr>
          <w:rStyle w:val="Hyperlink"/>
          <w:noProof/>
          <w:color w:val="auto"/>
          <w:u w:val="none"/>
        </w:rPr>
        <w:t>Role of the Secretariat</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8</w:t>
      </w:r>
    </w:p>
    <w:p w:rsidR="001E67DB" w:rsidRPr="006E38A6" w:rsidRDefault="001E67DB" w:rsidP="001E67DB">
      <w:pPr>
        <w:pStyle w:val="TOC2"/>
        <w:ind w:right="0"/>
        <w:rPr>
          <w:rStyle w:val="Hyperlink"/>
          <w:color w:val="auto"/>
          <w:u w:val="none"/>
        </w:rPr>
      </w:pPr>
      <w:r w:rsidRPr="006E38A6">
        <w:rPr>
          <w:rStyle w:val="Hyperlink"/>
          <w:noProof/>
          <w:color w:val="auto"/>
          <w:u w:val="none"/>
        </w:rPr>
        <w:t>Role of other working parties/related exercises</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9</w:t>
      </w:r>
    </w:p>
    <w:p w:rsidR="001E67DB" w:rsidRPr="006E38A6" w:rsidRDefault="001E67DB" w:rsidP="001E67DB">
      <w:pPr>
        <w:pStyle w:val="TOC2"/>
        <w:ind w:right="0"/>
        <w:rPr>
          <w:rStyle w:val="Hyperlink"/>
          <w:color w:val="auto"/>
          <w:u w:val="none"/>
        </w:rPr>
      </w:pPr>
      <w:r w:rsidRPr="006E38A6">
        <w:rPr>
          <w:rStyle w:val="Hyperlink"/>
          <w:noProof/>
          <w:color w:val="auto"/>
          <w:u w:val="none"/>
        </w:rPr>
        <w:t>Role of non-government bodies</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 xml:space="preserve">  </w:t>
      </w:r>
      <w:r w:rsidR="00097178" w:rsidRPr="006E38A6">
        <w:rPr>
          <w:rStyle w:val="Hyperlink"/>
          <w:noProof/>
          <w:webHidden/>
          <w:color w:val="auto"/>
          <w:u w:val="none"/>
        </w:rPr>
        <w:t>9</w:t>
      </w:r>
    </w:p>
    <w:p w:rsidR="001E67DB" w:rsidRPr="006E38A6" w:rsidRDefault="001E67DB" w:rsidP="001E67DB">
      <w:pPr>
        <w:pStyle w:val="TOC2"/>
        <w:ind w:right="0"/>
        <w:rPr>
          <w:rStyle w:val="Hyperlink"/>
          <w:color w:val="auto"/>
          <w:u w:val="none"/>
        </w:rPr>
      </w:pPr>
      <w:r w:rsidRPr="006E38A6">
        <w:rPr>
          <w:rStyle w:val="Hyperlink"/>
          <w:noProof/>
          <w:color w:val="auto"/>
          <w:u w:val="none"/>
        </w:rPr>
        <w:t xml:space="preserve">Attachment 1 Steering Committee Terms of reference and Charter of </w:t>
      </w:r>
      <w:r w:rsidR="006E38A6">
        <w:rPr>
          <w:rStyle w:val="Hyperlink"/>
          <w:noProof/>
          <w:color w:val="auto"/>
          <w:u w:val="none"/>
        </w:rPr>
        <w:br/>
        <w:t xml:space="preserve">              </w:t>
      </w:r>
      <w:r w:rsidRPr="006E38A6">
        <w:rPr>
          <w:rStyle w:val="Hyperlink"/>
          <w:noProof/>
          <w:color w:val="auto"/>
          <w:u w:val="none"/>
        </w:rPr>
        <w:t>operations</w:t>
      </w:r>
      <w:r w:rsidRPr="006E38A6">
        <w:rPr>
          <w:rStyle w:val="Hyperlink"/>
          <w:webHidden/>
          <w:color w:val="auto"/>
          <w:u w:val="none"/>
        </w:rPr>
        <w:tab/>
      </w:r>
      <w:r w:rsidR="00075B05" w:rsidRPr="006E38A6">
        <w:rPr>
          <w:rStyle w:val="Hyperlink"/>
          <w:webHidden/>
          <w:color w:val="auto"/>
          <w:u w:val="none"/>
        </w:rPr>
        <w:tab/>
      </w:r>
      <w:r w:rsidR="00075B05" w:rsidRPr="006E38A6">
        <w:rPr>
          <w:rStyle w:val="Hyperlink"/>
          <w:webHidden/>
          <w:color w:val="auto"/>
          <w:u w:val="none"/>
        </w:rPr>
        <w:tab/>
      </w:r>
      <w:r w:rsidR="00097178" w:rsidRPr="006E38A6">
        <w:rPr>
          <w:rStyle w:val="Hyperlink"/>
          <w:noProof/>
          <w:webHidden/>
          <w:color w:val="auto"/>
          <w:u w:val="none"/>
        </w:rPr>
        <w:t>10</w:t>
      </w:r>
    </w:p>
    <w:p w:rsidR="001E67DB" w:rsidRPr="006E38A6" w:rsidRDefault="001E67DB" w:rsidP="001E67DB">
      <w:pPr>
        <w:pStyle w:val="TOC2"/>
        <w:ind w:right="0"/>
        <w:rPr>
          <w:rStyle w:val="Hyperlink"/>
          <w:color w:val="auto"/>
          <w:u w:val="none"/>
        </w:rPr>
      </w:pPr>
      <w:r w:rsidRPr="006E38A6">
        <w:rPr>
          <w:rStyle w:val="Hyperlink"/>
          <w:noProof/>
          <w:color w:val="auto"/>
          <w:u w:val="none"/>
        </w:rPr>
        <w:t>Attachment 2 Report on Government Services Terms of reference</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97178" w:rsidRPr="006E38A6">
        <w:rPr>
          <w:rStyle w:val="Hyperlink"/>
          <w:noProof/>
          <w:webHidden/>
          <w:color w:val="auto"/>
          <w:u w:val="none"/>
        </w:rPr>
        <w:t>14</w:t>
      </w:r>
    </w:p>
    <w:p w:rsidR="001E67DB" w:rsidRPr="006E38A6" w:rsidRDefault="001E67DB" w:rsidP="001E67DB">
      <w:pPr>
        <w:pStyle w:val="TOC2"/>
        <w:ind w:right="0"/>
        <w:rPr>
          <w:rStyle w:val="Hyperlink"/>
          <w:color w:val="auto"/>
          <w:u w:val="none"/>
        </w:rPr>
      </w:pPr>
      <w:r w:rsidRPr="006E38A6">
        <w:rPr>
          <w:rStyle w:val="Hyperlink"/>
          <w:noProof/>
          <w:color w:val="auto"/>
          <w:u w:val="none"/>
        </w:rPr>
        <w:t xml:space="preserve">Attachment 3 Overcoming Indigenous Disadvantage Report Terms of </w:t>
      </w:r>
      <w:r w:rsidR="006E38A6">
        <w:rPr>
          <w:rStyle w:val="Hyperlink"/>
          <w:noProof/>
          <w:color w:val="auto"/>
          <w:u w:val="none"/>
        </w:rPr>
        <w:br/>
        <w:t xml:space="preserve">              </w:t>
      </w:r>
      <w:r w:rsidRPr="006E38A6">
        <w:rPr>
          <w:rStyle w:val="Hyperlink"/>
          <w:noProof/>
          <w:color w:val="auto"/>
          <w:u w:val="none"/>
        </w:rPr>
        <w:t>reference</w:t>
      </w:r>
      <w:r w:rsidRPr="006E38A6">
        <w:rPr>
          <w:rStyle w:val="Hyperlink"/>
          <w:webHidden/>
          <w:color w:val="auto"/>
          <w:u w:val="none"/>
        </w:rPr>
        <w:tab/>
      </w:r>
      <w:r w:rsidRPr="006E38A6">
        <w:rPr>
          <w:rStyle w:val="Hyperlink"/>
          <w:webHidden/>
          <w:color w:val="auto"/>
          <w:u w:val="none"/>
        </w:rPr>
        <w:tab/>
      </w:r>
      <w:r w:rsidR="00075B05" w:rsidRPr="006E38A6">
        <w:rPr>
          <w:rStyle w:val="Hyperlink"/>
          <w:webHidden/>
          <w:color w:val="auto"/>
          <w:u w:val="none"/>
        </w:rPr>
        <w:tab/>
      </w:r>
      <w:r w:rsidR="00097178" w:rsidRPr="006E38A6">
        <w:rPr>
          <w:rStyle w:val="Hyperlink"/>
          <w:noProof/>
          <w:webHidden/>
          <w:color w:val="auto"/>
          <w:u w:val="none"/>
        </w:rPr>
        <w:t>15</w:t>
      </w:r>
    </w:p>
    <w:p w:rsidR="001E67DB" w:rsidRPr="006E38A6" w:rsidRDefault="001E67DB" w:rsidP="001E67DB">
      <w:pPr>
        <w:pStyle w:val="TOC2"/>
        <w:ind w:right="0"/>
        <w:rPr>
          <w:rStyle w:val="Hyperlink"/>
          <w:color w:val="auto"/>
          <w:u w:val="none"/>
        </w:rPr>
      </w:pPr>
      <w:r w:rsidRPr="006E38A6">
        <w:rPr>
          <w:rStyle w:val="Hyperlink"/>
          <w:noProof/>
          <w:color w:val="auto"/>
          <w:u w:val="none"/>
        </w:rPr>
        <w:t>Attachment 4 Indigenous Expenditure Report Terms of reference</w:t>
      </w:r>
      <w:r w:rsidRPr="006E38A6">
        <w:rPr>
          <w:rStyle w:val="Hyperlink"/>
          <w:webHidden/>
          <w:color w:val="auto"/>
          <w:u w:val="none"/>
        </w:rPr>
        <w:tab/>
      </w:r>
      <w:r w:rsidRPr="006E38A6">
        <w:rPr>
          <w:rStyle w:val="Hyperlink"/>
          <w:webHidden/>
          <w:color w:val="auto"/>
          <w:u w:val="none"/>
        </w:rPr>
        <w:tab/>
      </w:r>
      <w:r w:rsidRPr="006E38A6">
        <w:rPr>
          <w:rStyle w:val="Hyperlink"/>
          <w:webHidden/>
          <w:color w:val="auto"/>
          <w:u w:val="none"/>
        </w:rPr>
        <w:tab/>
      </w:r>
      <w:r w:rsidR="00097178" w:rsidRPr="006E38A6">
        <w:rPr>
          <w:rStyle w:val="Hyperlink"/>
          <w:noProof/>
          <w:webHidden/>
          <w:color w:val="auto"/>
          <w:u w:val="none"/>
        </w:rPr>
        <w:t>17</w:t>
      </w:r>
    </w:p>
    <w:p w:rsidR="002E5122" w:rsidRDefault="002E5122">
      <w:pPr>
        <w:pStyle w:val="BodyText"/>
        <w:numPr>
          <w:ilvl w:val="12"/>
          <w:numId w:val="0"/>
        </w:numPr>
      </w:pPr>
      <w:r>
        <w:t xml:space="preserve">The Review of Government Service Provision </w:t>
      </w:r>
      <w:r w:rsidR="00071BF9">
        <w:t>(the Review)</w:t>
      </w:r>
      <w:r w:rsidR="00A22AF7">
        <w:t xml:space="preserve"> is</w:t>
      </w:r>
      <w:r w:rsidR="00071BF9">
        <w:t xml:space="preserve"> </w:t>
      </w:r>
      <w:r w:rsidR="00A22AF7">
        <w:t xml:space="preserve">a cooperative COAG process involving the Australian, State and Territory governments. It is </w:t>
      </w:r>
      <w:r w:rsidR="00A22AF7" w:rsidRPr="00A22AF7">
        <w:t>an integral part of the national performance reporting system</w:t>
      </w:r>
      <w:r w:rsidR="00A22AF7">
        <w:t>, and is responsible for producing a range of reports that enable</w:t>
      </w:r>
      <w:r w:rsidR="00A22AF7" w:rsidRPr="00A22AF7">
        <w:t xml:space="preserve"> performance comparisons and benchmarking between jurisdictions and within a jurisdiction over time.</w:t>
      </w:r>
      <w:r w:rsidR="00A22AF7">
        <w:t xml:space="preserve"> </w:t>
      </w:r>
    </w:p>
    <w:p w:rsidR="00A22AF7" w:rsidRDefault="00A22AF7" w:rsidP="00A22AF7">
      <w:pPr>
        <w:pStyle w:val="BodyText"/>
        <w:numPr>
          <w:ilvl w:val="12"/>
          <w:numId w:val="0"/>
        </w:numPr>
      </w:pPr>
      <w:r>
        <w:t>The Review operates under COAG-endorsed terms of reference</w:t>
      </w:r>
      <w:r w:rsidR="007A6D95">
        <w:t xml:space="preserve"> (tor)</w:t>
      </w:r>
      <w:r>
        <w:t xml:space="preserve"> and charter of operations (</w:t>
      </w:r>
      <w:r w:rsidR="000E1E70">
        <w:t xml:space="preserve">at </w:t>
      </w:r>
      <w:r>
        <w:t xml:space="preserve">attachment 1). </w:t>
      </w:r>
    </w:p>
    <w:p w:rsidR="00A22AF7" w:rsidRDefault="002E5122">
      <w:pPr>
        <w:pStyle w:val="BodyText"/>
        <w:numPr>
          <w:ilvl w:val="12"/>
          <w:numId w:val="0"/>
        </w:numPr>
      </w:pPr>
      <w:r>
        <w:t xml:space="preserve">The Steering Committee for the Review is committed to </w:t>
      </w:r>
      <w:r w:rsidR="00A22AF7">
        <w:t xml:space="preserve">a principles-based approach to </w:t>
      </w:r>
      <w:r>
        <w:t xml:space="preserve">refining the </w:t>
      </w:r>
      <w:r w:rsidR="00A22AF7">
        <w:t xml:space="preserve">content of reports </w:t>
      </w:r>
      <w:r>
        <w:t xml:space="preserve">and </w:t>
      </w:r>
      <w:r w:rsidR="00A22AF7">
        <w:t xml:space="preserve">improving </w:t>
      </w:r>
      <w:r>
        <w:t xml:space="preserve">the processes </w:t>
      </w:r>
      <w:r w:rsidR="00A22AF7">
        <w:t>of managing the Review</w:t>
      </w:r>
      <w:r>
        <w:t xml:space="preserve">. The following guidelines </w:t>
      </w:r>
      <w:r w:rsidR="007F3D1C">
        <w:t>explain</w:t>
      </w:r>
      <w:r>
        <w:t xml:space="preserve"> the roles and responsibilities of </w:t>
      </w:r>
      <w:r w:rsidR="007F3D1C">
        <w:t xml:space="preserve">Review </w:t>
      </w:r>
      <w:r>
        <w:t>participants</w:t>
      </w:r>
      <w:r w:rsidR="00503193">
        <w:t>, and should be read in the context of the terms of reference and charter of operations</w:t>
      </w:r>
      <w:r>
        <w:t xml:space="preserve">. </w:t>
      </w:r>
    </w:p>
    <w:p w:rsidR="002E5122" w:rsidRDefault="002E5122">
      <w:pPr>
        <w:pStyle w:val="BodyText"/>
        <w:numPr>
          <w:ilvl w:val="12"/>
          <w:numId w:val="0"/>
        </w:numPr>
      </w:pPr>
      <w:r>
        <w:t xml:space="preserve">The guidelines </w:t>
      </w:r>
      <w:r w:rsidR="007F3D1C">
        <w:t>are</w:t>
      </w:r>
      <w:r>
        <w:t xml:space="preserve"> refined </w:t>
      </w:r>
      <w:r w:rsidR="007F3D1C">
        <w:t>periodically</w:t>
      </w:r>
      <w:r w:rsidR="000B7BC4">
        <w:t>,</w:t>
      </w:r>
      <w:r>
        <w:t xml:space="preserve"> based on experience</w:t>
      </w:r>
      <w:r w:rsidR="0038727E">
        <w:t xml:space="preserve"> and feedback from Review participants and users of Review publications</w:t>
      </w:r>
      <w:r w:rsidR="007F3D1C">
        <w:t xml:space="preserve">, </w:t>
      </w:r>
      <w:r w:rsidR="00503193">
        <w:t>and</w:t>
      </w:r>
      <w:r w:rsidR="007F3D1C">
        <w:t xml:space="preserve"> to reflect COAG developments</w:t>
      </w:r>
      <w:r w:rsidR="0038727E">
        <w:t>.</w:t>
      </w:r>
      <w:r w:rsidR="007F3D1C">
        <w:t xml:space="preserve"> This version was created in </w:t>
      </w:r>
      <w:r w:rsidR="00124DAD">
        <w:t>July 2017</w:t>
      </w:r>
      <w:r w:rsidR="007F3D1C">
        <w:t>.</w:t>
      </w:r>
    </w:p>
    <w:p w:rsidR="002E5122" w:rsidRDefault="002E5122">
      <w:pPr>
        <w:pStyle w:val="Heading3"/>
        <w:numPr>
          <w:ilvl w:val="12"/>
          <w:numId w:val="0"/>
        </w:numPr>
      </w:pPr>
      <w:bookmarkStart w:id="2" w:name="_Toc311650726"/>
      <w:r>
        <w:lastRenderedPageBreak/>
        <w:t>Role of the Steering Committee</w:t>
      </w:r>
      <w:bookmarkEnd w:id="2"/>
    </w:p>
    <w:p w:rsidR="002D6098" w:rsidRDefault="002D6098" w:rsidP="000146CD">
      <w:pPr>
        <w:pStyle w:val="Heading4"/>
      </w:pPr>
      <w:r>
        <w:t>Steering Committee approach</w:t>
      </w:r>
    </w:p>
    <w:p w:rsidR="002D6098" w:rsidRDefault="002D6098" w:rsidP="000146CD">
      <w:pPr>
        <w:pStyle w:val="BodyText"/>
        <w:numPr>
          <w:ilvl w:val="12"/>
          <w:numId w:val="0"/>
        </w:numPr>
      </w:pPr>
      <w:r>
        <w:t xml:space="preserve">Under the separate </w:t>
      </w:r>
      <w:r w:rsidR="00222D64">
        <w:t>Report on Government Services (</w:t>
      </w:r>
      <w:r>
        <w:t>RoGS</w:t>
      </w:r>
      <w:r w:rsidR="00222D64">
        <w:t>)</w:t>
      </w:r>
      <w:r>
        <w:t xml:space="preserve"> and Review terms of reference, in addition to specific reporting tasks, the Steering Committee is also required to:</w:t>
      </w:r>
    </w:p>
    <w:p w:rsidR="002D6098" w:rsidRDefault="002D6098" w:rsidP="000146CD">
      <w:pPr>
        <w:pStyle w:val="ListBullet"/>
      </w:pPr>
      <w:r>
        <w:t>exercise overall authority within the RoGS reporting process (RoGS tor)</w:t>
      </w:r>
    </w:p>
    <w:p w:rsidR="002D6098" w:rsidRDefault="002D6098" w:rsidP="000146CD">
      <w:pPr>
        <w:pStyle w:val="ListBullet"/>
      </w:pPr>
      <w:r>
        <w:t>implement a program of review and continuous improvement that will allow for changes to the scope of the RoGS over time (RoGS tor)</w:t>
      </w:r>
    </w:p>
    <w:p w:rsidR="002D6098" w:rsidRDefault="002D6098" w:rsidP="000146CD">
      <w:pPr>
        <w:pStyle w:val="ListBullet"/>
      </w:pPr>
      <w:r>
        <w:t>review the RoGS every three years and advise COAG on jurisdictions’</w:t>
      </w:r>
      <w:r w:rsidR="0036249D">
        <w:t xml:space="preserve"> </w:t>
      </w:r>
      <w:r>
        <w:t>compliance with data provision requirements, potential improvements in data</w:t>
      </w:r>
      <w:r w:rsidR="0036249D">
        <w:t xml:space="preserve"> </w:t>
      </w:r>
      <w:r>
        <w:t>collection and other relevant matters (RoGS tor)</w:t>
      </w:r>
    </w:p>
    <w:p w:rsidR="002D6098" w:rsidRDefault="002D6098" w:rsidP="000146CD">
      <w:pPr>
        <w:pStyle w:val="ListBullet"/>
      </w:pPr>
      <w:r>
        <w:t xml:space="preserve">exercise stewardship and drive improvements in the data it reports, in association with the </w:t>
      </w:r>
      <w:r w:rsidR="00124DAD">
        <w:t>COAG</w:t>
      </w:r>
      <w:r>
        <w:t xml:space="preserve"> Council for Federal Financial Relations, other </w:t>
      </w:r>
      <w:r w:rsidR="00124DAD">
        <w:t>COAG</w:t>
      </w:r>
      <w:r>
        <w:t xml:space="preserve"> Councils and data agencies (Review tor)</w:t>
      </w:r>
    </w:p>
    <w:p w:rsidR="002D6098" w:rsidRDefault="002D6098" w:rsidP="000146CD">
      <w:pPr>
        <w:pStyle w:val="ListBullet"/>
      </w:pPr>
      <w:proofErr w:type="gramStart"/>
      <w:r>
        <w:t>keep</w:t>
      </w:r>
      <w:proofErr w:type="gramEnd"/>
      <w:r>
        <w:t xml:space="preserve"> abreast of national and international developments in performance management, including the measurement and reporting of government service provision (Review tor).</w:t>
      </w:r>
    </w:p>
    <w:p w:rsidR="002D6098" w:rsidRDefault="002D6098" w:rsidP="000146CD">
      <w:pPr>
        <w:pStyle w:val="BodyText"/>
        <w:numPr>
          <w:ilvl w:val="12"/>
          <w:numId w:val="0"/>
        </w:numPr>
      </w:pPr>
      <w:r>
        <w:t>In order to achieve these tasks, the Steering Committee is committed to:</w:t>
      </w:r>
    </w:p>
    <w:p w:rsidR="002D6098" w:rsidRDefault="002D6098" w:rsidP="000146CD">
      <w:pPr>
        <w:pStyle w:val="ListBullet"/>
      </w:pPr>
      <w:r>
        <w:t>a principles-based approach to continuous improvement in review processes and report content, as outlined in its Charter of Operations</w:t>
      </w:r>
    </w:p>
    <w:p w:rsidR="002D6098" w:rsidRDefault="002D6098" w:rsidP="000146CD">
      <w:pPr>
        <w:pStyle w:val="ListBullet"/>
      </w:pPr>
      <w:r>
        <w:t>an active role in identifying gaps in reporting against priority policy areas and bringing these to the attention of other groups that develop, prepare and maintain data used in Review reports, and reporting outcomes of Steering Committee data</w:t>
      </w:r>
    </w:p>
    <w:p w:rsidR="002D6098" w:rsidRDefault="002D6098" w:rsidP="000146CD">
      <w:pPr>
        <w:pStyle w:val="ListBullet"/>
      </w:pPr>
      <w:proofErr w:type="gramStart"/>
      <w:r>
        <w:t>reviews</w:t>
      </w:r>
      <w:proofErr w:type="gramEnd"/>
      <w:r>
        <w:t xml:space="preserve"> to authorities such as Heads of Treasuries and COAG.</w:t>
      </w:r>
    </w:p>
    <w:p w:rsidR="001F3D96" w:rsidRDefault="001F3D96" w:rsidP="001F3D96">
      <w:pPr>
        <w:pStyle w:val="Heading4"/>
      </w:pPr>
      <w:r>
        <w:t>Structure and governance</w:t>
      </w:r>
    </w:p>
    <w:p w:rsidR="002E5122" w:rsidRDefault="002E5122">
      <w:pPr>
        <w:pStyle w:val="BodyText"/>
      </w:pPr>
      <w:r>
        <w:t xml:space="preserve">The Steering Committee, on behalf of COAG, oversees the Review, including the Secretariat, working groups and publications. The Steering Committee comprises central agency representatives from each Australian, State and Territory </w:t>
      </w:r>
      <w:r w:rsidR="00A133D2">
        <w:t>g</w:t>
      </w:r>
      <w:r>
        <w:t>overnment.</w:t>
      </w:r>
      <w:r w:rsidR="007F3D1C">
        <w:rPr>
          <w:rStyle w:val="FootnoteReference"/>
        </w:rPr>
        <w:footnoteReference w:id="1"/>
      </w:r>
      <w:r>
        <w:t xml:space="preserve"> The Steering Committee is chaired by </w:t>
      </w:r>
      <w:r w:rsidR="00CE03D8">
        <w:t xml:space="preserve">the </w:t>
      </w:r>
      <w:r>
        <w:t>Chairman</w:t>
      </w:r>
      <w:r w:rsidR="00CE03D8">
        <w:t xml:space="preserve"> of the</w:t>
      </w:r>
      <w:r w:rsidR="00864760">
        <w:t xml:space="preserve"> </w:t>
      </w:r>
      <w:r>
        <w:t xml:space="preserve">Productivity Commission. </w:t>
      </w:r>
      <w:r w:rsidR="00BC5DB7" w:rsidRPr="00BC5DB7">
        <w:t xml:space="preserve">In recognition of the value of expert technical advice, and the need for collaborative action, the Steering Committee also includes observers from relevant data agencies, currently: the Australian Bureau of Statistics and the Australian Institute of Health and Welfare. </w:t>
      </w:r>
      <w:r>
        <w:t xml:space="preserve">This </w:t>
      </w:r>
      <w:r w:rsidR="0038727E">
        <w:t>structure ensures that Review publications are an</w:t>
      </w:r>
      <w:r>
        <w:t xml:space="preserve"> independent and objective source of information, not beholden to any one jurisdiction or service</w:t>
      </w:r>
      <w:r w:rsidR="0038727E">
        <w:t xml:space="preserve"> </w:t>
      </w:r>
      <w:r w:rsidR="00864760">
        <w:t>area</w:t>
      </w:r>
      <w:r>
        <w:t>.</w:t>
      </w:r>
    </w:p>
    <w:p w:rsidR="00E01F55" w:rsidRDefault="00E01F55" w:rsidP="00E01F55">
      <w:pPr>
        <w:pStyle w:val="BodyText"/>
      </w:pPr>
      <w:r>
        <w:t xml:space="preserve">The Steering Committee adopts a consensus approach to decision-making. </w:t>
      </w:r>
      <w:r w:rsidR="0036249D">
        <w:t>In the context of the Review, c</w:t>
      </w:r>
      <w:r w:rsidR="000979B8">
        <w:t xml:space="preserve">onsensus </w:t>
      </w:r>
      <w:r w:rsidR="0036249D">
        <w:t>can</w:t>
      </w:r>
      <w:r w:rsidR="000979B8">
        <w:t xml:space="preserve"> mean that </w:t>
      </w:r>
      <w:r w:rsidR="0036249D">
        <w:t>a majority of members</w:t>
      </w:r>
      <w:r w:rsidR="000979B8">
        <w:t xml:space="preserve"> agree, </w:t>
      </w:r>
      <w:r w:rsidR="0036249D">
        <w:t>with</w:t>
      </w:r>
      <w:r w:rsidR="000979B8">
        <w:t xml:space="preserve"> </w:t>
      </w:r>
      <w:r w:rsidR="00D04DFB">
        <w:t>the remainder</w:t>
      </w:r>
      <w:r w:rsidR="000979B8">
        <w:t xml:space="preserve"> content to give way</w:t>
      </w:r>
      <w:r w:rsidR="0036249D">
        <w:t>, if necessary</w:t>
      </w:r>
      <w:r w:rsidR="000979B8">
        <w:t xml:space="preserve"> </w:t>
      </w:r>
      <w:r w:rsidR="0023345B">
        <w:t xml:space="preserve">with a mention of </w:t>
      </w:r>
      <w:r w:rsidR="0036249D">
        <w:t>any</w:t>
      </w:r>
      <w:r w:rsidR="0023345B">
        <w:t xml:space="preserve"> </w:t>
      </w:r>
      <w:r w:rsidR="000979B8">
        <w:t>objection</w:t>
      </w:r>
      <w:r w:rsidR="0023345B">
        <w:t>s</w:t>
      </w:r>
      <w:r w:rsidR="000979B8">
        <w:t xml:space="preserve"> in the minutes. Where consensus is not reached</w:t>
      </w:r>
      <w:r w:rsidR="0023345B">
        <w:t xml:space="preserve"> </w:t>
      </w:r>
      <w:r>
        <w:t>decisions are based on majority vote of Steering Committee members, with each jurisdiction’s members having one joint vote. Should the Steering Committee be equally divided, the Chairman has a casting vote.</w:t>
      </w:r>
      <w:r w:rsidR="000979B8">
        <w:t xml:space="preserve"> </w:t>
      </w:r>
    </w:p>
    <w:p w:rsidR="007742DA" w:rsidRDefault="007742DA" w:rsidP="007742DA">
      <w:pPr>
        <w:pStyle w:val="BodyText"/>
        <w:numPr>
          <w:ilvl w:val="12"/>
          <w:numId w:val="0"/>
        </w:numPr>
      </w:pPr>
      <w:r>
        <w:lastRenderedPageBreak/>
        <w:t>When the Chairman or the Secretariat seeks feedback from Steering Committee members, silence on a matter is taken as assent.</w:t>
      </w:r>
    </w:p>
    <w:p w:rsidR="001F3D96" w:rsidRDefault="001F3D96" w:rsidP="001F3D96">
      <w:pPr>
        <w:pStyle w:val="Heading4"/>
      </w:pPr>
      <w:r>
        <w:t>Output</w:t>
      </w:r>
      <w:r w:rsidR="00CE03D8">
        <w:t>s</w:t>
      </w:r>
      <w:r>
        <w:t xml:space="preserve"> and responsibilities</w:t>
      </w:r>
    </w:p>
    <w:p w:rsidR="002E5122" w:rsidRDefault="002E5122" w:rsidP="00E01F55">
      <w:pPr>
        <w:pStyle w:val="BodyText"/>
      </w:pPr>
      <w:r>
        <w:t xml:space="preserve">The Steering Committee is the author of all Review publications and ultimately decides </w:t>
      </w:r>
      <w:r w:rsidR="00503193">
        <w:t>report</w:t>
      </w:r>
      <w:r>
        <w:t xml:space="preserve"> structure, content and timing.</w:t>
      </w:r>
      <w:r w:rsidR="00294116">
        <w:t xml:space="preserve"> </w:t>
      </w:r>
      <w:r w:rsidR="00357665">
        <w:t>The Steering Committee</w:t>
      </w:r>
      <w:r w:rsidR="00294116">
        <w:t>:</w:t>
      </w:r>
    </w:p>
    <w:p w:rsidR="00357665" w:rsidRPr="00C119B2" w:rsidRDefault="00357665" w:rsidP="00357665">
      <w:pPr>
        <w:pStyle w:val="ListBullet"/>
        <w:rPr>
          <w:i/>
        </w:rPr>
      </w:pPr>
      <w:r w:rsidRPr="00C119B2">
        <w:t>measure</w:t>
      </w:r>
      <w:r>
        <w:t>s</w:t>
      </w:r>
      <w:r w:rsidRPr="00C119B2">
        <w:t xml:space="preserve"> and publish</w:t>
      </w:r>
      <w:r>
        <w:t>es</w:t>
      </w:r>
      <w:r w:rsidRPr="00C119B2">
        <w:t xml:space="preserve"> annually data on the equity, efficiency and cost effectiveness of government services through the </w:t>
      </w:r>
      <w:r w:rsidRPr="00C119B2">
        <w:rPr>
          <w:i/>
        </w:rPr>
        <w:t>Report on Government Services</w:t>
      </w:r>
      <w:r>
        <w:rPr>
          <w:i/>
        </w:rPr>
        <w:t xml:space="preserve"> </w:t>
      </w:r>
      <w:r>
        <w:t>— terms of reference are at attachment 2</w:t>
      </w:r>
    </w:p>
    <w:p w:rsidR="00357665" w:rsidRDefault="00357665" w:rsidP="00357665">
      <w:pPr>
        <w:pStyle w:val="ListBullet"/>
      </w:pPr>
      <w:r w:rsidRPr="00C119B2">
        <w:t>produce</w:t>
      </w:r>
      <w:r>
        <w:t>s</w:t>
      </w:r>
      <w:r w:rsidRPr="00C119B2">
        <w:t xml:space="preserve"> </w:t>
      </w:r>
      <w:r w:rsidR="000E1E70">
        <w:t xml:space="preserve">and publishes </w:t>
      </w:r>
      <w:r w:rsidRPr="00C119B2">
        <w:t>the</w:t>
      </w:r>
      <w:r w:rsidR="0036249D">
        <w:t xml:space="preserve"> </w:t>
      </w:r>
      <w:r w:rsidRPr="00C119B2">
        <w:rPr>
          <w:i/>
        </w:rPr>
        <w:t>Overcoming Indigenous Disadvantage</w:t>
      </w:r>
      <w:r w:rsidR="0036249D">
        <w:rPr>
          <w:i/>
        </w:rPr>
        <w:t>: Key Indicators</w:t>
      </w:r>
      <w:r w:rsidRPr="00C119B2">
        <w:t xml:space="preserve"> report</w:t>
      </w:r>
      <w:r>
        <w:t xml:space="preserve"> — terms of reference are at attachment 3</w:t>
      </w:r>
    </w:p>
    <w:p w:rsidR="000E1E70" w:rsidRPr="00C119B2" w:rsidRDefault="000E1E70" w:rsidP="00357665">
      <w:pPr>
        <w:pStyle w:val="ListBullet"/>
      </w:pPr>
      <w:r>
        <w:t xml:space="preserve">produces and publishes the </w:t>
      </w:r>
      <w:r w:rsidRPr="00124DAD">
        <w:rPr>
          <w:i/>
        </w:rPr>
        <w:t>Indigenous Expenditure Report</w:t>
      </w:r>
      <w:r>
        <w:t xml:space="preserve"> </w:t>
      </w:r>
      <w:r w:rsidR="007E2148">
        <w:t>—</w:t>
      </w:r>
      <w:r>
        <w:t xml:space="preserve"> terms of reference are at attachment 4</w:t>
      </w:r>
    </w:p>
    <w:p w:rsidR="00357665" w:rsidRPr="00C119B2" w:rsidRDefault="00357665" w:rsidP="00357665">
      <w:pPr>
        <w:pStyle w:val="ListBullet"/>
      </w:pPr>
      <w:r w:rsidRPr="00C119B2">
        <w:t>collate</w:t>
      </w:r>
      <w:r>
        <w:t>s</w:t>
      </w:r>
      <w:r w:rsidRPr="00C119B2">
        <w:t xml:space="preserve"> performance data </w:t>
      </w:r>
      <w:r w:rsidR="00124DAD">
        <w:t>for the National Indigenous Reform Agreement — and for other National Agreements where data are relevant for inclusion in the Report on Government Services</w:t>
      </w:r>
    </w:p>
    <w:p w:rsidR="00CE03D8" w:rsidRDefault="00357665" w:rsidP="00357665">
      <w:pPr>
        <w:pStyle w:val="ListBullet"/>
      </w:pPr>
      <w:r w:rsidRPr="00C119B2">
        <w:t>initiate</w:t>
      </w:r>
      <w:r>
        <w:t>s</w:t>
      </w:r>
      <w:r w:rsidRPr="00C119B2">
        <w:t xml:space="preserve"> research and report</w:t>
      </w:r>
      <w:r>
        <w:t>s</w:t>
      </w:r>
      <w:r w:rsidRPr="00C119B2">
        <w:t xml:space="preserve"> on improvements and innovation in service provision </w:t>
      </w:r>
    </w:p>
    <w:p w:rsidR="00357665" w:rsidRPr="00C119B2" w:rsidRDefault="00124DAD" w:rsidP="00357665">
      <w:pPr>
        <w:pStyle w:val="ListBullet"/>
      </w:pPr>
      <w:proofErr w:type="gramStart"/>
      <w:r>
        <w:t>may</w:t>
      </w:r>
      <w:proofErr w:type="gramEnd"/>
      <w:r>
        <w:t xml:space="preserve"> perform</w:t>
      </w:r>
      <w:r w:rsidR="00CE03D8">
        <w:t xml:space="preserve"> </w:t>
      </w:r>
      <w:r w:rsidR="00357665" w:rsidRPr="00C119B2">
        <w:t>other tasks referred to it by COAG</w:t>
      </w:r>
      <w:r w:rsidR="00CE03D8">
        <w:t xml:space="preserve"> or related bodies (such as the </w:t>
      </w:r>
      <w:r>
        <w:t xml:space="preserve">COAG </w:t>
      </w:r>
      <w:r w:rsidR="00CE03D8">
        <w:t>Council for Federal Financial Relations)</w:t>
      </w:r>
      <w:r w:rsidR="00357665" w:rsidRPr="00C119B2">
        <w:t xml:space="preserve">. </w:t>
      </w:r>
    </w:p>
    <w:p w:rsidR="002E5122" w:rsidRDefault="00CE03D8">
      <w:pPr>
        <w:pStyle w:val="BodyText"/>
        <w:numPr>
          <w:ilvl w:val="12"/>
          <w:numId w:val="0"/>
        </w:numPr>
      </w:pPr>
      <w:r>
        <w:t>T</w:t>
      </w:r>
      <w:r w:rsidR="002E5122">
        <w:t>he Steering Committee:</w:t>
      </w:r>
    </w:p>
    <w:p w:rsidR="002E5122" w:rsidRDefault="002E5122" w:rsidP="007662D3">
      <w:pPr>
        <w:pStyle w:val="ListBullet"/>
      </w:pPr>
      <w:r>
        <w:t>represents each State and Territory</w:t>
      </w:r>
      <w:r w:rsidR="00357665">
        <w:t xml:space="preserve"> government</w:t>
      </w:r>
      <w:r>
        <w:t xml:space="preserve">, </w:t>
      </w:r>
      <w:r w:rsidR="00D359AD">
        <w:t xml:space="preserve">and </w:t>
      </w:r>
      <w:r>
        <w:t xml:space="preserve">the Australian </w:t>
      </w:r>
      <w:r w:rsidR="00CE03D8">
        <w:t>G</w:t>
      </w:r>
      <w:r w:rsidR="00D359AD">
        <w:t>overnment</w:t>
      </w:r>
      <w:r>
        <w:t>, from a whole</w:t>
      </w:r>
      <w:r w:rsidR="0038727E">
        <w:t xml:space="preserve"> </w:t>
      </w:r>
      <w:r>
        <w:t>of</w:t>
      </w:r>
      <w:r w:rsidR="0038727E">
        <w:t xml:space="preserve"> </w:t>
      </w:r>
      <w:r>
        <w:t>government perspective</w:t>
      </w:r>
      <w:r w:rsidR="007E2148">
        <w:rPr>
          <w:rStyle w:val="FootnoteReference"/>
        </w:rPr>
        <w:footnoteReference w:id="2"/>
      </w:r>
    </w:p>
    <w:p w:rsidR="00A809B2" w:rsidRDefault="002E5122" w:rsidP="007662D3">
      <w:pPr>
        <w:pStyle w:val="ListBullet"/>
      </w:pPr>
      <w:r>
        <w:t>decides the policy directions for the Review</w:t>
      </w:r>
      <w:r w:rsidR="007E2148">
        <w:t>, such as scope</w:t>
      </w:r>
      <w:r>
        <w:t xml:space="preserve"> </w:t>
      </w:r>
      <w:r w:rsidR="007E2148">
        <w:t>of and principles for reporting</w:t>
      </w:r>
    </w:p>
    <w:p w:rsidR="002E5122" w:rsidRDefault="00A809B2" w:rsidP="007662D3">
      <w:pPr>
        <w:pStyle w:val="ListBullet"/>
      </w:pPr>
      <w:r>
        <w:t>functions complementar</w:t>
      </w:r>
      <w:r w:rsidR="009B146E">
        <w:t>il</w:t>
      </w:r>
      <w:r>
        <w:t>y</w:t>
      </w:r>
      <w:r w:rsidRPr="00A809B2">
        <w:t xml:space="preserve"> to other entities within the national performance reporting system</w:t>
      </w:r>
    </w:p>
    <w:p w:rsidR="002E5122" w:rsidRDefault="002E5122" w:rsidP="007662D3">
      <w:pPr>
        <w:pStyle w:val="ListBullet"/>
      </w:pPr>
      <w:r>
        <w:t xml:space="preserve">provides final approval on </w:t>
      </w:r>
      <w:r w:rsidR="00CE03D8">
        <w:t>overarching frameworks</w:t>
      </w:r>
      <w:r w:rsidR="001D5D38">
        <w:t xml:space="preserve">, </w:t>
      </w:r>
      <w:r>
        <w:t xml:space="preserve">the set of indicators </w:t>
      </w:r>
      <w:r w:rsidR="001D5D38">
        <w:t xml:space="preserve">and final content of </w:t>
      </w:r>
      <w:r w:rsidR="00CE03D8">
        <w:t>Review publications</w:t>
      </w:r>
      <w:r w:rsidR="007E2148">
        <w:t>,</w:t>
      </w:r>
      <w:r w:rsidR="001D5D38">
        <w:t xml:space="preserve"> and</w:t>
      </w:r>
      <w:r w:rsidR="00CE03D8">
        <w:t xml:space="preserve"> </w:t>
      </w:r>
      <w:r w:rsidR="001D5D38">
        <w:t>collectively provides final approval on publications</w:t>
      </w:r>
    </w:p>
    <w:p w:rsidR="002E5122" w:rsidRDefault="00CE03D8" w:rsidP="007662D3">
      <w:pPr>
        <w:pStyle w:val="ListBullet"/>
      </w:pPr>
      <w:r>
        <w:t>resolves</w:t>
      </w:r>
      <w:r w:rsidR="002E5122">
        <w:t xml:space="preserve"> issues brought to it from working groups</w:t>
      </w:r>
    </w:p>
    <w:p w:rsidR="002E5122" w:rsidRDefault="0038727E" w:rsidP="007662D3">
      <w:pPr>
        <w:pStyle w:val="ListBullet"/>
      </w:pPr>
      <w:r>
        <w:t>conduct</w:t>
      </w:r>
      <w:r w:rsidR="00364D8C">
        <w:t>s</w:t>
      </w:r>
      <w:r w:rsidR="002E5122">
        <w:t xml:space="preserve"> research associated with the Review</w:t>
      </w:r>
    </w:p>
    <w:p w:rsidR="00864760" w:rsidRDefault="00864760" w:rsidP="007662D3">
      <w:pPr>
        <w:pStyle w:val="ListBullet"/>
      </w:pPr>
      <w:r>
        <w:t>works to improve the comparability</w:t>
      </w:r>
      <w:r w:rsidR="00CE03D8">
        <w:t>,</w:t>
      </w:r>
      <w:r>
        <w:t xml:space="preserve"> </w:t>
      </w:r>
      <w:r w:rsidR="00CE03D8" w:rsidRPr="00A809B2">
        <w:t>quality and integrity</w:t>
      </w:r>
      <w:r w:rsidR="00CE03D8">
        <w:t xml:space="preserve"> </w:t>
      </w:r>
      <w:r>
        <w:t xml:space="preserve">of </w:t>
      </w:r>
      <w:r w:rsidR="00CE03D8">
        <w:t xml:space="preserve">reported </w:t>
      </w:r>
      <w:r>
        <w:t xml:space="preserve">data </w:t>
      </w:r>
    </w:p>
    <w:p w:rsidR="002E5122" w:rsidRDefault="002E5122" w:rsidP="007662D3">
      <w:pPr>
        <w:pStyle w:val="ListBullet"/>
      </w:pPr>
      <w:proofErr w:type="gramStart"/>
      <w:r>
        <w:t>provides</w:t>
      </w:r>
      <w:proofErr w:type="gramEnd"/>
      <w:r>
        <w:t xml:space="preserve"> the forum </w:t>
      </w:r>
      <w:r w:rsidR="007E2148">
        <w:t xml:space="preserve">in which </w:t>
      </w:r>
      <w:r>
        <w:t>participating jurisdictions determine whether they will approve the inclusion of their data</w:t>
      </w:r>
      <w:r w:rsidR="00CE03D8">
        <w:t>. Steering Committee members from one jurisdiction may choose not to publish information relating to their own jurisdiction but may not veto the publication of information relating to other jurisdictions</w:t>
      </w:r>
    </w:p>
    <w:p w:rsidR="001D5D38" w:rsidRDefault="001D5D38" w:rsidP="007662D3">
      <w:pPr>
        <w:pStyle w:val="ListBullet"/>
      </w:pPr>
      <w:proofErr w:type="gramStart"/>
      <w:r>
        <w:t>authorises</w:t>
      </w:r>
      <w:proofErr w:type="gramEnd"/>
      <w:r>
        <w:t xml:space="preserve"> funding of research projects or consultancies undertaken by the Review on behalf of their jurisdictions. Individual Steering Committee members are responsible for determining sources of the funding within their jurisdictions. Neither the Steering Committee nor the Secretariat has a budget allocated for such projects</w:t>
      </w:r>
    </w:p>
    <w:p w:rsidR="002E5122" w:rsidRDefault="00A809B2" w:rsidP="00A809B2">
      <w:pPr>
        <w:pStyle w:val="ListBullet"/>
      </w:pPr>
      <w:proofErr w:type="gramStart"/>
      <w:r w:rsidRPr="00A809B2">
        <w:lastRenderedPageBreak/>
        <w:t>seeks</w:t>
      </w:r>
      <w:proofErr w:type="gramEnd"/>
      <w:r w:rsidRPr="00A809B2">
        <w:t xml:space="preserve"> to maximise the accessibility to governments and the Australian community of the performance data it collects and</w:t>
      </w:r>
      <w:r w:rsidR="00364D8C">
        <w:t>/or</w:t>
      </w:r>
      <w:r w:rsidRPr="00A809B2">
        <w:t xml:space="preserve"> collates</w:t>
      </w:r>
      <w:r w:rsidR="002E5122">
        <w:t>.</w:t>
      </w:r>
    </w:p>
    <w:p w:rsidR="002E5122" w:rsidRDefault="002E5122" w:rsidP="007E2148">
      <w:pPr>
        <w:pStyle w:val="BodyText"/>
        <w:keepNext/>
      </w:pPr>
      <w:r>
        <w:t xml:space="preserve">The Steering Committee </w:t>
      </w:r>
      <w:r w:rsidR="007742DA">
        <w:t>typically</w:t>
      </w:r>
      <w:r w:rsidR="00864760">
        <w:t xml:space="preserve"> </w:t>
      </w:r>
      <w:r>
        <w:t>meets three times a year</w:t>
      </w:r>
      <w:r w:rsidR="00124DAD">
        <w:t xml:space="preserve"> (at least one meeting is face to face, currently the August meeting)</w:t>
      </w:r>
      <w:r>
        <w:t xml:space="preserve">: </w:t>
      </w:r>
    </w:p>
    <w:p w:rsidR="002E5122" w:rsidRDefault="007742DA">
      <w:pPr>
        <w:pStyle w:val="ListBullet"/>
      </w:pPr>
      <w:r>
        <w:t xml:space="preserve">around </w:t>
      </w:r>
      <w:r w:rsidR="00124DAD">
        <w:t>May</w:t>
      </w:r>
      <w:r w:rsidR="002E5122">
        <w:t xml:space="preserve"> (includes endorsement of the strategic plan for each </w:t>
      </w:r>
      <w:r w:rsidR="0022160C">
        <w:t xml:space="preserve">RoGS </w:t>
      </w:r>
      <w:r w:rsidR="00240566">
        <w:t>Working Group</w:t>
      </w:r>
      <w:r w:rsidR="002E5122">
        <w:t>)</w:t>
      </w:r>
    </w:p>
    <w:p w:rsidR="002E5122" w:rsidRDefault="007742DA">
      <w:pPr>
        <w:pStyle w:val="ListBullet"/>
      </w:pPr>
      <w:r>
        <w:t xml:space="preserve">around </w:t>
      </w:r>
      <w:r w:rsidR="002E5122">
        <w:t>August (includes proposed reporting framework</w:t>
      </w:r>
      <w:r w:rsidR="0022160C">
        <w:t xml:space="preserve"> developments</w:t>
      </w:r>
      <w:r w:rsidR="002E5122">
        <w:t xml:space="preserve">, and any proposed alteration to the </w:t>
      </w:r>
      <w:r w:rsidR="0022160C">
        <w:t>RoGS</w:t>
      </w:r>
      <w:r w:rsidR="002E5122">
        <w:t>)</w:t>
      </w:r>
    </w:p>
    <w:p w:rsidR="002E5122" w:rsidRDefault="007742DA">
      <w:pPr>
        <w:pStyle w:val="ListBullet"/>
      </w:pPr>
      <w:proofErr w:type="gramStart"/>
      <w:r>
        <w:t>around</w:t>
      </w:r>
      <w:proofErr w:type="gramEnd"/>
      <w:r>
        <w:t xml:space="preserve"> </w:t>
      </w:r>
      <w:r w:rsidR="00EF0CDD">
        <w:t>December</w:t>
      </w:r>
      <w:r w:rsidR="002E5122">
        <w:t xml:space="preserve"> (</w:t>
      </w:r>
      <w:r w:rsidR="0026692D">
        <w:t xml:space="preserve">includes consideration of a </w:t>
      </w:r>
      <w:r w:rsidR="001F1938">
        <w:t>Steering Committee draft</w:t>
      </w:r>
      <w:r w:rsidR="002E5122">
        <w:t xml:space="preserve"> of the R</w:t>
      </w:r>
      <w:r w:rsidR="0022160C">
        <w:t>oGS</w:t>
      </w:r>
      <w:r w:rsidR="00384D9B">
        <w:t xml:space="preserve"> and distribution strategy</w:t>
      </w:r>
      <w:r w:rsidR="002E5122">
        <w:t>).</w:t>
      </w:r>
    </w:p>
    <w:p w:rsidR="00040537" w:rsidRDefault="00BA7706" w:rsidP="00384D9B">
      <w:pPr>
        <w:pStyle w:val="BodyText"/>
      </w:pPr>
      <w:r>
        <w:t>The Steering C</w:t>
      </w:r>
      <w:r w:rsidR="00864760">
        <w:t xml:space="preserve">ommittee </w:t>
      </w:r>
      <w:r w:rsidR="00040537">
        <w:t xml:space="preserve">may hold additional </w:t>
      </w:r>
      <w:r w:rsidR="00864760">
        <w:t>meet</w:t>
      </w:r>
      <w:r w:rsidR="00040537">
        <w:t>ings</w:t>
      </w:r>
      <w:r w:rsidR="007E2148">
        <w:t xml:space="preserve">, </w:t>
      </w:r>
      <w:proofErr w:type="spellStart"/>
      <w:r w:rsidR="007E2148">
        <w:t>telepresences</w:t>
      </w:r>
      <w:proofErr w:type="spellEnd"/>
      <w:r w:rsidR="00864760">
        <w:t xml:space="preserve"> or teleconferences, for specific</w:t>
      </w:r>
      <w:r w:rsidR="00040537">
        <w:t xml:space="preserve"> purposes</w:t>
      </w:r>
      <w:r w:rsidR="00384D9B">
        <w:t xml:space="preserve"> (for example, to sign off draft</w:t>
      </w:r>
      <w:r w:rsidR="007A6D95">
        <w:t>s</w:t>
      </w:r>
      <w:r w:rsidR="00384D9B">
        <w:t xml:space="preserve"> of other Review reports)</w:t>
      </w:r>
      <w:r w:rsidR="00040537">
        <w:t xml:space="preserve">. </w:t>
      </w:r>
    </w:p>
    <w:p w:rsidR="00040537" w:rsidRDefault="00040537">
      <w:pPr>
        <w:pStyle w:val="BodyText"/>
        <w:numPr>
          <w:ilvl w:val="12"/>
          <w:numId w:val="0"/>
        </w:numPr>
      </w:pPr>
      <w:r>
        <w:t>The Steering Committee may also consider papers and provide comment</w:t>
      </w:r>
      <w:r w:rsidR="00384D9B">
        <w:t xml:space="preserve"> or endorse recommendations out-of-</w:t>
      </w:r>
      <w:r>
        <w:t xml:space="preserve">session. </w:t>
      </w:r>
    </w:p>
    <w:p w:rsidR="002B2B0C" w:rsidRDefault="002B2B0C" w:rsidP="002B2B0C">
      <w:pPr>
        <w:pStyle w:val="Heading4"/>
      </w:pPr>
      <w:r>
        <w:t>Convenors’ role</w:t>
      </w:r>
    </w:p>
    <w:p w:rsidR="007742DA" w:rsidRDefault="002E5122">
      <w:pPr>
        <w:pStyle w:val="BodyText"/>
      </w:pPr>
      <w:r>
        <w:t xml:space="preserve">A Steering Committee member convenes each </w:t>
      </w:r>
      <w:r w:rsidR="00F7371C">
        <w:t>W</w:t>
      </w:r>
      <w:r>
        <w:t xml:space="preserve">orking </w:t>
      </w:r>
      <w:r w:rsidR="00F7371C">
        <w:t>G</w:t>
      </w:r>
      <w:r>
        <w:t>roup to facilitate effective communication between the Steering Committee and the working groups</w:t>
      </w:r>
      <w:r w:rsidR="007742DA">
        <w:t>:</w:t>
      </w:r>
    </w:p>
    <w:p w:rsidR="007742DA" w:rsidRDefault="007742DA" w:rsidP="007742DA">
      <w:pPr>
        <w:pStyle w:val="ListBullet"/>
      </w:pPr>
      <w:r>
        <w:t>A</w:t>
      </w:r>
      <w:r w:rsidR="002E5122" w:rsidRPr="00040537">
        <w:t xml:space="preserve"> Convenor represents the Steering Committee </w:t>
      </w:r>
      <w:r w:rsidRPr="00040537">
        <w:t xml:space="preserve">at Working Group meetings </w:t>
      </w:r>
      <w:r>
        <w:t>—</w:t>
      </w:r>
      <w:r w:rsidR="002E5122" w:rsidRPr="00040537">
        <w:t xml:space="preserve"> not their own jurisdiction</w:t>
      </w:r>
      <w:r w:rsidR="001F3D96" w:rsidRPr="00040537">
        <w:t>, or the service area</w:t>
      </w:r>
      <w:r w:rsidR="002B2B0C" w:rsidRPr="00040537">
        <w:t xml:space="preserve"> of the Working Group</w:t>
      </w:r>
      <w:r w:rsidR="002E5122" w:rsidRPr="00040537">
        <w:t>.</w:t>
      </w:r>
      <w:r w:rsidR="0038727E" w:rsidRPr="00040537">
        <w:t xml:space="preserve"> </w:t>
      </w:r>
    </w:p>
    <w:p w:rsidR="00A35C0A" w:rsidRDefault="00A35C0A" w:rsidP="007742DA">
      <w:pPr>
        <w:pStyle w:val="ListBullet"/>
      </w:pPr>
      <w:r>
        <w:t>A Convenor is expected to support Steering Committee requests and policies in discussions with Working Group members and to convey dissenting Working Group views to the Steering Committee for consideration by the Committee as a whole.</w:t>
      </w:r>
    </w:p>
    <w:p w:rsidR="002E5122" w:rsidRDefault="007742DA" w:rsidP="007742DA">
      <w:pPr>
        <w:pStyle w:val="ListBullet"/>
      </w:pPr>
      <w:r>
        <w:t>A</w:t>
      </w:r>
      <w:r w:rsidR="0038727E" w:rsidRPr="00040537">
        <w:t xml:space="preserve"> Convenor represents both their </w:t>
      </w:r>
      <w:r w:rsidR="00F7371C" w:rsidRPr="00040537">
        <w:t>W</w:t>
      </w:r>
      <w:r w:rsidR="0038727E" w:rsidRPr="00040537">
        <w:t xml:space="preserve">orking </w:t>
      </w:r>
      <w:r w:rsidR="00F7371C" w:rsidRPr="00040537">
        <w:t>G</w:t>
      </w:r>
      <w:r w:rsidR="0038727E" w:rsidRPr="00040537">
        <w:t>roup and their jurisdiction at Steering Committee meetings.</w:t>
      </w:r>
      <w:r w:rsidR="0038727E">
        <w:t xml:space="preserve"> </w:t>
      </w:r>
    </w:p>
    <w:p w:rsidR="00A35C0A" w:rsidRDefault="00A35C0A" w:rsidP="007742DA">
      <w:pPr>
        <w:pStyle w:val="ListBullet"/>
      </w:pPr>
      <w:r>
        <w:t>On contentious issues, jurisdictional Steering Committee representatives should support the relevant Convenor by briefing line agencies in their jurisdiction that central agencies support the Steering Committee’s approach to reporting.</w:t>
      </w:r>
    </w:p>
    <w:p w:rsidR="002E5122" w:rsidRDefault="002E5122">
      <w:pPr>
        <w:pStyle w:val="Heading3"/>
        <w:numPr>
          <w:ilvl w:val="12"/>
          <w:numId w:val="0"/>
        </w:numPr>
      </w:pPr>
      <w:bookmarkStart w:id="3" w:name="_Toc311650727"/>
      <w:r>
        <w:t>Role of the working groups</w:t>
      </w:r>
      <w:bookmarkEnd w:id="3"/>
    </w:p>
    <w:p w:rsidR="00B22493" w:rsidRDefault="00B22493" w:rsidP="00B22493">
      <w:pPr>
        <w:pStyle w:val="Heading4"/>
      </w:pPr>
      <w:r>
        <w:t>Structure and governance</w:t>
      </w:r>
    </w:p>
    <w:p w:rsidR="0022160C" w:rsidRDefault="002C1F81">
      <w:pPr>
        <w:pStyle w:val="BodyText"/>
        <w:numPr>
          <w:ilvl w:val="12"/>
          <w:numId w:val="0"/>
        </w:numPr>
      </w:pPr>
      <w:r>
        <w:t>Cross-jurisdictional w</w:t>
      </w:r>
      <w:r w:rsidR="0038727E">
        <w:t>orking</w:t>
      </w:r>
      <w:r w:rsidR="002E5122">
        <w:t xml:space="preserve"> groups</w:t>
      </w:r>
      <w:r>
        <w:t xml:space="preserve"> have been established by the Steering Committee to </w:t>
      </w:r>
      <w:r w:rsidR="002E5122">
        <w:t>provide expert advice on the development</w:t>
      </w:r>
      <w:r w:rsidR="0038727E">
        <w:t>, improvement</w:t>
      </w:r>
      <w:r w:rsidR="002E5122">
        <w:t xml:space="preserve"> and reporting of performance indicators</w:t>
      </w:r>
      <w:r w:rsidR="007742DA">
        <w:t xml:space="preserve"> and related contextual material, to facilitate communication between the Steering Committee and service areas,</w:t>
      </w:r>
      <w:r w:rsidR="00770DFD">
        <w:t xml:space="preserve"> and to improve the comparability of data</w:t>
      </w:r>
      <w:r w:rsidR="002E5122">
        <w:t xml:space="preserve">. </w:t>
      </w:r>
    </w:p>
    <w:p w:rsidR="00E32936" w:rsidRDefault="00E32936" w:rsidP="00A35C0A">
      <w:pPr>
        <w:pStyle w:val="BodyText"/>
        <w:keepNext/>
        <w:keepLines/>
        <w:widowControl w:val="0"/>
        <w:numPr>
          <w:ilvl w:val="12"/>
          <w:numId w:val="0"/>
        </w:numPr>
      </w:pPr>
      <w:r>
        <w:lastRenderedPageBreak/>
        <w:t>There are currently 1</w:t>
      </w:r>
      <w:r w:rsidR="00384D9B">
        <w:t>1 working groups, 9</w:t>
      </w:r>
      <w:r>
        <w:t xml:space="preserve"> for the RoGS one for the OID</w:t>
      </w:r>
      <w:r w:rsidR="0036249D">
        <w:t xml:space="preserve"> and one for the </w:t>
      </w:r>
      <w:r w:rsidR="00222D64">
        <w:t>Indigenous Expenditure Report (</w:t>
      </w:r>
      <w:r w:rsidR="0036249D">
        <w:t>IER</w:t>
      </w:r>
      <w:r w:rsidR="00222D64">
        <w:t>)</w:t>
      </w:r>
      <w:r>
        <w:t>:</w:t>
      </w:r>
    </w:p>
    <w:p w:rsidR="007A6D95" w:rsidRDefault="007A6D95" w:rsidP="007A6D95">
      <w:pPr>
        <w:pStyle w:val="BoxSpace"/>
      </w:pPr>
    </w:p>
    <w:tbl>
      <w:tblPr>
        <w:tblW w:w="0" w:type="auto"/>
        <w:tblLayout w:type="fixed"/>
        <w:tblLook w:val="0000" w:firstRow="0" w:lastRow="0" w:firstColumn="0" w:lastColumn="0" w:noHBand="0" w:noVBand="0"/>
      </w:tblPr>
      <w:tblGrid>
        <w:gridCol w:w="4873"/>
        <w:gridCol w:w="4874"/>
      </w:tblGrid>
      <w:tr w:rsidR="00384D9B" w:rsidTr="008B365A">
        <w:trPr>
          <w:trHeight w:val="465"/>
        </w:trPr>
        <w:tc>
          <w:tcPr>
            <w:tcW w:w="4873" w:type="dxa"/>
          </w:tcPr>
          <w:p w:rsidR="00384D9B" w:rsidRDefault="00384D9B" w:rsidP="00384D9B">
            <w:pPr>
              <w:pStyle w:val="ListBullet"/>
              <w:widowControl w:val="0"/>
            </w:pPr>
            <w:r>
              <w:t xml:space="preserve">School and Early Education and Care </w:t>
            </w:r>
          </w:p>
        </w:tc>
        <w:tc>
          <w:tcPr>
            <w:tcW w:w="4874" w:type="dxa"/>
          </w:tcPr>
          <w:p w:rsidR="00384D9B" w:rsidRDefault="00384D9B" w:rsidP="00384D9B">
            <w:pPr>
              <w:pStyle w:val="ListBullet"/>
              <w:widowControl w:val="0"/>
            </w:pPr>
            <w:r>
              <w:t xml:space="preserve">Health </w:t>
            </w:r>
          </w:p>
        </w:tc>
      </w:tr>
      <w:tr w:rsidR="00384D9B" w:rsidTr="008B365A">
        <w:trPr>
          <w:trHeight w:val="465"/>
        </w:trPr>
        <w:tc>
          <w:tcPr>
            <w:tcW w:w="4873" w:type="dxa"/>
          </w:tcPr>
          <w:p w:rsidR="00384D9B" w:rsidRDefault="00384D9B" w:rsidP="00384D9B">
            <w:pPr>
              <w:pStyle w:val="ListBullet"/>
              <w:widowControl w:val="0"/>
            </w:pPr>
            <w:r>
              <w:t>Vocational Education and Training</w:t>
            </w:r>
          </w:p>
        </w:tc>
        <w:tc>
          <w:tcPr>
            <w:tcW w:w="4874" w:type="dxa"/>
          </w:tcPr>
          <w:p w:rsidR="00384D9B" w:rsidRDefault="00384D9B" w:rsidP="007A6D95">
            <w:pPr>
              <w:pStyle w:val="ListBullet"/>
              <w:widowControl w:val="0"/>
            </w:pPr>
            <w:r>
              <w:t xml:space="preserve">Disability and Aged Care </w:t>
            </w:r>
            <w:r w:rsidR="007A6D95">
              <w:t>Services</w:t>
            </w:r>
          </w:p>
        </w:tc>
      </w:tr>
      <w:tr w:rsidR="00384D9B" w:rsidTr="008B365A">
        <w:trPr>
          <w:trHeight w:val="465"/>
        </w:trPr>
        <w:tc>
          <w:tcPr>
            <w:tcW w:w="4873" w:type="dxa"/>
          </w:tcPr>
          <w:p w:rsidR="00384D9B" w:rsidRDefault="00384D9B" w:rsidP="00384D9B">
            <w:pPr>
              <w:pStyle w:val="ListBullet"/>
              <w:widowControl w:val="0"/>
            </w:pPr>
            <w:r>
              <w:t>Police and Emergency Management</w:t>
            </w:r>
          </w:p>
        </w:tc>
        <w:tc>
          <w:tcPr>
            <w:tcW w:w="4874" w:type="dxa"/>
          </w:tcPr>
          <w:p w:rsidR="00384D9B" w:rsidRDefault="00384D9B" w:rsidP="00384D9B">
            <w:pPr>
              <w:pStyle w:val="ListBullet"/>
              <w:widowControl w:val="0"/>
            </w:pPr>
            <w:r>
              <w:t xml:space="preserve">Child Protection and Youth Justice </w:t>
            </w:r>
          </w:p>
        </w:tc>
      </w:tr>
      <w:tr w:rsidR="00384D9B" w:rsidTr="008B365A">
        <w:trPr>
          <w:trHeight w:val="465"/>
        </w:trPr>
        <w:tc>
          <w:tcPr>
            <w:tcW w:w="4873" w:type="dxa"/>
          </w:tcPr>
          <w:p w:rsidR="00384D9B" w:rsidRDefault="00384D9B" w:rsidP="001D43AF">
            <w:pPr>
              <w:pStyle w:val="ListBullet"/>
              <w:widowControl w:val="0"/>
            </w:pPr>
            <w:r>
              <w:t>Court</w:t>
            </w:r>
            <w:r w:rsidR="001D43AF">
              <w:t>s</w:t>
            </w:r>
          </w:p>
        </w:tc>
        <w:tc>
          <w:tcPr>
            <w:tcW w:w="4874" w:type="dxa"/>
          </w:tcPr>
          <w:p w:rsidR="00384D9B" w:rsidRDefault="00384D9B" w:rsidP="00384D9B">
            <w:pPr>
              <w:pStyle w:val="ListBullet"/>
              <w:widowControl w:val="0"/>
            </w:pPr>
            <w:r>
              <w:t>Housing</w:t>
            </w:r>
            <w:r w:rsidDel="00770DFD">
              <w:t xml:space="preserve"> </w:t>
            </w:r>
            <w:r>
              <w:t>and Homelessness</w:t>
            </w:r>
          </w:p>
        </w:tc>
      </w:tr>
      <w:tr w:rsidR="00384D9B" w:rsidTr="008B365A">
        <w:trPr>
          <w:trHeight w:val="465"/>
        </w:trPr>
        <w:tc>
          <w:tcPr>
            <w:tcW w:w="4873" w:type="dxa"/>
          </w:tcPr>
          <w:p w:rsidR="00384D9B" w:rsidRDefault="00384D9B" w:rsidP="00384D9B">
            <w:pPr>
              <w:pStyle w:val="ListBullet"/>
              <w:widowControl w:val="0"/>
            </w:pPr>
            <w:r>
              <w:t>Corrective Services</w:t>
            </w:r>
          </w:p>
        </w:tc>
        <w:tc>
          <w:tcPr>
            <w:tcW w:w="4874" w:type="dxa"/>
          </w:tcPr>
          <w:p w:rsidR="00384D9B" w:rsidRDefault="00384D9B" w:rsidP="00384D9B">
            <w:pPr>
              <w:pStyle w:val="ListBullet"/>
              <w:widowControl w:val="0"/>
            </w:pPr>
            <w:r>
              <w:t>Indigenous Expenditure Report</w:t>
            </w:r>
          </w:p>
        </w:tc>
      </w:tr>
      <w:tr w:rsidR="00384D9B" w:rsidTr="008B365A">
        <w:trPr>
          <w:trHeight w:val="465"/>
        </w:trPr>
        <w:tc>
          <w:tcPr>
            <w:tcW w:w="4873" w:type="dxa"/>
          </w:tcPr>
          <w:p w:rsidR="00384D9B" w:rsidRDefault="00384D9B" w:rsidP="00384D9B">
            <w:pPr>
              <w:pStyle w:val="ListBullet"/>
              <w:widowControl w:val="0"/>
            </w:pPr>
            <w:r>
              <w:t>Overcoming Indigenous Disadvantage</w:t>
            </w:r>
            <w:r w:rsidDel="00770DFD">
              <w:t xml:space="preserve"> </w:t>
            </w:r>
          </w:p>
        </w:tc>
        <w:tc>
          <w:tcPr>
            <w:tcW w:w="4874" w:type="dxa"/>
          </w:tcPr>
          <w:p w:rsidR="00384D9B" w:rsidRDefault="00384D9B" w:rsidP="007A6D95">
            <w:pPr>
              <w:pStyle w:val="Box"/>
            </w:pPr>
          </w:p>
        </w:tc>
      </w:tr>
    </w:tbl>
    <w:p w:rsidR="007A6D95" w:rsidRDefault="007A6D95" w:rsidP="007A6D95">
      <w:pPr>
        <w:pStyle w:val="BoxSpace"/>
      </w:pPr>
    </w:p>
    <w:p w:rsidR="002E5122" w:rsidRDefault="002C1F81">
      <w:pPr>
        <w:pStyle w:val="BodyText"/>
        <w:numPr>
          <w:ilvl w:val="12"/>
          <w:numId w:val="0"/>
        </w:numPr>
      </w:pPr>
      <w:r w:rsidRPr="00FE7D66">
        <w:t>Work</w:t>
      </w:r>
      <w:r w:rsidR="00F7371C">
        <w:t>ing G</w:t>
      </w:r>
      <w:r w:rsidRPr="00FE7D66">
        <w:t>roup members need appropriate seniority to</w:t>
      </w:r>
      <w:r w:rsidR="00F7371C">
        <w:t xml:space="preserve"> commit their jurisdictions on Working G</w:t>
      </w:r>
      <w:r w:rsidRPr="00FE7D66">
        <w:t xml:space="preserve">roup matters and </w:t>
      </w:r>
      <w:r w:rsidR="007742DA">
        <w:t xml:space="preserve">to </w:t>
      </w:r>
      <w:r w:rsidRPr="00FE7D66">
        <w:t>provide strategic policy advice to the Steering Committee.</w:t>
      </w:r>
      <w:r w:rsidR="002E5122">
        <w:t xml:space="preserve"> </w:t>
      </w:r>
      <w:r w:rsidR="00040537">
        <w:t>W</w:t>
      </w:r>
      <w:r w:rsidR="002E5122">
        <w:t>orking groups</w:t>
      </w:r>
      <w:r w:rsidR="00770DFD">
        <w:t xml:space="preserve"> may</w:t>
      </w:r>
      <w:r w:rsidR="002E5122">
        <w:t xml:space="preserve"> </w:t>
      </w:r>
      <w:r w:rsidR="0038727E">
        <w:t>contribute to</w:t>
      </w:r>
      <w:r w:rsidR="002E5122">
        <w:t xml:space="preserve"> and comment on drafts of</w:t>
      </w:r>
      <w:r w:rsidR="00FE7D66">
        <w:t xml:space="preserve"> </w:t>
      </w:r>
      <w:r w:rsidR="00FE7D66" w:rsidRPr="00FE7D66">
        <w:t>Steering Committee</w:t>
      </w:r>
      <w:r w:rsidR="002E5122">
        <w:t xml:space="preserve"> research outputs</w:t>
      </w:r>
      <w:r w:rsidR="0038727E">
        <w:t xml:space="preserve"> </w:t>
      </w:r>
      <w:r w:rsidR="00FE7D66" w:rsidRPr="00FE7D66">
        <w:t>and make recommendations to the Steering Committee on matters related to their areas of expertise.</w:t>
      </w:r>
    </w:p>
    <w:p w:rsidR="00E32936" w:rsidRDefault="00E32936" w:rsidP="00E32936">
      <w:pPr>
        <w:pStyle w:val="BodyText"/>
        <w:numPr>
          <w:ilvl w:val="12"/>
          <w:numId w:val="0"/>
        </w:numPr>
      </w:pPr>
      <w:r w:rsidRPr="00E01F55">
        <w:t xml:space="preserve">As far as practicable, working groups adopt a consensus approach to making recommendations to the Steering Committee. Where working groups do not reach consensus, alternative views should be provided to the Steering Committee for decision. </w:t>
      </w:r>
    </w:p>
    <w:p w:rsidR="00E32936" w:rsidRDefault="00E32936" w:rsidP="00E32936">
      <w:pPr>
        <w:pStyle w:val="BodyText"/>
        <w:numPr>
          <w:ilvl w:val="12"/>
          <w:numId w:val="0"/>
        </w:numPr>
      </w:pPr>
      <w:r>
        <w:t>When the Chairman or the Secretariat seeks feedback from Working Group members, silence on a matter is taken as assent.</w:t>
      </w:r>
    </w:p>
    <w:p w:rsidR="00384D9B" w:rsidRDefault="00E32936" w:rsidP="00E32936">
      <w:pPr>
        <w:pStyle w:val="BodyText"/>
        <w:numPr>
          <w:ilvl w:val="12"/>
          <w:numId w:val="0"/>
        </w:numPr>
      </w:pPr>
      <w:r>
        <w:t xml:space="preserve">Working Group membership comprises a </w:t>
      </w:r>
      <w:r w:rsidRPr="00FE7D66">
        <w:t xml:space="preserve">Convenor drawn from the membership of the Steering Committee and State, Territory and </w:t>
      </w:r>
      <w:r>
        <w:t>Australian</w:t>
      </w:r>
      <w:r w:rsidRPr="00FE7D66">
        <w:t xml:space="preserve"> government representatives from relevant departments or agencies</w:t>
      </w:r>
      <w:r w:rsidR="00384D9B">
        <w:t xml:space="preserve"> from each jurisdiction</w:t>
      </w:r>
      <w:r>
        <w:t xml:space="preserve">. </w:t>
      </w:r>
      <w:r w:rsidRPr="00FE7D66">
        <w:t xml:space="preserve">In recognition of the value of expert technical advice and close relationships with data development bodies and agencies, working groups also include observers from relevant data agencies or, where a data agency is not available (or not applicable), </w:t>
      </w:r>
      <w:r w:rsidR="00384D9B">
        <w:t>COAG</w:t>
      </w:r>
      <w:r w:rsidRPr="00FE7D66">
        <w:t xml:space="preserve"> Council data sub-committees or other expert </w:t>
      </w:r>
      <w:r>
        <w:t>bodies</w:t>
      </w:r>
      <w:r w:rsidRPr="00FE7D66">
        <w:t xml:space="preserve">. </w:t>
      </w:r>
      <w:r>
        <w:t>W</w:t>
      </w:r>
      <w:r w:rsidRPr="00FE7D66">
        <w:t xml:space="preserve">orking groups may consult with data agencies or </w:t>
      </w:r>
      <w:r>
        <w:t>other expert bodies</w:t>
      </w:r>
      <w:r w:rsidRPr="00FE7D66">
        <w:t>, as appropriate, on technical issues requiring expert consideration</w:t>
      </w:r>
      <w:r>
        <w:t>, and as data providers</w:t>
      </w:r>
      <w:r w:rsidRPr="00FE7D66">
        <w:t xml:space="preserve">. </w:t>
      </w:r>
      <w:r>
        <w:t>Observer status is not generally extended to non-government bodies. Exceptions include</w:t>
      </w:r>
      <w:r w:rsidR="00384D9B">
        <w:t>:</w:t>
      </w:r>
      <w:r>
        <w:t xml:space="preserve"> </w:t>
      </w:r>
    </w:p>
    <w:p w:rsidR="00384D9B" w:rsidRDefault="00E32936" w:rsidP="00463709">
      <w:pPr>
        <w:pStyle w:val="BodyText"/>
        <w:numPr>
          <w:ilvl w:val="0"/>
          <w:numId w:val="22"/>
        </w:numPr>
      </w:pPr>
      <w:r>
        <w:t>the A</w:t>
      </w:r>
      <w:r w:rsidR="00384D9B">
        <w:t>ustralasian Fire and Emergency S</w:t>
      </w:r>
      <w:r>
        <w:t xml:space="preserve">ervice Authorities Council and the Council of Ambulance Authorities Incorporated on the </w:t>
      </w:r>
      <w:r w:rsidR="00384D9B">
        <w:t xml:space="preserve">Police and </w:t>
      </w:r>
      <w:r>
        <w:t>Emergency Management Working Group</w:t>
      </w:r>
      <w:r w:rsidR="00384D9B">
        <w:t>, each of which has an important role in providing data and advising on the development of performance indicators.</w:t>
      </w:r>
    </w:p>
    <w:p w:rsidR="00384D9B" w:rsidRDefault="00384D9B" w:rsidP="00463709">
      <w:pPr>
        <w:pStyle w:val="BodyText"/>
        <w:numPr>
          <w:ilvl w:val="0"/>
          <w:numId w:val="22"/>
        </w:numPr>
      </w:pPr>
      <w:proofErr w:type="gramStart"/>
      <w:r>
        <w:t>the</w:t>
      </w:r>
      <w:proofErr w:type="gramEnd"/>
      <w:r>
        <w:t xml:space="preserve"> National Congress of Australia’s First Peoples on the Overcoming Indigenous Disadvantage Working Group, which provides advice from the perspective of Aboriginal and Torres Strait Islander Australians.</w:t>
      </w:r>
    </w:p>
    <w:p w:rsidR="00E32936" w:rsidRDefault="00E32936" w:rsidP="00E32936">
      <w:pPr>
        <w:pStyle w:val="BodyText"/>
        <w:numPr>
          <w:ilvl w:val="12"/>
          <w:numId w:val="0"/>
        </w:numPr>
      </w:pPr>
      <w:r w:rsidRPr="001F3A4E">
        <w:t xml:space="preserve">A key role of </w:t>
      </w:r>
      <w:r>
        <w:t>W</w:t>
      </w:r>
      <w:r w:rsidRPr="001F3A4E">
        <w:t xml:space="preserve">orking </w:t>
      </w:r>
      <w:r>
        <w:t>G</w:t>
      </w:r>
      <w:r w:rsidRPr="001F3A4E">
        <w:t xml:space="preserve">roup members is to provide information on the sensitivities of performance reporting issues. </w:t>
      </w:r>
      <w:r>
        <w:t>T</w:t>
      </w:r>
      <w:r w:rsidRPr="001F3A4E">
        <w:t>his does not mean that sensitive data will not be reported, but rather</w:t>
      </w:r>
      <w:r>
        <w:t>,</w:t>
      </w:r>
      <w:r w:rsidRPr="001F3A4E">
        <w:t xml:space="preserve"> that the</w:t>
      </w:r>
      <w:r>
        <w:t xml:space="preserve"> Steering Committee is made aware </w:t>
      </w:r>
      <w:r w:rsidRPr="001F3A4E">
        <w:t>of</w:t>
      </w:r>
      <w:r>
        <w:t xml:space="preserve"> potential</w:t>
      </w:r>
      <w:r w:rsidRPr="001F3A4E">
        <w:t xml:space="preserve"> issues and </w:t>
      </w:r>
      <w:r>
        <w:t xml:space="preserve">reports include </w:t>
      </w:r>
      <w:r w:rsidRPr="001F3A4E">
        <w:t xml:space="preserve">appropriate caveats </w:t>
      </w:r>
      <w:r>
        <w:t>to address sensitivities</w:t>
      </w:r>
      <w:r w:rsidRPr="001F3A4E">
        <w:t>.</w:t>
      </w:r>
      <w:r>
        <w:t xml:space="preserve"> </w:t>
      </w:r>
    </w:p>
    <w:p w:rsidR="00E32936" w:rsidRDefault="00E32936" w:rsidP="00E32936">
      <w:pPr>
        <w:pStyle w:val="BodyText"/>
        <w:numPr>
          <w:ilvl w:val="12"/>
          <w:numId w:val="0"/>
        </w:numPr>
      </w:pPr>
      <w:r>
        <w:lastRenderedPageBreak/>
        <w:t>Working Group members also provide key links with related working parties/</w:t>
      </w:r>
      <w:r w:rsidR="00020BE5">
        <w:t>related</w:t>
      </w:r>
      <w:r>
        <w:t xml:space="preserve"> reporting exercises</w:t>
      </w:r>
      <w:r w:rsidR="00D079AA">
        <w:t>, providing the opportunity to draw from and align with closely related data development, collation and reporting activities.</w:t>
      </w:r>
      <w:r>
        <w:t xml:space="preserve"> </w:t>
      </w:r>
      <w:r w:rsidR="00DD6AAA">
        <w:t xml:space="preserve">Working groups may seek the advice of related groups, particularly where such groups are responsible for the data collections drawn on for Review reports. The particular approach to liaising with </w:t>
      </w:r>
      <w:r w:rsidR="00020BE5">
        <w:t>related</w:t>
      </w:r>
      <w:r w:rsidR="00DD6AAA">
        <w:t xml:space="preserve"> exercises varies across working groups. It </w:t>
      </w:r>
      <w:r>
        <w:t xml:space="preserve">can take the form of </w:t>
      </w:r>
      <w:r w:rsidR="00DD6AAA">
        <w:t xml:space="preserve">cross-membership of Review working groups and related bodies (including Secretariat participation in a range of related </w:t>
      </w:r>
      <w:r>
        <w:t xml:space="preserve">technical and data </w:t>
      </w:r>
      <w:r w:rsidR="00DD6AAA">
        <w:t>sub-committees)</w:t>
      </w:r>
      <w:r>
        <w:t xml:space="preserve">, </w:t>
      </w:r>
      <w:r w:rsidR="00DD6AAA">
        <w:t xml:space="preserve">holding adjunct meetings with </w:t>
      </w:r>
      <w:r w:rsidR="00020BE5">
        <w:t>related</w:t>
      </w:r>
      <w:r w:rsidR="00DD6AAA">
        <w:t xml:space="preserve"> groups, </w:t>
      </w:r>
      <w:r>
        <w:t xml:space="preserve">or formal feedback procedures. </w:t>
      </w:r>
    </w:p>
    <w:p w:rsidR="00AD7246" w:rsidRDefault="00AD7246" w:rsidP="00AD7246">
      <w:pPr>
        <w:pStyle w:val="Heading4"/>
      </w:pPr>
      <w:r>
        <w:t>Output</w:t>
      </w:r>
      <w:r w:rsidR="00040537">
        <w:t>s</w:t>
      </w:r>
      <w:r>
        <w:t xml:space="preserve"> and responsibilities</w:t>
      </w:r>
    </w:p>
    <w:p w:rsidR="002E5122" w:rsidRDefault="002E5122" w:rsidP="00B74530">
      <w:pPr>
        <w:pStyle w:val="BodyText"/>
        <w:numPr>
          <w:ilvl w:val="12"/>
          <w:numId w:val="0"/>
        </w:numPr>
        <w:tabs>
          <w:tab w:val="left" w:pos="3248"/>
        </w:tabs>
      </w:pPr>
      <w:r>
        <w:t xml:space="preserve">The role of </w:t>
      </w:r>
      <w:r w:rsidR="003B5CF5">
        <w:t>w</w:t>
      </w:r>
      <w:r>
        <w:t xml:space="preserve">orking </w:t>
      </w:r>
      <w:r w:rsidR="003B5CF5">
        <w:t>g</w:t>
      </w:r>
      <w:r>
        <w:t>roup</w:t>
      </w:r>
      <w:r w:rsidR="00770DFD">
        <w:t>s</w:t>
      </w:r>
      <w:r>
        <w:t xml:space="preserve"> includes:</w:t>
      </w:r>
    </w:p>
    <w:p w:rsidR="002E5122" w:rsidRDefault="007742DA">
      <w:pPr>
        <w:pStyle w:val="ListBullet"/>
        <w:tabs>
          <w:tab w:val="clear" w:pos="340"/>
        </w:tabs>
      </w:pPr>
      <w:r>
        <w:t xml:space="preserve">developing </w:t>
      </w:r>
      <w:r w:rsidR="002E5122">
        <w:t>strategic plan</w:t>
      </w:r>
      <w:r>
        <w:t>s</w:t>
      </w:r>
      <w:r w:rsidR="002E5122">
        <w:t xml:space="preserve"> for current and future reports</w:t>
      </w:r>
      <w:r w:rsidR="00384D9B">
        <w:t>, in the context of the Steering Committee’s strategic directions</w:t>
      </w:r>
    </w:p>
    <w:p w:rsidR="002E5122" w:rsidRDefault="002E5122">
      <w:pPr>
        <w:pStyle w:val="ListBullet"/>
        <w:tabs>
          <w:tab w:val="clear" w:pos="340"/>
        </w:tabs>
      </w:pPr>
      <w:r>
        <w:t xml:space="preserve">suggesting the boundary of services for the purposes of </w:t>
      </w:r>
      <w:r w:rsidR="00145940">
        <w:t>reporting</w:t>
      </w:r>
      <w:r>
        <w:t xml:space="preserve"> exercise</w:t>
      </w:r>
      <w:r w:rsidR="00145940">
        <w:t>s</w:t>
      </w:r>
      <w:r>
        <w:t xml:space="preserve"> and providing comments on boundary issues</w:t>
      </w:r>
    </w:p>
    <w:p w:rsidR="002E5122" w:rsidRDefault="002E5122">
      <w:pPr>
        <w:pStyle w:val="ListBullet"/>
        <w:tabs>
          <w:tab w:val="clear" w:pos="340"/>
        </w:tabs>
      </w:pPr>
      <w:r>
        <w:t xml:space="preserve">suggesting revisions to the </w:t>
      </w:r>
      <w:r w:rsidR="00145940">
        <w:t xml:space="preserve">service-sector </w:t>
      </w:r>
      <w:r>
        <w:t>performance indicator framework</w:t>
      </w:r>
      <w:r w:rsidR="00145940">
        <w:t>s</w:t>
      </w:r>
    </w:p>
    <w:p w:rsidR="002E5122" w:rsidRDefault="002E5122">
      <w:pPr>
        <w:pStyle w:val="ListBullet"/>
        <w:tabs>
          <w:tab w:val="clear" w:pos="340"/>
        </w:tabs>
      </w:pPr>
      <w:r>
        <w:t>developing agreed performance indicators</w:t>
      </w:r>
      <w:r w:rsidR="007A6D95">
        <w:t>,</w:t>
      </w:r>
      <w:r>
        <w:t xml:space="preserve"> </w:t>
      </w:r>
      <w:r w:rsidR="00DD6AAA">
        <w:t>and</w:t>
      </w:r>
      <w:r w:rsidR="00D079AA">
        <w:t xml:space="preserve"> </w:t>
      </w:r>
      <w:r w:rsidR="007A6D95">
        <w:t>selecting from</w:t>
      </w:r>
      <w:r w:rsidR="00D079AA">
        <w:t xml:space="preserve"> indicators developed elsewhere </w:t>
      </w:r>
      <w:r>
        <w:t>for the services within the framework</w:t>
      </w:r>
      <w:r w:rsidR="00145940">
        <w:t>s</w:t>
      </w:r>
    </w:p>
    <w:p w:rsidR="002E5122" w:rsidRDefault="002E5122">
      <w:pPr>
        <w:pStyle w:val="ListBullet"/>
        <w:tabs>
          <w:tab w:val="clear" w:pos="340"/>
        </w:tabs>
      </w:pPr>
      <w:r>
        <w:t xml:space="preserve">developing agreed definitions for variables </w:t>
      </w:r>
      <w:r w:rsidR="00B74530">
        <w:t>that are the components of</w:t>
      </w:r>
      <w:r>
        <w:t xml:space="preserve"> the indicators</w:t>
      </w:r>
    </w:p>
    <w:p w:rsidR="002E5122" w:rsidRDefault="002E5122" w:rsidP="007F3D1C">
      <w:pPr>
        <w:pStyle w:val="ListBullet"/>
        <w:tabs>
          <w:tab w:val="clear" w:pos="340"/>
        </w:tabs>
      </w:pPr>
      <w:r>
        <w:t>identifying appropriate data sources</w:t>
      </w:r>
      <w:r w:rsidR="00B74530">
        <w:t xml:space="preserve"> and </w:t>
      </w:r>
      <w:r>
        <w:t>where appropriate, initiating and</w:t>
      </w:r>
      <w:r w:rsidR="00770DFD">
        <w:t xml:space="preserve"> </w:t>
      </w:r>
      <w:r w:rsidR="007742DA">
        <w:t>contributing to</w:t>
      </w:r>
      <w:r w:rsidR="00B74530">
        <w:t xml:space="preserve"> </w:t>
      </w:r>
      <w:r>
        <w:t>a data collection system</w:t>
      </w:r>
    </w:p>
    <w:p w:rsidR="00870A43" w:rsidRDefault="007742DA" w:rsidP="00870A43">
      <w:pPr>
        <w:pStyle w:val="ListBullet"/>
        <w:tabs>
          <w:tab w:val="clear" w:pos="340"/>
        </w:tabs>
      </w:pPr>
      <w:r>
        <w:t>reading and commenting on drafts of relev</w:t>
      </w:r>
      <w:r w:rsidR="00870A43">
        <w:t>ant Steering Committee material</w:t>
      </w:r>
    </w:p>
    <w:p w:rsidR="007742DA" w:rsidRDefault="00870A43" w:rsidP="00870A43">
      <w:pPr>
        <w:pStyle w:val="ListBullet"/>
        <w:tabs>
          <w:tab w:val="clear" w:pos="340"/>
        </w:tabs>
      </w:pPr>
      <w:r>
        <w:t xml:space="preserve">endorsing jurisdiction-specific material for their service area in Working Group materials and proposing jurisdiction-specific material in Steering Committee </w:t>
      </w:r>
      <w:r>
        <w:rPr>
          <w:szCs w:val="26"/>
        </w:rPr>
        <w:t>reports</w:t>
      </w:r>
    </w:p>
    <w:p w:rsidR="00040537" w:rsidRDefault="00040537" w:rsidP="007F3D1C">
      <w:pPr>
        <w:pStyle w:val="ListBullet"/>
        <w:tabs>
          <w:tab w:val="clear" w:pos="340"/>
        </w:tabs>
      </w:pPr>
      <w:proofErr w:type="gramStart"/>
      <w:r>
        <w:t>providing</w:t>
      </w:r>
      <w:proofErr w:type="gramEnd"/>
      <w:r>
        <w:t xml:space="preserve"> the Review point of contact for relevant jurisdictional feedback and data.</w:t>
      </w:r>
    </w:p>
    <w:p w:rsidR="002E5122" w:rsidRDefault="002E5122">
      <w:pPr>
        <w:pStyle w:val="Heading3"/>
        <w:numPr>
          <w:ilvl w:val="12"/>
          <w:numId w:val="0"/>
        </w:numPr>
      </w:pPr>
      <w:bookmarkStart w:id="4" w:name="_Toc311650728"/>
      <w:r>
        <w:t>Interaction between Steering Committee and working groups</w:t>
      </w:r>
      <w:bookmarkEnd w:id="4"/>
    </w:p>
    <w:p w:rsidR="00E32936" w:rsidRDefault="00E32936" w:rsidP="00E32936">
      <w:pPr>
        <w:pStyle w:val="BodyText"/>
        <w:numPr>
          <w:ilvl w:val="12"/>
          <w:numId w:val="0"/>
        </w:numPr>
      </w:pPr>
      <w:r>
        <w:t>The Steering Committee represents the whole</w:t>
      </w:r>
      <w:r>
        <w:noBreakHyphen/>
        <w:t>of</w:t>
      </w:r>
      <w:r>
        <w:noBreakHyphen/>
        <w:t xml:space="preserve">government view of each jurisdiction participating in the Review process. </w:t>
      </w:r>
    </w:p>
    <w:p w:rsidR="00E32936" w:rsidRDefault="00E32936" w:rsidP="002C1F81">
      <w:pPr>
        <w:pStyle w:val="BodyText"/>
        <w:numPr>
          <w:ilvl w:val="12"/>
          <w:numId w:val="0"/>
        </w:numPr>
      </w:pPr>
      <w:r w:rsidRPr="00E01F55">
        <w:t xml:space="preserve">Working groups are advisory bodies and do not endorse report content. </w:t>
      </w:r>
      <w:r w:rsidR="00E01F55">
        <w:t xml:space="preserve">The Steering Committee draws on the expert advice of its working groups and of specialist data </w:t>
      </w:r>
      <w:r w:rsidR="004E1D2B">
        <w:t xml:space="preserve">agencies </w:t>
      </w:r>
      <w:r w:rsidR="00E01F55">
        <w:t xml:space="preserve">and other organisations, but it is not bound by such advice. </w:t>
      </w:r>
    </w:p>
    <w:p w:rsidR="00770DFD" w:rsidRDefault="00770DFD" w:rsidP="00A35C0A">
      <w:pPr>
        <w:pStyle w:val="BodyText"/>
        <w:keepNext/>
        <w:numPr>
          <w:ilvl w:val="12"/>
          <w:numId w:val="0"/>
        </w:numPr>
      </w:pPr>
      <w:r>
        <w:t>W</w:t>
      </w:r>
      <w:r w:rsidR="002E5122">
        <w:t xml:space="preserve">orking groups </w:t>
      </w:r>
      <w:r>
        <w:t xml:space="preserve">may </w:t>
      </w:r>
      <w:r w:rsidR="002E5122">
        <w:t>provide input to the Steering Committee</w:t>
      </w:r>
      <w:r>
        <w:t xml:space="preserve"> in two ways</w:t>
      </w:r>
      <w:r w:rsidR="002E5122">
        <w:t xml:space="preserve">. </w:t>
      </w:r>
    </w:p>
    <w:p w:rsidR="004E1D2B" w:rsidRDefault="002E5122" w:rsidP="004E1D2B">
      <w:pPr>
        <w:pStyle w:val="ListBullet"/>
      </w:pPr>
      <w:r>
        <w:t xml:space="preserve">First, </w:t>
      </w:r>
      <w:r w:rsidR="004E1D2B">
        <w:t xml:space="preserve">each </w:t>
      </w:r>
      <w:r w:rsidR="00240566">
        <w:t>Working Group</w:t>
      </w:r>
      <w:r>
        <w:t xml:space="preserve"> provide</w:t>
      </w:r>
      <w:r w:rsidR="004E1D2B">
        <w:t>s</w:t>
      </w:r>
      <w:r>
        <w:t xml:space="preserve"> advice to the Steering Committee through </w:t>
      </w:r>
      <w:r w:rsidR="004E1D2B">
        <w:t xml:space="preserve">its </w:t>
      </w:r>
      <w:r>
        <w:t>Convenor. At Steering Committee meeting</w:t>
      </w:r>
      <w:r w:rsidR="00A35C0A">
        <w:t>s</w:t>
      </w:r>
      <w:r w:rsidR="00997B3C">
        <w:t>,</w:t>
      </w:r>
      <w:r>
        <w:t xml:space="preserve"> </w:t>
      </w:r>
      <w:r w:rsidR="004E1D2B">
        <w:t xml:space="preserve">each </w:t>
      </w:r>
      <w:r>
        <w:t>Convenor provide</w:t>
      </w:r>
      <w:r w:rsidR="004E1D2B">
        <w:t>s a</w:t>
      </w:r>
      <w:r>
        <w:t xml:space="preserve"> report on </w:t>
      </w:r>
      <w:r w:rsidR="004E1D2B">
        <w:t xml:space="preserve">progress against the strategic plan and any issues raised by the </w:t>
      </w:r>
      <w:r w:rsidR="00240566">
        <w:t>Working Group</w:t>
      </w:r>
      <w:r w:rsidR="004E1D2B">
        <w:t xml:space="preserve">. </w:t>
      </w:r>
      <w:r>
        <w:t xml:space="preserve">This is the conduit for </w:t>
      </w:r>
      <w:r w:rsidR="004E1D2B">
        <w:t xml:space="preserve">a </w:t>
      </w:r>
      <w:r w:rsidR="00240566">
        <w:t>Working Group</w:t>
      </w:r>
      <w:r w:rsidR="004E1D2B">
        <w:t xml:space="preserve"> to raise issues of concern.</w:t>
      </w:r>
    </w:p>
    <w:p w:rsidR="002E5122" w:rsidRDefault="002E5122" w:rsidP="004E1D2B">
      <w:pPr>
        <w:pStyle w:val="ListBullet"/>
      </w:pPr>
      <w:r>
        <w:lastRenderedPageBreak/>
        <w:t xml:space="preserve">Second, </w:t>
      </w:r>
      <w:r w:rsidR="004E1D2B">
        <w:t xml:space="preserve">individual </w:t>
      </w:r>
      <w:r w:rsidR="00240566">
        <w:t>Working Group</w:t>
      </w:r>
      <w:r w:rsidR="004E1D2B">
        <w:t xml:space="preserve"> </w:t>
      </w:r>
      <w:r>
        <w:t xml:space="preserve">members </w:t>
      </w:r>
      <w:r w:rsidR="004E1D2B">
        <w:t xml:space="preserve">may raise jurisdiction-specific issues with their </w:t>
      </w:r>
      <w:r>
        <w:t>jurisdiction’s Steering Committee member</w:t>
      </w:r>
      <w:r w:rsidR="008F14D8">
        <w:t>(s)</w:t>
      </w:r>
      <w:r>
        <w:t xml:space="preserve">. </w:t>
      </w:r>
      <w:r w:rsidR="004E1D2B">
        <w:t>The Steering Committee member will then decide whether to raise the issue at a Steering Committee meeting.</w:t>
      </w:r>
    </w:p>
    <w:p w:rsidR="00062747" w:rsidRDefault="00062747" w:rsidP="00062747">
      <w:pPr>
        <w:pStyle w:val="BodyText"/>
      </w:pPr>
      <w:r>
        <w:t>For example, the typical process for adding or removing a performance indicator from a framework is:</w:t>
      </w:r>
    </w:p>
    <w:p w:rsidR="00062747" w:rsidRDefault="00062747" w:rsidP="00062747">
      <w:pPr>
        <w:pStyle w:val="ListBullet"/>
        <w:tabs>
          <w:tab w:val="clear" w:pos="340"/>
        </w:tabs>
      </w:pPr>
      <w:r>
        <w:t xml:space="preserve">the </w:t>
      </w:r>
      <w:r w:rsidR="00240566">
        <w:t>Working Group</w:t>
      </w:r>
      <w:r>
        <w:t xml:space="preserve"> discusses a performance indicator that its members would like to add or no longer considers meaningful/useful</w:t>
      </w:r>
    </w:p>
    <w:p w:rsidR="00062747" w:rsidRDefault="00062747" w:rsidP="00062747">
      <w:pPr>
        <w:pStyle w:val="ListBullet"/>
        <w:tabs>
          <w:tab w:val="clear" w:pos="340"/>
        </w:tabs>
      </w:pPr>
      <w:r>
        <w:t xml:space="preserve">each jurisdiction’s </w:t>
      </w:r>
      <w:r w:rsidR="00240566">
        <w:t>Working Group</w:t>
      </w:r>
      <w:r>
        <w:t xml:space="preserve"> member provides formal advice on whether their jurisdiction supports the revision, addition, or removal of the indicator </w:t>
      </w:r>
    </w:p>
    <w:p w:rsidR="00062747" w:rsidRDefault="00062747" w:rsidP="00062747">
      <w:pPr>
        <w:pStyle w:val="ListBullet"/>
        <w:tabs>
          <w:tab w:val="clear" w:pos="340"/>
        </w:tabs>
      </w:pPr>
      <w:r>
        <w:t xml:space="preserve">the </w:t>
      </w:r>
      <w:r w:rsidR="00240566">
        <w:t>Working Group</w:t>
      </w:r>
      <w:r>
        <w:t xml:space="preserve"> as a whole considers jurisdictional responses and agrees a joint recommendation to be made to the Steering </w:t>
      </w:r>
      <w:r w:rsidR="00A35C0A">
        <w:t>C</w:t>
      </w:r>
      <w:r>
        <w:t>ommittee</w:t>
      </w:r>
    </w:p>
    <w:p w:rsidR="00062747" w:rsidRDefault="00062747" w:rsidP="00062747">
      <w:pPr>
        <w:pStyle w:val="ListBullet"/>
        <w:tabs>
          <w:tab w:val="clear" w:pos="340"/>
        </w:tabs>
      </w:pPr>
      <w:r>
        <w:t xml:space="preserve">the Convenor presents the </w:t>
      </w:r>
      <w:r w:rsidR="00240566">
        <w:t>Working Group</w:t>
      </w:r>
      <w:r>
        <w:t xml:space="preserve"> recommendation to the Steering Committee</w:t>
      </w:r>
    </w:p>
    <w:p w:rsidR="004E1D2B" w:rsidRDefault="00062747" w:rsidP="00E32936">
      <w:pPr>
        <w:pStyle w:val="ListBullet"/>
        <w:tabs>
          <w:tab w:val="clear" w:pos="340"/>
        </w:tabs>
      </w:pPr>
      <w:proofErr w:type="gramStart"/>
      <w:r>
        <w:t>the</w:t>
      </w:r>
      <w:proofErr w:type="gramEnd"/>
      <w:r>
        <w:t xml:space="preserve"> Steering Committee considers the recommendation. The Steering Committee may accept or reject the recommendation, request further information from the </w:t>
      </w:r>
      <w:r w:rsidR="00240566">
        <w:t>Working Group</w:t>
      </w:r>
      <w:r>
        <w:t>, or agree an alternative course of action.</w:t>
      </w:r>
      <w:r w:rsidR="00E32936">
        <w:t xml:space="preserve"> </w:t>
      </w:r>
      <w:r>
        <w:t xml:space="preserve">The Steering Committee considers </w:t>
      </w:r>
      <w:r w:rsidR="00E32936">
        <w:t>w</w:t>
      </w:r>
      <w:r w:rsidR="00240566">
        <w:t xml:space="preserve">orking </w:t>
      </w:r>
      <w:r w:rsidR="00E32936">
        <w:t>g</w:t>
      </w:r>
      <w:r w:rsidR="00240566">
        <w:t>roup</w:t>
      </w:r>
      <w:r w:rsidR="00E32936">
        <w:t xml:space="preserve"> advice</w:t>
      </w:r>
      <w:r>
        <w:t xml:space="preserve"> from a whole-of-government perspective, taking into account the objectives of the Review. Typically, the Steering Committee </w:t>
      </w:r>
      <w:r w:rsidR="00A35C0A">
        <w:t xml:space="preserve">has been </w:t>
      </w:r>
      <w:r>
        <w:t xml:space="preserve">reluctant to remove a useful, if flawed, indicator, before a replacement indicator can be reported. </w:t>
      </w:r>
      <w:r w:rsidR="00A35C0A">
        <w:t xml:space="preserve">In recognition of </w:t>
      </w:r>
      <w:r w:rsidR="00CF06A1">
        <w:t xml:space="preserve">the growing maturity of the RoGS, in some circumstances </w:t>
      </w:r>
      <w:r w:rsidR="00D079AA">
        <w:t xml:space="preserve">indicators </w:t>
      </w:r>
      <w:r w:rsidR="00CF06A1">
        <w:t>may be removed</w:t>
      </w:r>
      <w:r w:rsidR="00D079AA">
        <w:t xml:space="preserve"> where there is no suitable replacement</w:t>
      </w:r>
      <w:r w:rsidR="00CF06A1">
        <w:t xml:space="preserve"> — for example: </w:t>
      </w:r>
      <w:r w:rsidR="00D079AA">
        <w:t xml:space="preserve">where the </w:t>
      </w:r>
      <w:r w:rsidR="007A0955">
        <w:t xml:space="preserve">relevant </w:t>
      </w:r>
      <w:r w:rsidR="00CF06A1">
        <w:t>W</w:t>
      </w:r>
      <w:r w:rsidR="00DD6AAA">
        <w:t xml:space="preserve">orking </w:t>
      </w:r>
      <w:r w:rsidR="00CF06A1">
        <w:t>G</w:t>
      </w:r>
      <w:r w:rsidR="00DD6AAA">
        <w:t xml:space="preserve">roup and </w:t>
      </w:r>
      <w:r w:rsidR="00CF06A1">
        <w:t xml:space="preserve">the </w:t>
      </w:r>
      <w:r w:rsidR="00DD6AAA">
        <w:t xml:space="preserve">Steering Committee agree </w:t>
      </w:r>
      <w:r w:rsidR="00D079AA">
        <w:t>that a particular indicator is no longer meaningful</w:t>
      </w:r>
      <w:r w:rsidR="00CF06A1">
        <w:t>;</w:t>
      </w:r>
      <w:r w:rsidR="00D079AA">
        <w:t xml:space="preserve"> or where an indicator adopted as a result of aligning with </w:t>
      </w:r>
      <w:r w:rsidR="00CF06A1">
        <w:t>a National Agreement</w:t>
      </w:r>
      <w:r w:rsidR="00D079AA">
        <w:t xml:space="preserve"> is removed in </w:t>
      </w:r>
      <w:r w:rsidR="00CF06A1">
        <w:t xml:space="preserve">the </w:t>
      </w:r>
      <w:r w:rsidR="00D079AA">
        <w:t>National Agreement</w:t>
      </w:r>
      <w:r w:rsidR="00CF06A1">
        <w:t xml:space="preserve"> and</w:t>
      </w:r>
      <w:r w:rsidR="00607C77">
        <w:t>/or is no longer</w:t>
      </w:r>
      <w:r w:rsidR="00CF06A1">
        <w:t xml:space="preserve"> considered otherwise of value to RoGS reporting</w:t>
      </w:r>
      <w:r w:rsidR="00D079AA">
        <w:t xml:space="preserve">. </w:t>
      </w:r>
    </w:p>
    <w:p w:rsidR="002E5122" w:rsidRDefault="002E5122">
      <w:pPr>
        <w:pStyle w:val="Heading3"/>
        <w:numPr>
          <w:ilvl w:val="12"/>
          <w:numId w:val="0"/>
        </w:numPr>
      </w:pPr>
      <w:bookmarkStart w:id="5" w:name="_Toc311650729"/>
      <w:r>
        <w:t>Role of the Secretariat</w:t>
      </w:r>
      <w:bookmarkEnd w:id="5"/>
    </w:p>
    <w:p w:rsidR="002E5122" w:rsidRDefault="00BC5DB7">
      <w:pPr>
        <w:pStyle w:val="BodyText"/>
        <w:numPr>
          <w:ilvl w:val="12"/>
          <w:numId w:val="0"/>
        </w:numPr>
      </w:pPr>
      <w:r w:rsidRPr="00BC5DB7">
        <w:t xml:space="preserve">The Steering Committee and its working groups are supported by a Secretariat located within the Productivity Commission. The Secretariat is a neutral body and does not represent any jurisdiction. </w:t>
      </w:r>
      <w:r w:rsidR="002E5122">
        <w:t xml:space="preserve">The Secretariat </w:t>
      </w:r>
      <w:r w:rsidR="00041F72">
        <w:t xml:space="preserve">provides administrative support to the Steering Committee and working groups, and </w:t>
      </w:r>
      <w:r w:rsidR="002E5122">
        <w:t>provides advice on:</w:t>
      </w:r>
    </w:p>
    <w:p w:rsidR="002E5122" w:rsidRDefault="002E5122" w:rsidP="007662D3">
      <w:pPr>
        <w:pStyle w:val="ListBullet"/>
        <w:tabs>
          <w:tab w:val="clear" w:pos="340"/>
        </w:tabs>
      </w:pPr>
      <w:r>
        <w:t xml:space="preserve">performance measurement </w:t>
      </w:r>
      <w:r w:rsidR="000360C3">
        <w:t xml:space="preserve">and reporting </w:t>
      </w:r>
      <w:r>
        <w:t xml:space="preserve">issues, particularly those that benefit from </w:t>
      </w:r>
      <w:r w:rsidR="00AB2392">
        <w:t xml:space="preserve">a </w:t>
      </w:r>
      <w:r>
        <w:t>Review wide perspective, or where the Secretariat has particular expertise</w:t>
      </w:r>
    </w:p>
    <w:p w:rsidR="002E5122" w:rsidRDefault="002E5122" w:rsidP="007662D3">
      <w:pPr>
        <w:pStyle w:val="ListBullet"/>
        <w:tabs>
          <w:tab w:val="clear" w:pos="340"/>
        </w:tabs>
      </w:pPr>
      <w:proofErr w:type="gramStart"/>
      <w:r>
        <w:t>improving</w:t>
      </w:r>
      <w:proofErr w:type="gramEnd"/>
      <w:r>
        <w:t xml:space="preserve"> consistency, where appropriate, across the Review.</w:t>
      </w:r>
    </w:p>
    <w:p w:rsidR="002E5122" w:rsidRDefault="002E5122">
      <w:pPr>
        <w:pStyle w:val="BodyText"/>
        <w:numPr>
          <w:ilvl w:val="12"/>
          <w:numId w:val="0"/>
        </w:numPr>
      </w:pPr>
      <w:r>
        <w:t>The main</w:t>
      </w:r>
      <w:r w:rsidR="008F14D8">
        <w:t>, regular</w:t>
      </w:r>
      <w:r>
        <w:t xml:space="preserve"> tasks undertaken by the Secretariat are:</w:t>
      </w:r>
    </w:p>
    <w:p w:rsidR="002E5122" w:rsidRDefault="002E5122" w:rsidP="007662D3">
      <w:pPr>
        <w:pStyle w:val="ListBullet"/>
        <w:tabs>
          <w:tab w:val="clear" w:pos="340"/>
        </w:tabs>
      </w:pPr>
      <w:r>
        <w:t>drafting agendas</w:t>
      </w:r>
      <w:r w:rsidR="000425E5">
        <w:t xml:space="preserve"> (distributed approximately </w:t>
      </w:r>
      <w:r w:rsidR="00607C77">
        <w:t>4</w:t>
      </w:r>
      <w:r w:rsidR="000425E5">
        <w:t xml:space="preserve"> weeks prior to a meeting)</w:t>
      </w:r>
      <w:r>
        <w:t xml:space="preserve">, agenda papers </w:t>
      </w:r>
      <w:r w:rsidR="000425E5">
        <w:t xml:space="preserve">(distributed approximately 1-2 weeks prior to a meeting) </w:t>
      </w:r>
      <w:r>
        <w:t xml:space="preserve">and minutes of Steering Committee and </w:t>
      </w:r>
      <w:r w:rsidR="00240566">
        <w:t>Working Group</w:t>
      </w:r>
      <w:r w:rsidR="00C03058">
        <w:t xml:space="preserve"> </w:t>
      </w:r>
      <w:r>
        <w:t>meetings</w:t>
      </w:r>
      <w:r w:rsidR="000425E5">
        <w:t xml:space="preserve"> (distributed approximately 2</w:t>
      </w:r>
      <w:r w:rsidR="00607C77">
        <w:t>-4</w:t>
      </w:r>
      <w:r w:rsidR="000425E5">
        <w:t xml:space="preserve"> weeks after a meeting)</w:t>
      </w:r>
    </w:p>
    <w:p w:rsidR="002E5122" w:rsidRDefault="002E5122" w:rsidP="007662D3">
      <w:pPr>
        <w:pStyle w:val="ListBullet"/>
        <w:tabs>
          <w:tab w:val="clear" w:pos="340"/>
        </w:tabs>
      </w:pPr>
      <w:r>
        <w:t xml:space="preserve">assisting the coordination of </w:t>
      </w:r>
      <w:r w:rsidR="00C03058">
        <w:t xml:space="preserve">Review </w:t>
      </w:r>
      <w:r>
        <w:t xml:space="preserve">work with that of </w:t>
      </w:r>
      <w:r w:rsidR="00020BE5">
        <w:t>related</w:t>
      </w:r>
      <w:r>
        <w:t xml:space="preserve"> </w:t>
      </w:r>
      <w:r w:rsidR="00C03058">
        <w:t>exercises</w:t>
      </w:r>
    </w:p>
    <w:p w:rsidR="00C03058" w:rsidRDefault="00C03058" w:rsidP="00C03058">
      <w:pPr>
        <w:pStyle w:val="ListBullet"/>
        <w:tabs>
          <w:tab w:val="clear" w:pos="340"/>
        </w:tabs>
      </w:pPr>
      <w:r>
        <w:t xml:space="preserve">drafting of correspondence, submissions and activity reports </w:t>
      </w:r>
    </w:p>
    <w:p w:rsidR="00C03058" w:rsidRDefault="00C03058" w:rsidP="00C03058">
      <w:pPr>
        <w:pStyle w:val="ListBullet"/>
        <w:tabs>
          <w:tab w:val="clear" w:pos="340"/>
        </w:tabs>
      </w:pPr>
      <w:r>
        <w:t>undertaking research as approved or directed by the Steering Committee</w:t>
      </w:r>
    </w:p>
    <w:p w:rsidR="000360C3" w:rsidRDefault="00240566" w:rsidP="007662D3">
      <w:pPr>
        <w:pStyle w:val="ListBullet"/>
        <w:tabs>
          <w:tab w:val="clear" w:pos="340"/>
        </w:tabs>
      </w:pPr>
      <w:r>
        <w:t>liaising</w:t>
      </w:r>
      <w:r w:rsidR="000360C3">
        <w:t xml:space="preserve"> with </w:t>
      </w:r>
      <w:r>
        <w:t>Working Group</w:t>
      </w:r>
      <w:r w:rsidR="00C03058">
        <w:t xml:space="preserve"> </w:t>
      </w:r>
      <w:r w:rsidR="000360C3">
        <w:t>members and related parties to progress agr</w:t>
      </w:r>
      <w:r w:rsidR="000D298F">
        <w:t>eed tasks out</w:t>
      </w:r>
      <w:r w:rsidR="000D298F">
        <w:noBreakHyphen/>
      </w:r>
      <w:r w:rsidR="000360C3">
        <w:t>of-session</w:t>
      </w:r>
      <w:r w:rsidR="00F4635C">
        <w:t xml:space="preserve"> </w:t>
      </w:r>
    </w:p>
    <w:p w:rsidR="002E5122" w:rsidRDefault="002E5122" w:rsidP="007662D3">
      <w:pPr>
        <w:pStyle w:val="ListBullet"/>
        <w:tabs>
          <w:tab w:val="clear" w:pos="340"/>
        </w:tabs>
      </w:pPr>
      <w:r>
        <w:lastRenderedPageBreak/>
        <w:t>data collection, where necessary</w:t>
      </w:r>
      <w:r w:rsidR="00C03058">
        <w:t xml:space="preserve"> and managing data requests</w:t>
      </w:r>
    </w:p>
    <w:p w:rsidR="00C03058" w:rsidRDefault="00C03058" w:rsidP="00C03058">
      <w:pPr>
        <w:pStyle w:val="ListBullet"/>
        <w:tabs>
          <w:tab w:val="clear" w:pos="340"/>
        </w:tabs>
      </w:pPr>
      <w:r>
        <w:t>drafting reports</w:t>
      </w:r>
    </w:p>
    <w:p w:rsidR="00C03058" w:rsidRDefault="00C03058" w:rsidP="00C03058">
      <w:pPr>
        <w:pStyle w:val="ListBullet"/>
        <w:tabs>
          <w:tab w:val="clear" w:pos="340"/>
        </w:tabs>
      </w:pPr>
      <w:r>
        <w:t>addressing questi</w:t>
      </w:r>
      <w:r w:rsidR="00F45E47">
        <w:t>ons and comments from Steering C</w:t>
      </w:r>
      <w:r>
        <w:t xml:space="preserve">ommittee and </w:t>
      </w:r>
      <w:r w:rsidR="00240566">
        <w:t>Working Group</w:t>
      </w:r>
      <w:r>
        <w:t xml:space="preserve"> members and observers on drafts, </w:t>
      </w:r>
    </w:p>
    <w:p w:rsidR="002E5122" w:rsidRDefault="00BC5DB7" w:rsidP="007662D3">
      <w:pPr>
        <w:pStyle w:val="ListBullet"/>
        <w:tabs>
          <w:tab w:val="clear" w:pos="340"/>
        </w:tabs>
      </w:pPr>
      <w:proofErr w:type="gramStart"/>
      <w:r>
        <w:t>implementing</w:t>
      </w:r>
      <w:proofErr w:type="gramEnd"/>
      <w:r>
        <w:t xml:space="preserve"> applicable COAG initiatives on behalf of the Steering Committee</w:t>
      </w:r>
      <w:r w:rsidR="002E5122">
        <w:t>.</w:t>
      </w:r>
    </w:p>
    <w:p w:rsidR="002E5122" w:rsidRDefault="008F14D8">
      <w:pPr>
        <w:pStyle w:val="BodyText"/>
      </w:pPr>
      <w:r>
        <w:t>T</w:t>
      </w:r>
      <w:r w:rsidR="002E5122">
        <w:t>he Secretariat does not possess the resources to undertake major research projects</w:t>
      </w:r>
      <w:r>
        <w:t xml:space="preserve"> or fund consultancies</w:t>
      </w:r>
      <w:r w:rsidR="002E5122">
        <w:t xml:space="preserve"> in support of </w:t>
      </w:r>
      <w:r w:rsidR="00607C77">
        <w:t>individual</w:t>
      </w:r>
      <w:r w:rsidR="002E5122">
        <w:t xml:space="preserve"> working groups</w:t>
      </w:r>
      <w:r w:rsidR="00C03058">
        <w:t>. The Secretariat does advise</w:t>
      </w:r>
      <w:r w:rsidR="00AB2392">
        <w:t xml:space="preserve"> the Steering Committee of progress with performance reporting</w:t>
      </w:r>
      <w:r>
        <w:t xml:space="preserve">, and </w:t>
      </w:r>
      <w:r w:rsidR="00C03058">
        <w:t xml:space="preserve">may </w:t>
      </w:r>
      <w:r>
        <w:t>manage consultancies on behalf of working groups and/or the Steering Committee</w:t>
      </w:r>
      <w:r w:rsidR="00AB2392">
        <w:t>.</w:t>
      </w:r>
    </w:p>
    <w:p w:rsidR="002E5122" w:rsidRDefault="002E5122">
      <w:pPr>
        <w:pStyle w:val="BodyText"/>
      </w:pPr>
      <w:r>
        <w:t xml:space="preserve">The Secretariat provides the only permanent staff </w:t>
      </w:r>
      <w:r w:rsidR="00940036">
        <w:t>to the Review</w:t>
      </w:r>
      <w:r>
        <w:t xml:space="preserve">, and as such acts as a central repository of information and knowledge. The Secretariat needs to make </w:t>
      </w:r>
      <w:r w:rsidR="007D1DAB">
        <w:t xml:space="preserve">regular operational </w:t>
      </w:r>
      <w:r>
        <w:t>decisions on administration</w:t>
      </w:r>
      <w:r w:rsidR="00BC5DB7">
        <w:t>, liaison with Review participants</w:t>
      </w:r>
      <w:r>
        <w:t xml:space="preserve"> and drafting. However, </w:t>
      </w:r>
      <w:r w:rsidR="00770DFD">
        <w:t xml:space="preserve">every effort is made to consult with relevant </w:t>
      </w:r>
      <w:r w:rsidR="00BC5DB7">
        <w:t>w</w:t>
      </w:r>
      <w:r w:rsidR="00770DFD">
        <w:t xml:space="preserve">orking </w:t>
      </w:r>
      <w:r w:rsidR="00BC5DB7">
        <w:t>g</w:t>
      </w:r>
      <w:r w:rsidR="007D1DAB">
        <w:t>roups on issues that affect them</w:t>
      </w:r>
      <w:r w:rsidR="00770DFD">
        <w:t xml:space="preserve">, and </w:t>
      </w:r>
      <w:r>
        <w:t>all significant decisions are referred to the Steering Committee at its regular meet</w:t>
      </w:r>
      <w:r w:rsidR="00607C77">
        <w:t>ings, or if necessary, out-of-</w:t>
      </w:r>
      <w:r>
        <w:t>session</w:t>
      </w:r>
      <w:r w:rsidR="007D1DAB">
        <w:t xml:space="preserve"> for consideration and decision</w:t>
      </w:r>
      <w:r>
        <w:t>.</w:t>
      </w:r>
    </w:p>
    <w:p w:rsidR="002E5122" w:rsidRDefault="002E5122">
      <w:pPr>
        <w:pStyle w:val="Heading3"/>
      </w:pPr>
      <w:bookmarkStart w:id="6" w:name="_Toc311650730"/>
      <w:r>
        <w:t>Role of other working parties/</w:t>
      </w:r>
      <w:r w:rsidR="00DD6AAA">
        <w:t xml:space="preserve">related </w:t>
      </w:r>
      <w:r>
        <w:t>exercises</w:t>
      </w:r>
      <w:bookmarkEnd w:id="6"/>
    </w:p>
    <w:p w:rsidR="002E5122" w:rsidRDefault="00770DFD">
      <w:pPr>
        <w:pStyle w:val="BodyText"/>
      </w:pPr>
      <w:r>
        <w:t xml:space="preserve">Other working parties and </w:t>
      </w:r>
      <w:r w:rsidR="00DD6AAA">
        <w:t xml:space="preserve">related </w:t>
      </w:r>
      <w:r>
        <w:t>exercise</w:t>
      </w:r>
      <w:r w:rsidR="008F14D8">
        <w:t>s</w:t>
      </w:r>
      <w:r>
        <w:t xml:space="preserve"> are active in many of the service areas covered by the Review. </w:t>
      </w:r>
      <w:r w:rsidR="002E5122">
        <w:t xml:space="preserve">These can be statistical groups (such as the ABS </w:t>
      </w:r>
      <w:r w:rsidR="00607C77">
        <w:t>National Aboriginal and Torres Strait Islander Social Survey reference group</w:t>
      </w:r>
      <w:r w:rsidR="002E5122">
        <w:t xml:space="preserve">) or </w:t>
      </w:r>
      <w:r w:rsidR="00607C77">
        <w:t>COAG</w:t>
      </w:r>
      <w:r w:rsidR="00D50F87">
        <w:t xml:space="preserve"> Council sub-committees</w:t>
      </w:r>
      <w:r w:rsidR="002E5122">
        <w:t xml:space="preserve"> (such as the </w:t>
      </w:r>
      <w:r w:rsidR="00C742C0" w:rsidRPr="00C742C0">
        <w:t xml:space="preserve">National Health Information </w:t>
      </w:r>
      <w:smartTag w:uri="urn:schemas-microsoft-com:office:smarttags" w:element="PersonName">
        <w:r w:rsidR="00C742C0" w:rsidRPr="00C742C0">
          <w:t>Standards</w:t>
        </w:r>
      </w:smartTag>
      <w:r w:rsidR="00C742C0" w:rsidRPr="00C742C0">
        <w:t xml:space="preserve"> and Statistics Committee</w:t>
      </w:r>
      <w:r w:rsidR="00C742C0">
        <w:t>.</w:t>
      </w:r>
      <w:r w:rsidR="008F14D8">
        <w:t>)</w:t>
      </w:r>
      <w:r w:rsidR="002E5122">
        <w:t xml:space="preserve"> </w:t>
      </w:r>
      <w:r w:rsidR="0060406C">
        <w:t xml:space="preserve">Some related </w:t>
      </w:r>
      <w:r w:rsidR="002E5122">
        <w:t>groups have similar membership to working groups, but often report to line agency ministers.</w:t>
      </w:r>
      <w:r w:rsidR="0060406C">
        <w:t xml:space="preserve"> Other related groups also include non</w:t>
      </w:r>
      <w:r w:rsidR="0060406C">
        <w:noBreakHyphen/>
        <w:t>government representation, for example in the education sector, both Catholic and Independent schools are represented in fora that the School</w:t>
      </w:r>
      <w:r w:rsidR="00607C77">
        <w:t xml:space="preserve"> and Early</w:t>
      </w:r>
      <w:r w:rsidR="0060406C">
        <w:t xml:space="preserve"> Education</w:t>
      </w:r>
      <w:r w:rsidR="00607C77">
        <w:t xml:space="preserve"> and Care</w:t>
      </w:r>
      <w:r w:rsidR="0060406C">
        <w:t xml:space="preserve"> Working Group is also represented.</w:t>
      </w:r>
    </w:p>
    <w:p w:rsidR="002E5122" w:rsidRDefault="002E5122">
      <w:pPr>
        <w:pStyle w:val="BodyText"/>
      </w:pPr>
      <w:r>
        <w:t xml:space="preserve">The Review </w:t>
      </w:r>
      <w:r w:rsidR="00D50F87">
        <w:t xml:space="preserve">is </w:t>
      </w:r>
      <w:r>
        <w:t>a</w:t>
      </w:r>
      <w:r w:rsidR="00D50F87">
        <w:t xml:space="preserve">n independent COAG exercise, </w:t>
      </w:r>
      <w:r>
        <w:t xml:space="preserve">with reporting lines through the Steering Committee members to heads of government. While the Steering Committee </w:t>
      </w:r>
      <w:r w:rsidR="00721119">
        <w:t xml:space="preserve">values the input of </w:t>
      </w:r>
      <w:r w:rsidR="00020BE5">
        <w:t>related</w:t>
      </w:r>
      <w:r>
        <w:t xml:space="preserve"> </w:t>
      </w:r>
      <w:r w:rsidR="00721119">
        <w:t>exercises</w:t>
      </w:r>
      <w:r>
        <w:t xml:space="preserve">, decisions about significant changes in </w:t>
      </w:r>
      <w:r w:rsidR="00721119">
        <w:t xml:space="preserve">Review </w:t>
      </w:r>
      <w:r>
        <w:t xml:space="preserve">reporting </w:t>
      </w:r>
      <w:r w:rsidR="00721119">
        <w:t>are</w:t>
      </w:r>
      <w:r>
        <w:t xml:space="preserve"> made by the Steering Committee with advice from </w:t>
      </w:r>
      <w:r w:rsidR="00721119">
        <w:t>relevant working groups</w:t>
      </w:r>
      <w:r w:rsidR="00D50F87">
        <w:t xml:space="preserve">. Although </w:t>
      </w:r>
      <w:r w:rsidR="00721119">
        <w:t>the Steering Committee or w</w:t>
      </w:r>
      <w:r w:rsidR="008F14D8">
        <w:t xml:space="preserve">orking </w:t>
      </w:r>
      <w:r w:rsidR="00721119">
        <w:t xml:space="preserve">groups may seek the advice of </w:t>
      </w:r>
      <w:r w:rsidR="00020BE5">
        <w:t>related</w:t>
      </w:r>
      <w:r w:rsidR="008F14D8">
        <w:t xml:space="preserve"> group</w:t>
      </w:r>
      <w:r w:rsidR="00721119">
        <w:t xml:space="preserve">s, the </w:t>
      </w:r>
      <w:r>
        <w:t>Steering Committee</w:t>
      </w:r>
      <w:r w:rsidR="00721119">
        <w:t xml:space="preserve"> and working groups are not bound by such advice. </w:t>
      </w:r>
    </w:p>
    <w:p w:rsidR="002E5122" w:rsidRDefault="002E5122">
      <w:pPr>
        <w:pStyle w:val="Heading3"/>
      </w:pPr>
      <w:bookmarkStart w:id="7" w:name="_Toc311650731"/>
      <w:r>
        <w:t>Role of non-government bodies</w:t>
      </w:r>
      <w:bookmarkEnd w:id="7"/>
    </w:p>
    <w:p w:rsidR="00721119" w:rsidRDefault="00721119">
      <w:pPr>
        <w:pStyle w:val="BodyText"/>
      </w:pPr>
      <w:r>
        <w:t>As noted, observer status is not generally extended to non-government bodies. However, i</w:t>
      </w:r>
      <w:r w:rsidR="00770DFD">
        <w:t>n some circumstances</w:t>
      </w:r>
      <w:r>
        <w:t>,</w:t>
      </w:r>
      <w:r w:rsidR="002E5122">
        <w:t xml:space="preserve"> feedback on development of performance indicators</w:t>
      </w:r>
      <w:r>
        <w:t xml:space="preserve">, </w:t>
      </w:r>
      <w:r w:rsidR="002E5122">
        <w:t xml:space="preserve">data collection </w:t>
      </w:r>
      <w:r>
        <w:t>and reporting may be sought</w:t>
      </w:r>
      <w:r w:rsidR="002E5122">
        <w:t xml:space="preserve"> from non-government bodies</w:t>
      </w:r>
      <w:r>
        <w:t>, f</w:t>
      </w:r>
      <w:r w:rsidR="002E5122">
        <w:t>or example</w:t>
      </w:r>
      <w:r>
        <w:t>:</w:t>
      </w:r>
    </w:p>
    <w:p w:rsidR="00721119" w:rsidRDefault="008274C4" w:rsidP="00721119">
      <w:pPr>
        <w:pStyle w:val="ListBullet"/>
      </w:pPr>
      <w:r>
        <w:t xml:space="preserve">when data are </w:t>
      </w:r>
      <w:r w:rsidR="00721119">
        <w:t>to be</w:t>
      </w:r>
      <w:r>
        <w:t xml:space="preserve"> </w:t>
      </w:r>
      <w:r w:rsidR="00641FFF">
        <w:t xml:space="preserve">disaggregated by government and </w:t>
      </w:r>
      <w:r>
        <w:t>non-govern</w:t>
      </w:r>
      <w:r w:rsidR="00641FFF">
        <w:t>ment service providers</w:t>
      </w:r>
    </w:p>
    <w:p w:rsidR="00721119" w:rsidRDefault="00E32936" w:rsidP="00721119">
      <w:pPr>
        <w:pStyle w:val="ListBullet"/>
      </w:pPr>
      <w:r>
        <w:t>w</w:t>
      </w:r>
      <w:r w:rsidR="00721119">
        <w:t>here n</w:t>
      </w:r>
      <w:r w:rsidR="002E5122">
        <w:t xml:space="preserve">on-government groups, such as service providers and client peak bodies, </w:t>
      </w:r>
      <w:r w:rsidR="00721119">
        <w:t xml:space="preserve">can be expected to </w:t>
      </w:r>
      <w:r w:rsidR="002E5122">
        <w:t xml:space="preserve">be sensitive to the </w:t>
      </w:r>
      <w:r w:rsidR="00641FFF">
        <w:t xml:space="preserve">reported performance </w:t>
      </w:r>
      <w:r w:rsidR="002E5122">
        <w:t>results</w:t>
      </w:r>
    </w:p>
    <w:p w:rsidR="00721119" w:rsidRDefault="00721119" w:rsidP="00721119">
      <w:pPr>
        <w:pStyle w:val="ListBullet"/>
      </w:pPr>
      <w:r>
        <w:lastRenderedPageBreak/>
        <w:t xml:space="preserve">where non-government groups are custodians of data sets or have undertaken research relevant to Review reports. </w:t>
      </w:r>
    </w:p>
    <w:p w:rsidR="005400FB" w:rsidRDefault="00721119" w:rsidP="00AB1A74">
      <w:pPr>
        <w:pStyle w:val="BodyText"/>
      </w:pPr>
      <w:r>
        <w:t>T</w:t>
      </w:r>
      <w:r w:rsidR="002E5122">
        <w:t xml:space="preserve">he work of non-government groups should be acknowledged in the </w:t>
      </w:r>
      <w:r w:rsidR="00071BF9">
        <w:t>Review’s publications</w:t>
      </w:r>
      <w:r w:rsidR="008F14D8">
        <w:t>,</w:t>
      </w:r>
      <w:r w:rsidR="00071BF9">
        <w:t xml:space="preserve"> </w:t>
      </w:r>
      <w:r w:rsidR="002E5122">
        <w:t>where relevant.</w:t>
      </w:r>
    </w:p>
    <w:p w:rsidR="005400FB" w:rsidRDefault="005400FB" w:rsidP="00B82DE5">
      <w:pPr>
        <w:pStyle w:val="Heading3"/>
      </w:pPr>
      <w:r>
        <w:br w:type="page"/>
      </w:r>
      <w:bookmarkStart w:id="8" w:name="_Toc311650732"/>
      <w:r>
        <w:lastRenderedPageBreak/>
        <w:t>Attachment 1</w:t>
      </w:r>
      <w:r w:rsidR="00B82DE5">
        <w:t xml:space="preserve"> Steering Committee Terms of reference and Charter of operations</w:t>
      </w:r>
      <w:bookmarkEnd w:id="8"/>
    </w:p>
    <w:p w:rsidR="005400FB" w:rsidRDefault="005400FB" w:rsidP="005400FB">
      <w:pPr>
        <w:jc w:val="center"/>
        <w:rPr>
          <w:rFonts w:ascii="Calibri" w:hAnsi="Calibri"/>
        </w:rPr>
      </w:pPr>
      <w:r w:rsidRPr="006542FC">
        <w:rPr>
          <w:rFonts w:ascii="Calibri" w:hAnsi="Calibri"/>
        </w:rPr>
        <w:t>STEERING COMMITTEE FOR THE REVIEW OF GOVERNMENT SERVICE PROVISION</w:t>
      </w:r>
    </w:p>
    <w:p w:rsidR="005400FB" w:rsidRPr="009F442F" w:rsidRDefault="005400FB" w:rsidP="005400FB">
      <w:pPr>
        <w:jc w:val="center"/>
        <w:rPr>
          <w:rFonts w:ascii="Calibri" w:hAnsi="Calibri"/>
          <w:i/>
        </w:rPr>
      </w:pPr>
      <w:r w:rsidRPr="009F442F">
        <w:rPr>
          <w:rFonts w:ascii="Calibri" w:hAnsi="Calibri"/>
          <w:i/>
        </w:rPr>
        <w:t>Terms of Reference and Charter of Operations</w:t>
      </w:r>
    </w:p>
    <w:p w:rsidR="005400FB" w:rsidRPr="009F442F" w:rsidRDefault="005400FB" w:rsidP="005400FB">
      <w:pPr>
        <w:jc w:val="center"/>
        <w:rPr>
          <w:rFonts w:ascii="Calibri" w:hAnsi="Calibri"/>
        </w:rPr>
      </w:pPr>
    </w:p>
    <w:p w:rsidR="005400FB" w:rsidRPr="009F442F" w:rsidRDefault="005400FB" w:rsidP="005400FB">
      <w:pPr>
        <w:jc w:val="center"/>
        <w:rPr>
          <w:rFonts w:ascii="Calibri" w:hAnsi="Calibri"/>
        </w:rPr>
      </w:pPr>
      <w:r w:rsidRPr="009F442F">
        <w:rPr>
          <w:rFonts w:ascii="Calibri" w:hAnsi="Calibri"/>
        </w:rPr>
        <w:t>Terms of Reference</w:t>
      </w:r>
    </w:p>
    <w:tbl>
      <w:tblPr>
        <w:tblW w:w="0" w:type="auto"/>
        <w:tblLook w:val="00A0" w:firstRow="1" w:lastRow="0" w:firstColumn="1" w:lastColumn="0" w:noHBand="0" w:noVBand="0"/>
      </w:tblPr>
      <w:tblGrid>
        <w:gridCol w:w="7766"/>
        <w:gridCol w:w="1873"/>
      </w:tblGrid>
      <w:tr w:rsidR="005400FB" w:rsidRPr="009F442F" w:rsidTr="005400FB">
        <w:tc>
          <w:tcPr>
            <w:tcW w:w="7865" w:type="dxa"/>
          </w:tcPr>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The Steering Committee for the Review of Government Service Provision (the Steering Committee) was established by the Council of Australian Governments (COAG) and comprises representatives of the Commonwealth, State and Territory governments.</w:t>
            </w:r>
          </w:p>
          <w:p w:rsidR="005400FB" w:rsidRPr="009F442F" w:rsidRDefault="005400FB" w:rsidP="005400FB">
            <w:pPr>
              <w:pStyle w:val="ListParagraph1"/>
              <w:keepLines/>
              <w:spacing w:before="60" w:after="60"/>
              <w:ind w:left="405" w:firstLine="0"/>
              <w:jc w:val="both"/>
              <w:rPr>
                <w:rFonts w:ascii="Calibri" w:hAnsi="Calibri" w:cs="Arial"/>
              </w:rPr>
            </w:pPr>
            <w:r w:rsidRPr="009F442F">
              <w:rPr>
                <w:rFonts w:ascii="Calibri" w:hAnsi="Calibri" w:cs="Arial"/>
              </w:rPr>
              <w:t xml:space="preserve">The Steering Committee will operate according to a Charter of Operations. </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Constitution and authority of Steering Committee</w:t>
            </w:r>
          </w:p>
        </w:tc>
      </w:tr>
      <w:tr w:rsidR="005400FB" w:rsidRPr="009F442F" w:rsidTr="005400FB">
        <w:tc>
          <w:tcPr>
            <w:tcW w:w="7865" w:type="dxa"/>
          </w:tcPr>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As an integral part of the national performance reporting system, the Steering Committee informs Australians about services provided by governments and enables performance comparisons and benchmarking between jurisdictions and within a jurisdiction over time. The Steering Committee and its working groups are supported by a Secretariat located within the Productivity Commission as a neutral body that does not represent any jurisdiction.</w:t>
            </w:r>
          </w:p>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 xml:space="preserve">Better information improves government accountability and contributes to the wellbeing of all Australians by driving better government service delivery. To this end, the Steering Committee will: </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Objectives</w:t>
            </w:r>
          </w:p>
        </w:tc>
      </w:tr>
      <w:tr w:rsidR="005400FB" w:rsidRPr="009F442F" w:rsidTr="005400FB">
        <w:tc>
          <w:tcPr>
            <w:tcW w:w="7865" w:type="dxa"/>
          </w:tcPr>
          <w:p w:rsidR="005400FB" w:rsidRPr="009F442F" w:rsidRDefault="005400FB" w:rsidP="005400FB">
            <w:pPr>
              <w:pStyle w:val="ListParagraph1"/>
              <w:keepLines/>
              <w:numPr>
                <w:ilvl w:val="0"/>
                <w:numId w:val="15"/>
              </w:numPr>
              <w:spacing w:before="60" w:after="60"/>
              <w:jc w:val="both"/>
              <w:rPr>
                <w:rFonts w:ascii="Calibri" w:hAnsi="Calibri" w:cs="Arial"/>
                <w:i/>
              </w:rPr>
            </w:pPr>
            <w:r w:rsidRPr="009F442F">
              <w:rPr>
                <w:rFonts w:ascii="Calibri" w:hAnsi="Calibri" w:cs="Arial"/>
              </w:rPr>
              <w:t xml:space="preserve">measure and publish annually data on the equity, efficiency and cost effectiveness of government services through the </w:t>
            </w:r>
            <w:r w:rsidRPr="009F442F">
              <w:rPr>
                <w:rFonts w:ascii="Calibri" w:hAnsi="Calibri" w:cs="Arial"/>
                <w:i/>
              </w:rPr>
              <w:t>Report on Government Services</w:t>
            </w:r>
          </w:p>
          <w:p w:rsidR="005400FB" w:rsidRPr="009F442F" w:rsidRDefault="005400FB" w:rsidP="005400FB">
            <w:pPr>
              <w:pStyle w:val="ListParagraph1"/>
              <w:keepLines/>
              <w:numPr>
                <w:ilvl w:val="0"/>
                <w:numId w:val="15"/>
              </w:numPr>
              <w:spacing w:before="60" w:after="60"/>
              <w:jc w:val="both"/>
              <w:rPr>
                <w:rFonts w:ascii="Calibri" w:hAnsi="Calibri" w:cs="Arial"/>
              </w:rPr>
            </w:pPr>
            <w:r w:rsidRPr="009F442F">
              <w:rPr>
                <w:rFonts w:ascii="Calibri" w:hAnsi="Calibri" w:cs="Arial"/>
              </w:rPr>
              <w:t xml:space="preserve">produce and publish biennially the </w:t>
            </w:r>
            <w:r w:rsidRPr="009F442F">
              <w:rPr>
                <w:rFonts w:ascii="Calibri" w:hAnsi="Calibri" w:cs="Arial"/>
                <w:i/>
              </w:rPr>
              <w:t>Overcoming Indigenous Disadvantage</w:t>
            </w:r>
            <w:r w:rsidRPr="009F442F">
              <w:rPr>
                <w:rFonts w:ascii="Calibri" w:hAnsi="Calibri" w:cs="Arial"/>
              </w:rPr>
              <w:t xml:space="preserve"> report</w:t>
            </w:r>
          </w:p>
          <w:p w:rsidR="005400FB" w:rsidRPr="009F442F" w:rsidRDefault="005400FB" w:rsidP="005400FB">
            <w:pPr>
              <w:pStyle w:val="ListParagraph1"/>
              <w:keepLines/>
              <w:numPr>
                <w:ilvl w:val="0"/>
                <w:numId w:val="15"/>
              </w:numPr>
              <w:spacing w:before="60" w:after="60"/>
              <w:jc w:val="both"/>
              <w:rPr>
                <w:rFonts w:ascii="Calibri" w:hAnsi="Calibri" w:cs="Arial"/>
              </w:rPr>
            </w:pPr>
            <w:r w:rsidRPr="009F442F">
              <w:rPr>
                <w:rFonts w:ascii="Calibri" w:hAnsi="Calibri" w:cs="Arial"/>
              </w:rPr>
              <w:t>collate and prepare performance data under the Intergovernmental Agreement on Federal Financial Relations, in support of the analytical role of the COAG Reform Council and the broader national performance reporting system</w:t>
            </w:r>
          </w:p>
          <w:p w:rsidR="005400FB" w:rsidRPr="009F442F" w:rsidRDefault="005400FB" w:rsidP="005400FB">
            <w:pPr>
              <w:pStyle w:val="ListParagraph1"/>
              <w:keepLines/>
              <w:numPr>
                <w:ilvl w:val="0"/>
                <w:numId w:val="15"/>
              </w:numPr>
              <w:spacing w:before="60" w:after="60"/>
              <w:jc w:val="both"/>
              <w:rPr>
                <w:rFonts w:ascii="Calibri" w:hAnsi="Calibri" w:cs="Arial"/>
              </w:rPr>
            </w:pPr>
            <w:r w:rsidRPr="009F442F">
              <w:rPr>
                <w:rFonts w:ascii="Calibri" w:hAnsi="Calibri" w:cs="Arial"/>
              </w:rPr>
              <w:t xml:space="preserve">initiate research and report annually on improvements and innovation in service provision, having regard to the COAG Reform Council’s task of highlighting examples of good practice and performance </w:t>
            </w:r>
            <w:r w:rsidR="00357665" w:rsidRPr="009F442F">
              <w:rPr>
                <w:rFonts w:ascii="Calibri" w:hAnsi="Calibri" w:cs="Arial"/>
              </w:rPr>
              <w:t xml:space="preserve">and </w:t>
            </w:r>
            <w:r w:rsidRPr="009F442F">
              <w:rPr>
                <w:rFonts w:ascii="Calibri" w:hAnsi="Calibri" w:cs="Arial"/>
              </w:rPr>
              <w:t xml:space="preserve">perform any other related tasks referred to it by COAG. </w:t>
            </w:r>
          </w:p>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 xml:space="preserve">The </w:t>
            </w:r>
            <w:r w:rsidRPr="009F442F">
              <w:rPr>
                <w:rFonts w:ascii="Calibri" w:hAnsi="Calibri" w:cs="Arial"/>
                <w:i/>
              </w:rPr>
              <w:t xml:space="preserve">Report on Government Services </w:t>
            </w:r>
            <w:r w:rsidRPr="009F442F">
              <w:rPr>
                <w:rFonts w:ascii="Calibri" w:hAnsi="Calibri" w:cs="Arial"/>
              </w:rPr>
              <w:t xml:space="preserve">and the </w:t>
            </w:r>
            <w:r w:rsidRPr="009F442F">
              <w:rPr>
                <w:rFonts w:ascii="Calibri" w:hAnsi="Calibri" w:cs="Arial"/>
                <w:i/>
              </w:rPr>
              <w:t>Overcoming Indigenous Disadvantage</w:t>
            </w:r>
            <w:r w:rsidRPr="009F442F">
              <w:rPr>
                <w:rFonts w:ascii="Calibri" w:hAnsi="Calibri" w:cs="Arial"/>
              </w:rPr>
              <w:t xml:space="preserve"> report will be produced subject to additional terms of reference. </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Outputs</w:t>
            </w:r>
          </w:p>
        </w:tc>
      </w:tr>
    </w:tbl>
    <w:p w:rsidR="005400FB" w:rsidRPr="009F442F" w:rsidRDefault="005400FB"/>
    <w:tbl>
      <w:tblPr>
        <w:tblW w:w="0" w:type="auto"/>
        <w:tblLook w:val="00A0" w:firstRow="1" w:lastRow="0" w:firstColumn="1" w:lastColumn="0" w:noHBand="0" w:noVBand="0"/>
      </w:tblPr>
      <w:tblGrid>
        <w:gridCol w:w="7764"/>
        <w:gridCol w:w="1875"/>
      </w:tblGrid>
      <w:tr w:rsidR="005400FB" w:rsidRPr="009F442F" w:rsidTr="005400FB">
        <w:trPr>
          <w:cantSplit/>
        </w:trPr>
        <w:tc>
          <w:tcPr>
            <w:tcW w:w="7865" w:type="dxa"/>
          </w:tcPr>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lastRenderedPageBreak/>
              <w:t>To support the quality and integrity of these products, the Steering Committee will:</w:t>
            </w:r>
          </w:p>
          <w:p w:rsidR="005400FB" w:rsidRPr="009F442F" w:rsidRDefault="005400FB" w:rsidP="005400FB">
            <w:pPr>
              <w:pStyle w:val="ListParagraph1"/>
              <w:keepLines/>
              <w:numPr>
                <w:ilvl w:val="0"/>
                <w:numId w:val="16"/>
              </w:numPr>
              <w:spacing w:before="60" w:after="60"/>
              <w:jc w:val="both"/>
              <w:rPr>
                <w:rFonts w:ascii="Calibri" w:hAnsi="Calibri" w:cs="Arial"/>
              </w:rPr>
            </w:pPr>
            <w:r w:rsidRPr="009F442F">
              <w:rPr>
                <w:rFonts w:ascii="Calibri" w:hAnsi="Calibri" w:cs="Arial"/>
              </w:rPr>
              <w:t xml:space="preserve">ensure the integrity of the performance data it collects and holds </w:t>
            </w:r>
          </w:p>
          <w:p w:rsidR="005400FB" w:rsidRPr="009F442F" w:rsidRDefault="005400FB" w:rsidP="005400FB">
            <w:pPr>
              <w:pStyle w:val="ListParagraph1"/>
              <w:keepLines/>
              <w:numPr>
                <w:ilvl w:val="0"/>
                <w:numId w:val="16"/>
              </w:numPr>
              <w:spacing w:before="60" w:after="60"/>
              <w:jc w:val="both"/>
              <w:rPr>
                <w:rFonts w:ascii="Calibri" w:hAnsi="Calibri" w:cs="Arial"/>
              </w:rPr>
            </w:pPr>
            <w:r w:rsidRPr="009F442F">
              <w:rPr>
                <w:rFonts w:ascii="Calibri" w:hAnsi="Calibri" w:cs="Arial"/>
              </w:rPr>
              <w:t xml:space="preserve">exercise stewardship over the data, in part through participation in data and indicator development work of other groups that develop, prepare and maintain data used in Review reports, and through reporting outcomes of Steering Committee data reviews to authorities such as Heads of Treasuries and COAG, to ensure its long term value for comparisons of government service delivery, and as a research and evidence tool for the development of reforms in government service delivery </w:t>
            </w:r>
          </w:p>
          <w:p w:rsidR="005400FB" w:rsidRPr="009F442F" w:rsidRDefault="005400FB" w:rsidP="005400FB">
            <w:pPr>
              <w:pStyle w:val="ListParagraph1"/>
              <w:keepLines/>
              <w:numPr>
                <w:ilvl w:val="0"/>
                <w:numId w:val="16"/>
              </w:numPr>
              <w:spacing w:before="60" w:after="60"/>
              <w:jc w:val="both"/>
              <w:rPr>
                <w:rFonts w:ascii="Calibri" w:hAnsi="Calibri" w:cs="Arial"/>
              </w:rPr>
            </w:pPr>
            <w:r w:rsidRPr="009F442F">
              <w:rPr>
                <w:rFonts w:ascii="Calibri" w:hAnsi="Calibri" w:cs="Arial"/>
              </w:rPr>
              <w:t>ensure that performance indicators are meaningful, understandable, timely, comparable, administratively simple, cost effective, accurate and hierarchical,</w:t>
            </w:r>
            <w:r w:rsidRPr="009F442F">
              <w:rPr>
                <w:rFonts w:ascii="Calibri" w:hAnsi="Calibri" w:cs="Arial"/>
                <w:i/>
              </w:rPr>
              <w:t xml:space="preserve"> </w:t>
            </w:r>
            <w:r w:rsidRPr="009F442F">
              <w:rPr>
                <w:rFonts w:ascii="Calibri" w:hAnsi="Calibri" w:cs="Arial"/>
              </w:rPr>
              <w:t>consistent with the principles for performance indicators set out under the Intergovernmental Agreement on Federal Financial Relations</w:t>
            </w:r>
          </w:p>
          <w:p w:rsidR="005400FB" w:rsidRPr="009F442F" w:rsidRDefault="005400FB" w:rsidP="005400FB">
            <w:pPr>
              <w:pStyle w:val="ListParagraph1"/>
              <w:keepLines/>
              <w:numPr>
                <w:ilvl w:val="0"/>
                <w:numId w:val="16"/>
              </w:numPr>
              <w:spacing w:before="60" w:after="60"/>
              <w:jc w:val="both"/>
              <w:rPr>
                <w:rFonts w:ascii="Calibri" w:hAnsi="Calibri" w:cs="Arial"/>
              </w:rPr>
            </w:pPr>
            <w:r w:rsidRPr="009F442F">
              <w:rPr>
                <w:rFonts w:ascii="Calibri" w:hAnsi="Calibri" w:cs="Arial"/>
              </w:rPr>
              <w:t>keep abreast of national and international developments in performance management, including the measurement and reporting of government service provision.</w:t>
            </w:r>
          </w:p>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The Steering Committee’s ability to produce meaningful comparative information requires timely access to data and information. All jurisdictions have committed to facilitate the provision of necessary data, either directly or via a data agency, to meet Steering Committee timelines and to ensure the Steering Committee can meet its obligations to COAG.</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Data quality and integrity</w:t>
            </w:r>
          </w:p>
        </w:tc>
      </w:tr>
      <w:tr w:rsidR="005400FB" w:rsidRPr="009F442F" w:rsidTr="005400FB">
        <w:tc>
          <w:tcPr>
            <w:tcW w:w="7865" w:type="dxa"/>
          </w:tcPr>
          <w:p w:rsidR="005400FB" w:rsidRPr="009F442F" w:rsidRDefault="005400FB" w:rsidP="007F3D1C">
            <w:pPr>
              <w:pStyle w:val="ListParagraph1"/>
              <w:keepLines/>
              <w:numPr>
                <w:ilvl w:val="0"/>
                <w:numId w:val="17"/>
              </w:numPr>
              <w:spacing w:before="60" w:after="60"/>
              <w:ind w:left="403" w:hanging="403"/>
              <w:jc w:val="both"/>
              <w:rPr>
                <w:rFonts w:ascii="Calibri" w:hAnsi="Calibri" w:cs="Arial"/>
              </w:rPr>
            </w:pPr>
            <w:r w:rsidRPr="009F442F">
              <w:rPr>
                <w:rFonts w:ascii="Calibri" w:hAnsi="Calibri" w:cs="Arial"/>
              </w:rPr>
              <w:t xml:space="preserve">The Steering Committee will seek to maximise the accessibility to governments and the Australian community of the performance data it collects and collates, taking advantage, where appropriate, of developments in electronic storage, manipulation and publication of data. It will work with other government agencies in </w:t>
            </w:r>
            <w:smartTag w:uri="urn:schemas-microsoft-com:office:smarttags" w:element="country-region">
              <w:smartTag w:uri="urn:schemas-microsoft-com:office:smarttags" w:element="place">
                <w:r w:rsidRPr="009F442F">
                  <w:rPr>
                    <w:rFonts w:ascii="Calibri" w:hAnsi="Calibri" w:cs="Arial"/>
                  </w:rPr>
                  <w:t>Australia</w:t>
                </w:r>
              </w:smartTag>
            </w:smartTag>
            <w:r w:rsidRPr="009F442F">
              <w:rPr>
                <w:rFonts w:ascii="Calibri" w:hAnsi="Calibri" w:cs="Arial"/>
              </w:rPr>
              <w:t xml:space="preserve"> undertaking similar work to ensure a consistent and best practice approach.</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Accessibility</w:t>
            </w:r>
          </w:p>
        </w:tc>
      </w:tr>
      <w:tr w:rsidR="005400FB" w:rsidRPr="009F442F" w:rsidTr="005400FB">
        <w:tc>
          <w:tcPr>
            <w:tcW w:w="7865" w:type="dxa"/>
          </w:tcPr>
          <w:p w:rsidR="005400FB" w:rsidRPr="009F442F" w:rsidRDefault="005400FB" w:rsidP="005400FB">
            <w:pPr>
              <w:pStyle w:val="ListParagraph1"/>
              <w:keepLines/>
              <w:numPr>
                <w:ilvl w:val="0"/>
                <w:numId w:val="17"/>
              </w:numPr>
              <w:spacing w:before="60" w:after="60"/>
              <w:jc w:val="both"/>
              <w:rPr>
                <w:rFonts w:ascii="Calibri" w:hAnsi="Calibri" w:cs="Arial"/>
              </w:rPr>
            </w:pPr>
            <w:r w:rsidRPr="009F442F">
              <w:rPr>
                <w:rFonts w:ascii="Calibri" w:hAnsi="Calibri" w:cs="Arial"/>
              </w:rPr>
              <w:t>The Steering Committee will also, subject to direction from COAG, and in recognition of its role in the broader national performance reporting framework:</w:t>
            </w:r>
          </w:p>
          <w:p w:rsidR="005400FB" w:rsidRPr="009F442F" w:rsidRDefault="005400FB" w:rsidP="005400FB">
            <w:pPr>
              <w:pStyle w:val="ListParagraph1"/>
              <w:keepLines/>
              <w:numPr>
                <w:ilvl w:val="0"/>
                <w:numId w:val="18"/>
              </w:numPr>
              <w:spacing w:before="60" w:after="60"/>
              <w:jc w:val="both"/>
              <w:rPr>
                <w:rFonts w:ascii="Calibri" w:hAnsi="Calibri" w:cs="Arial"/>
              </w:rPr>
            </w:pPr>
            <w:r w:rsidRPr="009F442F">
              <w:rPr>
                <w:rFonts w:ascii="Calibri" w:hAnsi="Calibri" w:cs="Arial"/>
              </w:rPr>
              <w:t>have regard to the work program of the COAG Reform Council and provide such data as is required by the Council for the performance of its functions</w:t>
            </w:r>
          </w:p>
          <w:p w:rsidR="005400FB" w:rsidRPr="009F442F" w:rsidRDefault="005400FB" w:rsidP="005400FB">
            <w:pPr>
              <w:pStyle w:val="ListParagraph1"/>
              <w:keepLines/>
              <w:numPr>
                <w:ilvl w:val="0"/>
                <w:numId w:val="18"/>
              </w:numPr>
              <w:spacing w:before="60" w:after="60"/>
              <w:jc w:val="both"/>
              <w:rPr>
                <w:rFonts w:ascii="Calibri" w:hAnsi="Calibri" w:cs="Arial"/>
              </w:rPr>
            </w:pPr>
            <w:r w:rsidRPr="009F442F">
              <w:rPr>
                <w:rFonts w:ascii="Calibri" w:hAnsi="Calibri" w:cs="Arial"/>
              </w:rPr>
              <w:t>align, insofar as possible, the data collected and indicators developed with those under the National Agreements, avoiding duplication and unnecessary data collection burdens on jurisdictions</w:t>
            </w:r>
          </w:p>
          <w:p w:rsidR="005400FB" w:rsidRPr="009F442F" w:rsidRDefault="005400FB" w:rsidP="005400FB">
            <w:pPr>
              <w:pStyle w:val="ListParagraph1"/>
              <w:keepLines/>
              <w:numPr>
                <w:ilvl w:val="0"/>
                <w:numId w:val="18"/>
              </w:numPr>
              <w:spacing w:before="60" w:after="60"/>
              <w:jc w:val="both"/>
              <w:rPr>
                <w:rFonts w:ascii="Calibri" w:hAnsi="Calibri" w:cs="Arial"/>
              </w:rPr>
            </w:pPr>
            <w:r w:rsidRPr="009F442F">
              <w:rPr>
                <w:rFonts w:ascii="Calibri" w:hAnsi="Calibri" w:cs="Arial"/>
              </w:rPr>
              <w:t>drive improvements in data quality over time, in association with the Ministerial Council for Federal Financial Relations, the COAG Reform Council, other Ministerial Councils and data agencies.</w:t>
            </w:r>
          </w:p>
        </w:tc>
        <w:tc>
          <w:tcPr>
            <w:tcW w:w="1882"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Relationships within the national performance reporting system</w:t>
            </w:r>
          </w:p>
        </w:tc>
      </w:tr>
    </w:tbl>
    <w:p w:rsidR="005400FB" w:rsidRPr="009F442F" w:rsidRDefault="005400FB" w:rsidP="005400FB">
      <w:pPr>
        <w:jc w:val="center"/>
        <w:rPr>
          <w:rFonts w:ascii="Calibri" w:hAnsi="Calibri"/>
        </w:rPr>
      </w:pPr>
    </w:p>
    <w:p w:rsidR="005400FB" w:rsidRPr="009F442F" w:rsidRDefault="005400FB" w:rsidP="00E657A3">
      <w:pPr>
        <w:jc w:val="center"/>
        <w:rPr>
          <w:rFonts w:ascii="Calibri" w:hAnsi="Calibri"/>
        </w:rPr>
      </w:pPr>
      <w:r w:rsidRPr="009F442F">
        <w:rPr>
          <w:rFonts w:ascii="Calibri" w:hAnsi="Calibri"/>
        </w:rPr>
        <w:br w:type="page"/>
      </w:r>
      <w:r w:rsidRPr="009F442F">
        <w:rPr>
          <w:rFonts w:ascii="Calibri" w:hAnsi="Calibri"/>
        </w:rPr>
        <w:lastRenderedPageBreak/>
        <w:t>Charter of Operations</w:t>
      </w:r>
    </w:p>
    <w:tbl>
      <w:tblPr>
        <w:tblW w:w="9477" w:type="dxa"/>
        <w:tblLook w:val="00A0" w:firstRow="1" w:lastRow="0" w:firstColumn="1" w:lastColumn="0" w:noHBand="0" w:noVBand="0"/>
      </w:tblPr>
      <w:tblGrid>
        <w:gridCol w:w="7054"/>
        <w:gridCol w:w="2423"/>
      </w:tblGrid>
      <w:tr w:rsidR="005400FB" w:rsidRPr="009F442F" w:rsidTr="00B61C6F">
        <w:tc>
          <w:tcPr>
            <w:tcW w:w="7054" w:type="dxa"/>
          </w:tcPr>
          <w:p w:rsidR="005400FB" w:rsidRPr="009F442F" w:rsidRDefault="005400FB" w:rsidP="002C1F81">
            <w:pPr>
              <w:pStyle w:val="ListParagraph1"/>
              <w:numPr>
                <w:ilvl w:val="0"/>
                <w:numId w:val="20"/>
              </w:numPr>
              <w:spacing w:before="60" w:after="60"/>
              <w:jc w:val="both"/>
              <w:rPr>
                <w:rFonts w:ascii="Calibri" w:hAnsi="Calibri" w:cs="Arial"/>
              </w:rPr>
            </w:pPr>
            <w:r w:rsidRPr="009F442F">
              <w:rPr>
                <w:rFonts w:ascii="Calibri" w:hAnsi="Calibri" w:cs="Arial"/>
              </w:rPr>
              <w:t>This charter of operations sets out the governance arrangements and decision making processes for the Steering Committee for the Review of Government Service Provision (the Steering Committee). It should be read in conjunction with the Council of Australian Governments (COAG)-endorsed terms of reference for the Steering Committee. Additional information on the Steering Committee’s policies and principles can be found in the introductory chapters of relevant reports and the ‘Roles and responsibilities of Review participants’ document.</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Preamble</w:t>
            </w: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 xml:space="preserve">COAG established the Steering Committee in 1993, to produce ongoing comparisons of the efficiency and effectiveness of Commonwealth, State and Territory government services (through the </w:t>
            </w:r>
            <w:r w:rsidRPr="009F442F">
              <w:rPr>
                <w:rFonts w:ascii="Calibri" w:hAnsi="Calibri" w:cs="Arial"/>
                <w:i/>
              </w:rPr>
              <w:t>Report on Government Services</w:t>
            </w:r>
            <w:r w:rsidRPr="009F442F">
              <w:rPr>
                <w:rFonts w:ascii="Calibri" w:hAnsi="Calibri" w:cs="Arial"/>
              </w:rPr>
              <w:t xml:space="preserve"> [ROGS]) and to compile and assess service provision reforms.</w:t>
            </w:r>
          </w:p>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In December 2009, COAG confirmed the ROGS should continue to be the key tool to measure and report on the productive efficiency and cost effectiveness of government services, as part of the national performance reporting system.</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History</w:t>
            </w: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The Steering Committee comprises senior officials from the central agencies (First Ministers, Treasuries and Finance departments) of the Commonwealth, States and Territories. The Steering Committee is chaired by the Chairman of the Productivity Commission.</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Membership</w:t>
            </w: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In recognition of the value of expert technical advice, and the need for collaborative action, the Steering Committee may include observers from relevant data agencies.</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Observers</w:t>
            </w: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The Steering Committee and its working groups are supported by a Secretariat located within the Productivity Commission. The Secretariat is a neutral body and does not represent any jurisdiction.</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 xml:space="preserve">Secretariat </w:t>
            </w: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The Steering Committee may establish working groups, cross</w:t>
            </w:r>
            <w:r w:rsidRPr="009F442F">
              <w:rPr>
                <w:rFonts w:ascii="Calibri" w:hAnsi="Calibri" w:cs="Arial"/>
              </w:rPr>
              <w:noBreakHyphen/>
              <w:t>jurisdictional or otherwise, to provide expert advice. Working groups typically comprise a convenor drawn from the membership of the Steering Committee and State, Territory and Commonwealth government representatives from relevant departments or agencies. Working group members should have appropriate seniority to commit their jurisdictions on working group matters and provide strategic policy advice to the Steering Committee.</w:t>
            </w:r>
          </w:p>
        </w:tc>
        <w:tc>
          <w:tcPr>
            <w:tcW w:w="2423" w:type="dxa"/>
          </w:tcPr>
          <w:p w:rsidR="005400FB" w:rsidRPr="009F442F" w:rsidRDefault="00EF7B67" w:rsidP="00E657A3">
            <w:pPr>
              <w:pStyle w:val="ListParagraph1"/>
              <w:keepLines/>
              <w:spacing w:before="60" w:after="60"/>
              <w:ind w:left="0" w:firstLine="0"/>
              <w:jc w:val="right"/>
              <w:rPr>
                <w:rFonts w:ascii="Calibri" w:hAnsi="Calibri" w:cs="Arial"/>
              </w:rPr>
            </w:pPr>
            <w:r w:rsidRPr="009F442F">
              <w:rPr>
                <w:rFonts w:ascii="Calibri" w:hAnsi="Calibri" w:cs="Arial"/>
              </w:rPr>
              <w:t>Working groups</w:t>
            </w:r>
          </w:p>
        </w:tc>
      </w:tr>
      <w:tr w:rsidR="005400FB" w:rsidRPr="009F442F" w:rsidTr="00E657A3">
        <w:trPr>
          <w:cantSplit/>
        </w:trPr>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lastRenderedPageBreak/>
              <w:t>In recognition of the value of expert technical advice and close relationships with data development bodies and agencies, working groups may include observers from relevant data agencies or, where a data agency is not available, Ministerial Council data sub-committees. Furthermore, working groups may consult with data agencies or sub-committees, as appropriate, on technical issues requiring expert consideration.</w:t>
            </w:r>
          </w:p>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 xml:space="preserve">Working groups may contribute to and comment on drafts of Steering Committee reports, and make recommendations to the Steering Committee on matters related to their areas of expertise. </w:t>
            </w:r>
          </w:p>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Working groups are advisory bodies and do not endorse report content. As far as practicable, working groups adopt a consensus approach to making recommendations to the Steering Committee. Where working groups do not reach consensus, alternative views should be provided to the Steering Committee for decision.</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p>
        </w:tc>
      </w:tr>
      <w:tr w:rsidR="005400FB" w:rsidRPr="009F442F" w:rsidTr="00B61C6F">
        <w:tc>
          <w:tcPr>
            <w:tcW w:w="7054" w:type="dxa"/>
          </w:tcPr>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As far as practicable, the Steering Committee adopts a consensus approach to decision-making. Where consensus is not reached, decisions are based on majority vote of Steering Committee members, with each jurisdiction’s members having one joint vote. (Observers may not vote.) Should the Steering Committee be equally divided, the Chairman has a casting vote.</w:t>
            </w:r>
          </w:p>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Steering Committee members from one jurisdiction may choose not to publish information relating to their own jurisdiction but may not veto the publication of information relating to other jurisdictions.</w:t>
            </w:r>
          </w:p>
          <w:p w:rsidR="005400FB" w:rsidRPr="009F442F" w:rsidRDefault="005400FB" w:rsidP="00E657A3">
            <w:pPr>
              <w:pStyle w:val="ListParagraph1"/>
              <w:numPr>
                <w:ilvl w:val="0"/>
                <w:numId w:val="20"/>
              </w:numPr>
              <w:spacing w:before="60" w:after="60"/>
              <w:jc w:val="both"/>
              <w:rPr>
                <w:rFonts w:ascii="Calibri" w:hAnsi="Calibri" w:cs="Arial"/>
              </w:rPr>
            </w:pPr>
            <w:r w:rsidRPr="009F442F">
              <w:rPr>
                <w:rFonts w:ascii="Calibri" w:hAnsi="Calibri" w:cs="Arial"/>
              </w:rPr>
              <w:t>The Steering Committee may draw on the expert advice of its Secretariat, working groups and of specialist data and other organisations, but it is not bound by such advice.</w:t>
            </w:r>
          </w:p>
        </w:tc>
        <w:tc>
          <w:tcPr>
            <w:tcW w:w="2423" w:type="dxa"/>
          </w:tcPr>
          <w:p w:rsidR="005400FB" w:rsidRPr="009F442F" w:rsidRDefault="005400FB" w:rsidP="00E657A3">
            <w:pPr>
              <w:pStyle w:val="ListParagraph1"/>
              <w:keepLines/>
              <w:spacing w:before="60" w:after="60"/>
              <w:ind w:left="0" w:firstLine="0"/>
              <w:jc w:val="right"/>
              <w:rPr>
                <w:rFonts w:ascii="Calibri" w:hAnsi="Calibri" w:cs="Arial"/>
              </w:rPr>
            </w:pPr>
            <w:r w:rsidRPr="009F442F">
              <w:rPr>
                <w:rFonts w:ascii="Calibri" w:hAnsi="Calibri" w:cs="Arial"/>
              </w:rPr>
              <w:t>Governance and decision-making arrangements</w:t>
            </w:r>
          </w:p>
        </w:tc>
      </w:tr>
    </w:tbl>
    <w:p w:rsidR="005400FB" w:rsidRPr="009F442F" w:rsidRDefault="005400FB" w:rsidP="005400FB">
      <w:pPr>
        <w:pStyle w:val="Heading3"/>
      </w:pPr>
      <w:r w:rsidRPr="009F442F">
        <w:br w:type="page"/>
      </w:r>
      <w:bookmarkStart w:id="9" w:name="_Toc311650733"/>
      <w:r w:rsidRPr="009F442F">
        <w:lastRenderedPageBreak/>
        <w:t>Attachment 2</w:t>
      </w:r>
      <w:r w:rsidR="00B82DE5">
        <w:t xml:space="preserve"> Report on Government Services Terms of reference</w:t>
      </w:r>
      <w:bookmarkEnd w:id="9"/>
    </w:p>
    <w:p w:rsidR="005400FB" w:rsidRPr="009F442F" w:rsidRDefault="005400FB" w:rsidP="005400FB">
      <w:pPr>
        <w:jc w:val="center"/>
        <w:rPr>
          <w:rFonts w:ascii="Calibri" w:hAnsi="Calibri"/>
        </w:rPr>
      </w:pPr>
      <w:r w:rsidRPr="009F442F">
        <w:rPr>
          <w:rFonts w:ascii="Calibri" w:hAnsi="Calibri"/>
        </w:rPr>
        <w:t xml:space="preserve">The </w:t>
      </w:r>
      <w:r w:rsidRPr="009F442F">
        <w:rPr>
          <w:rFonts w:ascii="Calibri" w:hAnsi="Calibri"/>
          <w:i/>
        </w:rPr>
        <w:t>Report on Government Services</w:t>
      </w:r>
    </w:p>
    <w:p w:rsidR="005400FB" w:rsidRPr="009F442F" w:rsidRDefault="005400FB" w:rsidP="005400FB">
      <w:pPr>
        <w:jc w:val="center"/>
        <w:rPr>
          <w:rFonts w:ascii="Calibri" w:hAnsi="Calibri"/>
        </w:rPr>
      </w:pPr>
    </w:p>
    <w:p w:rsidR="005400FB" w:rsidRPr="009F442F" w:rsidRDefault="005400FB" w:rsidP="00E657A3">
      <w:pPr>
        <w:jc w:val="center"/>
        <w:rPr>
          <w:rFonts w:ascii="Calibri" w:hAnsi="Calibri"/>
        </w:rPr>
      </w:pPr>
      <w:r w:rsidRPr="009F442F">
        <w:rPr>
          <w:rFonts w:ascii="Calibri" w:hAnsi="Calibri"/>
        </w:rPr>
        <w:t>Terms of Reference</w:t>
      </w:r>
    </w:p>
    <w:tbl>
      <w:tblPr>
        <w:tblW w:w="0" w:type="auto"/>
        <w:tblLook w:val="00A0" w:firstRow="1" w:lastRow="0" w:firstColumn="1" w:lastColumn="0" w:noHBand="0" w:noVBand="0"/>
      </w:tblPr>
      <w:tblGrid>
        <w:gridCol w:w="6704"/>
        <w:gridCol w:w="2301"/>
      </w:tblGrid>
      <w:tr w:rsidR="005400FB" w:rsidRPr="009F442F" w:rsidTr="00B61C6F">
        <w:tc>
          <w:tcPr>
            <w:tcW w:w="6704" w:type="dxa"/>
          </w:tcPr>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Steering Committee will measure and publish annually data on the equity, efficiency and cost effectiveness of government services through the Report on Government Services (ROGS).</w:t>
            </w:r>
          </w:p>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ROGS facilitates improved service delivery, efficiency and performance, and accountability to governments and the public by providing a repository of meaningful, balanced, credible, comparative information on the provision of government services, capturing qualitative as well as quantitative change. The Steering Committee will seek to ensure that the performance indicators are administratively simple and cost effective.</w:t>
            </w:r>
          </w:p>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ROGS should include a robust set of performance indicators, consistent with the principles set out in the Intergovernmental Agreement on Federal Financial Relations; and an emphasis on longitudinal reporting, subject to a program of continual improvement in reporting.</w:t>
            </w:r>
          </w:p>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 xml:space="preserve">To encourage improvements in service delivery and effectiveness, ROGS should also highlight improvements and innovation. </w:t>
            </w:r>
          </w:p>
        </w:tc>
        <w:tc>
          <w:tcPr>
            <w:tcW w:w="2301"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Outputs and objectives</w:t>
            </w:r>
          </w:p>
        </w:tc>
      </w:tr>
      <w:tr w:rsidR="005400FB" w:rsidRPr="009F442F" w:rsidTr="00B61C6F">
        <w:tc>
          <w:tcPr>
            <w:tcW w:w="6704" w:type="dxa"/>
          </w:tcPr>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Steering Committee exercises overall authority within the ROGS reporting process, including determining the coverage of its reporting and the specific performance indicators that will be published, taking into account the scope of National Agreement reporting and avoiding unnecessary data provision burdens for jurisdictions.</w:t>
            </w:r>
          </w:p>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Steering Committee will implement a program of review and continuous improvement that will allow for changes to the scope of the ROGS over time, including reporting on new service areas and significant service delivery areas that are jurisdiction-specific.</w:t>
            </w:r>
          </w:p>
        </w:tc>
        <w:tc>
          <w:tcPr>
            <w:tcW w:w="2301"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Steering Committee authority</w:t>
            </w:r>
          </w:p>
        </w:tc>
      </w:tr>
      <w:tr w:rsidR="005400FB" w:rsidRPr="009F442F" w:rsidTr="00B61C6F">
        <w:tc>
          <w:tcPr>
            <w:tcW w:w="6704" w:type="dxa"/>
          </w:tcPr>
          <w:p w:rsidR="005400FB" w:rsidRPr="009F442F" w:rsidRDefault="005400FB" w:rsidP="005400FB">
            <w:pPr>
              <w:pStyle w:val="BodyText"/>
              <w:numPr>
                <w:ilvl w:val="0"/>
                <w:numId w:val="19"/>
              </w:numPr>
              <w:spacing w:before="60" w:after="60" w:line="240" w:lineRule="auto"/>
              <w:rPr>
                <w:rFonts w:ascii="Calibri" w:hAnsi="Calibri" w:cs="Arial"/>
                <w:szCs w:val="24"/>
              </w:rPr>
            </w:pPr>
            <w:r w:rsidRPr="009F442F">
              <w:rPr>
                <w:rFonts w:ascii="Calibri" w:hAnsi="Calibri" w:cs="Arial"/>
                <w:szCs w:val="24"/>
              </w:rPr>
              <w:t>The Steering Committee will review the ROGS every three years and advise COAG on jurisdictions’ compliance with data provision requirements and of potential improvements in data collection. It may also report on other matters, for example, ROGS’s scope, relevance and usefulness; and other matters consistent with the Steering Committee’s terms of reference and charter of operations.</w:t>
            </w:r>
          </w:p>
        </w:tc>
        <w:tc>
          <w:tcPr>
            <w:tcW w:w="2301" w:type="dxa"/>
          </w:tcPr>
          <w:p w:rsidR="005400FB" w:rsidRPr="009F442F" w:rsidRDefault="005400FB" w:rsidP="005400FB">
            <w:pPr>
              <w:pStyle w:val="ListParagraph1"/>
              <w:keepLines/>
              <w:spacing w:before="60" w:after="60"/>
              <w:ind w:left="0" w:firstLine="0"/>
              <w:jc w:val="right"/>
              <w:rPr>
                <w:rFonts w:ascii="Calibri" w:hAnsi="Calibri" w:cs="Arial"/>
              </w:rPr>
            </w:pPr>
            <w:r w:rsidRPr="009F442F">
              <w:rPr>
                <w:rFonts w:ascii="Calibri" w:hAnsi="Calibri" w:cs="Arial"/>
              </w:rPr>
              <w:t>Reporting to COAG</w:t>
            </w:r>
          </w:p>
        </w:tc>
      </w:tr>
    </w:tbl>
    <w:p w:rsidR="00B61C6F" w:rsidRPr="009F442F" w:rsidRDefault="00B61C6F" w:rsidP="00B61C6F">
      <w:pPr>
        <w:pStyle w:val="Heading3"/>
      </w:pPr>
    </w:p>
    <w:p w:rsidR="00B61C6F" w:rsidRPr="00B82DE5" w:rsidRDefault="00B61C6F" w:rsidP="00B61C6F">
      <w:pPr>
        <w:pStyle w:val="Heading3"/>
      </w:pPr>
      <w:r w:rsidRPr="009F442F">
        <w:br w:type="page"/>
      </w:r>
      <w:bookmarkStart w:id="10" w:name="_Toc311650734"/>
      <w:r w:rsidRPr="009F442F">
        <w:lastRenderedPageBreak/>
        <w:t>Attachment 3</w:t>
      </w:r>
      <w:r w:rsidR="00B82DE5">
        <w:t xml:space="preserve"> </w:t>
      </w:r>
      <w:r w:rsidR="00B82DE5" w:rsidRPr="00B82DE5">
        <w:t>Overcoming Indigenous Disadvantage</w:t>
      </w:r>
      <w:r w:rsidR="00B82DE5">
        <w:t xml:space="preserve"> Report Terms of reference</w:t>
      </w:r>
      <w:bookmarkEnd w:id="10"/>
    </w:p>
    <w:p w:rsidR="00B61C6F" w:rsidRPr="009F442F" w:rsidRDefault="00B61C6F" w:rsidP="00B61C6F">
      <w:pPr>
        <w:jc w:val="center"/>
        <w:rPr>
          <w:rFonts w:ascii="Calibri" w:hAnsi="Calibri"/>
        </w:rPr>
      </w:pPr>
      <w:r w:rsidRPr="009F442F">
        <w:rPr>
          <w:rFonts w:ascii="Calibri" w:hAnsi="Calibri"/>
          <w:i/>
        </w:rPr>
        <w:t>Overcoming Indigenous Disadvantage: Key Indicators</w:t>
      </w:r>
      <w:r w:rsidRPr="009F442F">
        <w:rPr>
          <w:rFonts w:ascii="Calibri" w:hAnsi="Calibri"/>
        </w:rPr>
        <w:t xml:space="preserve"> report</w:t>
      </w:r>
    </w:p>
    <w:p w:rsidR="00075B05" w:rsidRPr="009F442F" w:rsidRDefault="00075B05" w:rsidP="00075B05">
      <w:pPr>
        <w:jc w:val="center"/>
        <w:rPr>
          <w:rFonts w:ascii="Calibri" w:hAnsi="Calibri"/>
        </w:rPr>
      </w:pPr>
      <w:r>
        <w:rPr>
          <w:rFonts w:ascii="Calibri" w:hAnsi="Calibri"/>
        </w:rPr>
        <w:br/>
      </w:r>
      <w:r w:rsidRPr="009F442F">
        <w:rPr>
          <w:rFonts w:ascii="Calibri" w:hAnsi="Calibri"/>
        </w:rPr>
        <w:t>Terms of Reference</w:t>
      </w:r>
    </w:p>
    <w:p w:rsidR="00B61C6F" w:rsidRDefault="00B61C6F" w:rsidP="00B61C6F">
      <w:pPr>
        <w:jc w:val="center"/>
        <w:rPr>
          <w:rFonts w:ascii="Calibri" w:hAnsi="Calibri"/>
        </w:rPr>
      </w:pPr>
    </w:p>
    <w:p w:rsidR="006F186B" w:rsidRDefault="006F186B" w:rsidP="006F186B">
      <w:pPr>
        <w:jc w:val="both"/>
        <w:rPr>
          <w:rFonts w:ascii="Calibri" w:hAnsi="Calibri"/>
        </w:rPr>
      </w:pPr>
      <w:r>
        <w:rPr>
          <w:rFonts w:ascii="Calibri" w:hAnsi="Calibri"/>
        </w:rPr>
        <w:t>Letter from Prime Minister Kevin Rudd, Canberra</w:t>
      </w:r>
    </w:p>
    <w:p w:rsidR="006F186B" w:rsidRDefault="006F186B" w:rsidP="006F186B">
      <w:pPr>
        <w:jc w:val="both"/>
        <w:rPr>
          <w:rFonts w:ascii="Calibri" w:hAnsi="Calibri"/>
        </w:rPr>
      </w:pPr>
      <w:r>
        <w:rPr>
          <w:rFonts w:ascii="Calibri" w:hAnsi="Calibri"/>
        </w:rPr>
        <w:t>Reference: B08/2004</w:t>
      </w:r>
    </w:p>
    <w:p w:rsidR="006F186B" w:rsidRDefault="006F186B" w:rsidP="006F186B">
      <w:pPr>
        <w:jc w:val="both"/>
        <w:rPr>
          <w:rFonts w:ascii="Calibri" w:hAnsi="Calibri"/>
        </w:rPr>
      </w:pPr>
      <w:r>
        <w:rPr>
          <w:rFonts w:ascii="Calibri" w:hAnsi="Calibri"/>
        </w:rPr>
        <w:t>Received: 11 March 2009</w:t>
      </w:r>
    </w:p>
    <w:p w:rsidR="006F186B" w:rsidRDefault="006F186B" w:rsidP="006F186B">
      <w:pPr>
        <w:jc w:val="both"/>
        <w:rPr>
          <w:rFonts w:ascii="Calibri" w:hAnsi="Calibri"/>
        </w:rPr>
      </w:pPr>
      <w:r>
        <w:rPr>
          <w:rFonts w:ascii="Calibri" w:hAnsi="Calibri"/>
        </w:rPr>
        <w:t xml:space="preserve">Addressed to: Mr Gary Banks AO, </w:t>
      </w:r>
    </w:p>
    <w:p w:rsidR="006F186B" w:rsidRDefault="006F186B" w:rsidP="006F186B">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 Chairman</w:t>
      </w:r>
    </w:p>
    <w:p w:rsidR="006F186B" w:rsidRDefault="006F186B" w:rsidP="006F186B">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 Steering Committee for the Review of Government Service Provision</w:t>
      </w:r>
    </w:p>
    <w:p w:rsidR="006F186B" w:rsidRDefault="006F186B" w:rsidP="006F186B">
      <w:pPr>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t xml:space="preserve"> C/-Productivity Commission, Locked Bag 2, Collins Street East Vic 8003</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Dear Mr Banks</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I am writing in my capacity as Chair of the Council of Australian Governments (COAG) to convey to  you updated Terms of Reference for the Overcoming Indigenous Disadvantage (OID) Report.</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Since it was first published in 2003, the OID report has established itself as a source of high quality information on the progress being made in addressing Indigenous disadvantage across a range of key indicators. The OID report has been used by Governments and the broader community to understand the nature of Indigenous disadvantage and as a result has helped inform the development of policies to address Indigenous disadvantage. The OID report is highly regarded and I commend the Steering Committee for the Review of Government Services (the Steering Committee) for its efforts in preparing the report every two years.</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In December 2007 and March 2008, COAG committed to six ambitious targets to close the gap in Indigenous disadvantage:</w:t>
      </w:r>
    </w:p>
    <w:p w:rsidR="006F186B" w:rsidRDefault="006F186B" w:rsidP="006F186B">
      <w:pPr>
        <w:numPr>
          <w:ilvl w:val="0"/>
          <w:numId w:val="30"/>
        </w:numPr>
        <w:jc w:val="both"/>
        <w:rPr>
          <w:rFonts w:ascii="Calibri" w:hAnsi="Calibri"/>
        </w:rPr>
      </w:pPr>
      <w:r>
        <w:rPr>
          <w:rFonts w:ascii="Calibri" w:hAnsi="Calibri"/>
        </w:rPr>
        <w:t>closing the life expectancy gap within a generation;</w:t>
      </w:r>
    </w:p>
    <w:p w:rsidR="006F186B" w:rsidRDefault="006F186B" w:rsidP="006F186B">
      <w:pPr>
        <w:numPr>
          <w:ilvl w:val="0"/>
          <w:numId w:val="30"/>
        </w:numPr>
        <w:jc w:val="both"/>
        <w:rPr>
          <w:rFonts w:ascii="Calibri" w:hAnsi="Calibri"/>
        </w:rPr>
      </w:pPr>
      <w:r>
        <w:rPr>
          <w:rFonts w:ascii="Calibri" w:hAnsi="Calibri"/>
        </w:rPr>
        <w:t xml:space="preserve">halving the gap in the mortality rate for Indigenous Children under five within a decade; </w:t>
      </w:r>
    </w:p>
    <w:p w:rsidR="006F186B" w:rsidRDefault="006F186B" w:rsidP="006F186B">
      <w:pPr>
        <w:numPr>
          <w:ilvl w:val="0"/>
          <w:numId w:val="30"/>
        </w:numPr>
        <w:jc w:val="both"/>
        <w:rPr>
          <w:rFonts w:ascii="Calibri" w:hAnsi="Calibri"/>
        </w:rPr>
      </w:pPr>
      <w:r>
        <w:rPr>
          <w:rFonts w:ascii="Calibri" w:hAnsi="Calibri"/>
        </w:rPr>
        <w:t>ensuring all Indigenous four year olds in remote communities have access to quality early childhood programs within five years;</w:t>
      </w:r>
    </w:p>
    <w:p w:rsidR="006F186B" w:rsidRDefault="006F186B" w:rsidP="006F186B">
      <w:pPr>
        <w:numPr>
          <w:ilvl w:val="0"/>
          <w:numId w:val="30"/>
        </w:numPr>
        <w:jc w:val="both"/>
        <w:rPr>
          <w:rFonts w:ascii="Calibri" w:hAnsi="Calibri"/>
        </w:rPr>
      </w:pPr>
      <w:r>
        <w:rPr>
          <w:rFonts w:ascii="Calibri" w:hAnsi="Calibri"/>
        </w:rPr>
        <w:t>halving the gap in reading, writing and numeracy achievements for children within a decade;</w:t>
      </w:r>
    </w:p>
    <w:p w:rsidR="006F186B" w:rsidRDefault="006F186B" w:rsidP="006F186B">
      <w:pPr>
        <w:numPr>
          <w:ilvl w:val="0"/>
          <w:numId w:val="30"/>
        </w:numPr>
        <w:jc w:val="both"/>
        <w:rPr>
          <w:rFonts w:ascii="Calibri" w:hAnsi="Calibri"/>
        </w:rPr>
      </w:pPr>
      <w:r>
        <w:rPr>
          <w:rFonts w:ascii="Calibri" w:hAnsi="Calibri"/>
        </w:rPr>
        <w:t>halving the gap for Indigenous students in Year 12 attainment rates or equivalent attainment by 2020; and</w:t>
      </w:r>
    </w:p>
    <w:p w:rsidR="006F186B" w:rsidRDefault="006F186B" w:rsidP="006F186B">
      <w:pPr>
        <w:numPr>
          <w:ilvl w:val="0"/>
          <w:numId w:val="30"/>
        </w:numPr>
        <w:jc w:val="both"/>
        <w:rPr>
          <w:rFonts w:ascii="Calibri" w:hAnsi="Calibri"/>
        </w:rPr>
      </w:pPr>
      <w:r>
        <w:rPr>
          <w:rFonts w:ascii="Calibri" w:hAnsi="Calibri"/>
        </w:rPr>
        <w:t>halving the gap in employment outcomes within a decade.</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Without high quality data, it is impossible to understand where we are headed in terms of overcoming Indigenous disadvantage. Through the National Indigenous Reform Agreement, all Governments have committed to ensuring their data is of high quality, and moreover, is available for reporting purposes. This undertaking has been made with specific reference to the need for data to be provided for the OID report.</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In August 2008, the Chair of the COAG Working Group on Indigenous Reform (WGIR), the Hon Jenny Macklin MP, wrote to you requesting the Steering Committee work with the WGIR to align the OID framework to the Closing the Gap targets.</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lastRenderedPageBreak/>
        <w:t xml:space="preserve">As a result, on 29 November 2008, COAG agreed a new framework for the OID report which takes account of the six ambitious targets to Close the Gap in Indigenous disadvantage. The Steering Committee should take account of this new framework in preparing future OID reports thereby ensuring the report continues to provide Governments and the broader community with an understanding of the progress being made to overcome Indigenous disadvantage. </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 xml:space="preserve">I have copied this letter to the Treasurer, Ms Macklin and the Chair of MCATSIA the Deputy Premier of the Government of Western Australia and Minister for Indigenous Affairs, the Hon </w:t>
      </w:r>
      <w:r w:rsidR="00264628">
        <w:rPr>
          <w:rFonts w:ascii="Calibri" w:hAnsi="Calibri"/>
        </w:rPr>
        <w:br/>
      </w:r>
      <w:r>
        <w:rPr>
          <w:rFonts w:ascii="Calibri" w:hAnsi="Calibri"/>
        </w:rPr>
        <w:t>Dr Kim Hames MLA.</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 xml:space="preserve">Yours sincerely </w:t>
      </w:r>
    </w:p>
    <w:p w:rsidR="006F186B" w:rsidRDefault="006F186B" w:rsidP="006F186B">
      <w:pPr>
        <w:jc w:val="both"/>
        <w:rPr>
          <w:rFonts w:ascii="Calibri" w:hAnsi="Calibri"/>
        </w:rPr>
      </w:pPr>
    </w:p>
    <w:p w:rsidR="006F186B" w:rsidRDefault="006F186B" w:rsidP="006F186B">
      <w:pPr>
        <w:jc w:val="both"/>
        <w:rPr>
          <w:rFonts w:ascii="Calibri" w:hAnsi="Calibri"/>
        </w:rPr>
      </w:pPr>
      <w:r>
        <w:rPr>
          <w:rFonts w:ascii="Calibri" w:hAnsi="Calibri"/>
        </w:rPr>
        <w:t>[signed]</w:t>
      </w:r>
    </w:p>
    <w:p w:rsidR="006F186B" w:rsidRDefault="006F186B" w:rsidP="006F186B">
      <w:pPr>
        <w:jc w:val="both"/>
        <w:rPr>
          <w:rFonts w:ascii="Calibri" w:hAnsi="Calibri"/>
        </w:rPr>
      </w:pPr>
    </w:p>
    <w:p w:rsidR="00264628" w:rsidRDefault="006F186B" w:rsidP="006F186B">
      <w:pPr>
        <w:jc w:val="both"/>
        <w:rPr>
          <w:rFonts w:ascii="Calibri" w:hAnsi="Calibri"/>
        </w:rPr>
      </w:pPr>
      <w:r>
        <w:rPr>
          <w:rFonts w:ascii="Calibri" w:hAnsi="Calibri"/>
        </w:rPr>
        <w:t>Kevin Rudd</w:t>
      </w:r>
    </w:p>
    <w:p w:rsidR="006F186B" w:rsidRPr="009F442F" w:rsidRDefault="00264628" w:rsidP="00264628">
      <w:pPr>
        <w:pStyle w:val="BodyText"/>
        <w:spacing w:before="0" w:line="240" w:lineRule="auto"/>
      </w:pPr>
      <w:r>
        <w:br w:type="page"/>
      </w:r>
    </w:p>
    <w:p w:rsidR="000E1E70" w:rsidRPr="00264628" w:rsidRDefault="000E1E70" w:rsidP="00264628">
      <w:pPr>
        <w:pStyle w:val="BodyText"/>
        <w:spacing w:before="0"/>
        <w:rPr>
          <w:rFonts w:ascii="Arial" w:hAnsi="Arial" w:cs="Arial"/>
          <w:b/>
          <w:sz w:val="26"/>
          <w:szCs w:val="26"/>
        </w:rPr>
      </w:pPr>
      <w:bookmarkStart w:id="11" w:name="_Toc311650735"/>
      <w:r w:rsidRPr="00264628">
        <w:rPr>
          <w:rFonts w:ascii="Arial" w:hAnsi="Arial" w:cs="Arial"/>
          <w:b/>
          <w:sz w:val="26"/>
          <w:szCs w:val="26"/>
        </w:rPr>
        <w:lastRenderedPageBreak/>
        <w:t>Attachment 4</w:t>
      </w:r>
      <w:r w:rsidR="003B5033" w:rsidRPr="00264628">
        <w:rPr>
          <w:rFonts w:ascii="Arial" w:hAnsi="Arial" w:cs="Arial"/>
          <w:b/>
          <w:sz w:val="26"/>
          <w:szCs w:val="26"/>
        </w:rPr>
        <w:t xml:space="preserve"> </w:t>
      </w:r>
      <w:r w:rsidRPr="00264628">
        <w:rPr>
          <w:rFonts w:ascii="Arial" w:hAnsi="Arial" w:cs="Arial"/>
          <w:b/>
          <w:sz w:val="26"/>
          <w:szCs w:val="26"/>
          <w:lang w:val="en"/>
        </w:rPr>
        <w:t>Indigenous Expenditure Report</w:t>
      </w:r>
      <w:r w:rsidR="003B5033" w:rsidRPr="00264628">
        <w:rPr>
          <w:rFonts w:ascii="Arial" w:hAnsi="Arial" w:cs="Arial"/>
          <w:b/>
          <w:sz w:val="26"/>
          <w:szCs w:val="26"/>
          <w:lang w:val="en"/>
        </w:rPr>
        <w:t xml:space="preserve"> </w:t>
      </w:r>
      <w:r w:rsidRPr="00264628">
        <w:rPr>
          <w:rFonts w:ascii="Arial" w:hAnsi="Arial" w:cs="Arial"/>
          <w:b/>
          <w:sz w:val="26"/>
          <w:szCs w:val="26"/>
          <w:lang w:val="en"/>
        </w:rPr>
        <w:t>Terms of reference</w:t>
      </w:r>
      <w:bookmarkEnd w:id="11"/>
    </w:p>
    <w:p w:rsidR="000E1E70" w:rsidRDefault="000E1E70" w:rsidP="00AF34C7">
      <w:pPr>
        <w:pStyle w:val="NormalWeb"/>
        <w:rPr>
          <w:sz w:val="20"/>
          <w:szCs w:val="20"/>
          <w:lang w:val="en"/>
        </w:rPr>
      </w:pPr>
      <w:r>
        <w:rPr>
          <w:rStyle w:val="Strong"/>
          <w:sz w:val="20"/>
          <w:szCs w:val="20"/>
          <w:lang w:val="en"/>
        </w:rPr>
        <w:t>The Indigenous Expenditure Report aims to contribute to better policy making and improved outcomes for Indigenous Australians by:</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reporting on expenditure on services which support Indigenous Australians, including in a manner consistent with the COAG Working Group on Indigenous Reform statement of objectives, outcomes and measures and the COAG Overcoming Indigenous Disadvantage report framework.</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 xml:space="preserve">promoting the collection and reporting of robust Indigenous expenditure data through: </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determining and applying consistent methodology to the collection and reporting of data</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identifying necessary improvements to the collection and availability of relevant data</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developing and implementing strategies to address data deficiencies.</w:t>
      </w:r>
    </w:p>
    <w:p w:rsidR="000E1E70" w:rsidRDefault="000E1E70" w:rsidP="00AF34C7">
      <w:pPr>
        <w:pStyle w:val="NormalWeb"/>
        <w:rPr>
          <w:sz w:val="20"/>
          <w:szCs w:val="20"/>
          <w:lang w:val="en"/>
        </w:rPr>
      </w:pPr>
      <w:r>
        <w:rPr>
          <w:rStyle w:val="Strong"/>
          <w:sz w:val="20"/>
          <w:szCs w:val="20"/>
          <w:lang w:val="en"/>
        </w:rPr>
        <w:t>The Indigenous Expenditure Report will:</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 xml:space="preserve">include expenditure by both Commonwealth and State/Territory governments (and local government if possible), and over time will: </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allow reporting on Indigenous and non-Indigenous social status and economic status</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include expenditure on Indigenous-specific and key mainstream programs</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be reconcilable with published government financial statistics.</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focus on on-the-ground services in areas such as: education; justice; health; housing; community services; employment; and other significant expenditure.</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 xml:space="preserve">report on a regular basis, including: </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completion of an initial '</w:t>
      </w:r>
      <w:proofErr w:type="spellStart"/>
      <w:r>
        <w:rPr>
          <w:rFonts w:ascii="Verdana" w:hAnsi="Verdana"/>
          <w:color w:val="000000"/>
          <w:sz w:val="20"/>
          <w:szCs w:val="20"/>
          <w:lang w:val="en"/>
        </w:rPr>
        <w:t>stocktake</w:t>
      </w:r>
      <w:proofErr w:type="spellEnd"/>
      <w:r>
        <w:rPr>
          <w:rFonts w:ascii="Verdana" w:hAnsi="Verdana"/>
          <w:color w:val="000000"/>
          <w:sz w:val="20"/>
          <w:szCs w:val="20"/>
          <w:lang w:val="en"/>
        </w:rPr>
        <w:t>' report for the first COAG meeting in 2009, setting out the reporting framework, principles, methodology, and survey of available data and strategies for data development</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staged reporting against the framework (having regard to considerations such as data availability, implementation requirements and costs of reporting)</w:t>
      </w:r>
    </w:p>
    <w:p w:rsidR="000E1E70" w:rsidRDefault="000E1E70" w:rsidP="00AF34C7">
      <w:pPr>
        <w:numPr>
          <w:ilvl w:val="1"/>
          <w:numId w:val="21"/>
        </w:numPr>
        <w:spacing w:before="12" w:after="180"/>
        <w:ind w:right="24"/>
        <w:rPr>
          <w:rFonts w:ascii="Verdana" w:hAnsi="Verdana"/>
          <w:color w:val="000000"/>
          <w:sz w:val="20"/>
          <w:szCs w:val="20"/>
          <w:lang w:val="en"/>
        </w:rPr>
      </w:pPr>
      <w:r>
        <w:rPr>
          <w:rFonts w:ascii="Verdana" w:hAnsi="Verdana"/>
          <w:color w:val="000000"/>
          <w:sz w:val="20"/>
          <w:szCs w:val="20"/>
          <w:lang w:val="en"/>
        </w:rPr>
        <w:t>report on both Indigenous and non-Indigenous expenditure.</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provide governments with a better understanding of the level and patterns of expenditure on services which support Indigenous Australians, and provide policy makers with an additional tool to target policies to Close the Gap in Indigenous Disadvantage.</w:t>
      </w:r>
    </w:p>
    <w:p w:rsidR="000E1E70" w:rsidRDefault="000E1E70" w:rsidP="00AF34C7">
      <w:pPr>
        <w:pStyle w:val="NormalWeb"/>
        <w:rPr>
          <w:sz w:val="20"/>
          <w:szCs w:val="20"/>
          <w:lang w:val="en"/>
        </w:rPr>
      </w:pPr>
      <w:r>
        <w:rPr>
          <w:rStyle w:val="Strong"/>
          <w:sz w:val="20"/>
          <w:szCs w:val="20"/>
          <w:lang w:val="en"/>
        </w:rPr>
        <w:t>The Indigenous Expenditure Report steering committee will:</w:t>
      </w:r>
    </w:p>
    <w:p w:rsidR="000E1E70"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provide regular updates to Heads of Treasuries on progress in developing the expenditure framework and to the Working Group on Indigenous Reform on progress on data issues</w:t>
      </w:r>
    </w:p>
    <w:p w:rsidR="0036249D" w:rsidRPr="00AF34C7" w:rsidRDefault="000E1E70" w:rsidP="00AF34C7">
      <w:pPr>
        <w:numPr>
          <w:ilvl w:val="0"/>
          <w:numId w:val="21"/>
        </w:numPr>
        <w:spacing w:before="12" w:after="180"/>
        <w:ind w:right="12"/>
        <w:rPr>
          <w:rFonts w:ascii="Verdana" w:hAnsi="Verdana"/>
          <w:color w:val="000000"/>
          <w:sz w:val="20"/>
          <w:szCs w:val="20"/>
          <w:lang w:val="en"/>
        </w:rPr>
      </w:pPr>
      <w:r>
        <w:rPr>
          <w:rFonts w:ascii="Verdana" w:hAnsi="Verdana"/>
          <w:color w:val="000000"/>
          <w:sz w:val="20"/>
          <w:szCs w:val="20"/>
          <w:lang w:val="en"/>
        </w:rPr>
        <w:t>recommend to Heads of Treasuries appropriate institutional arrangements for annual reporting on Indigenous expenditure once the framework for reporting has been developed.</w:t>
      </w:r>
    </w:p>
    <w:sectPr w:rsidR="0036249D" w:rsidRPr="00AF34C7" w:rsidSect="0043088B">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0D3" w:rsidRDefault="00AC10D3">
      <w:r>
        <w:separator/>
      </w:r>
    </w:p>
  </w:endnote>
  <w:endnote w:type="continuationSeparator" w:id="0">
    <w:p w:rsidR="00AC10D3" w:rsidRDefault="00AC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bertus Medium">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0C0971">
      <w:trPr>
        <w:trHeight w:hRule="exact" w:val="740"/>
      </w:trPr>
      <w:tc>
        <w:tcPr>
          <w:tcW w:w="510" w:type="dxa"/>
          <w:tcBorders>
            <w:top w:val="single" w:sz="6" w:space="0" w:color="auto"/>
          </w:tcBorders>
        </w:tcPr>
        <w:p w:rsidR="000C0971" w:rsidRDefault="000C0971">
          <w:pPr>
            <w:pStyle w:val="Footer"/>
            <w:rPr>
              <w:rStyle w:val="PageNumber"/>
            </w:rP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fldChar w:fldCharType="begin"/>
          </w:r>
          <w:r>
            <w:rPr>
              <w:rStyle w:val="PageNumber"/>
            </w:rPr>
            <w:instrText xml:space="preserve"> IF NumberContinuously = "N" </w:instrText>
          </w:r>
          <w:r>
            <w:rPr>
              <w:rStyle w:val="PageNumber"/>
            </w:rPr>
            <w:fldChar w:fldCharType="begin"/>
          </w:r>
          <w:r>
            <w:rPr>
              <w:rStyle w:val="PageNumber"/>
            </w:rPr>
            <w:instrText xml:space="preserve"> AUTOTEXT ChapterNumber </w:instrText>
          </w:r>
          <w:r>
            <w:rPr>
              <w:rStyle w:val="PageNumber"/>
            </w:rPr>
            <w:fldChar w:fldCharType="separate"/>
          </w:r>
          <w:r>
            <w:rPr>
              <w:rStyle w:val="PageNumber"/>
            </w:rPr>
            <w:fldChar w:fldCharType="begin"/>
          </w:r>
          <w:r>
            <w:rPr>
              <w:rStyle w:val="PageNumber"/>
            </w:rPr>
            <w:instrText xml:space="preserve"> COMMENTS  \* MERGEFORMAT </w:instrText>
          </w:r>
          <w:r>
            <w:rPr>
              <w:rStyle w:val="PageNumber"/>
            </w:rPr>
            <w:fldChar w:fldCharType="separate"/>
          </w:r>
          <w:r>
            <w:rPr>
              <w:rStyle w:val="PageNumber"/>
            </w:rPr>
            <w:instrText>1</w:instrText>
          </w:r>
          <w:r>
            <w:rPr>
              <w:rStyle w:val="PageNumber"/>
            </w:rPr>
            <w:fldChar w:fldCharType="end"/>
          </w:r>
          <w:r>
            <w:rPr>
              <w:rStyle w:val="PageNumber"/>
            </w:rPr>
            <w:fldChar w:fldCharType="end"/>
          </w:r>
          <w:r>
            <w:rPr>
              <w:rStyle w:val="PageNumber"/>
            </w:rPr>
            <w:instrText xml:space="preserve"> "" \* MERGEFORMAT </w:instrText>
          </w:r>
          <w:r>
            <w:rPr>
              <w:rStyle w:val="PageNumber"/>
            </w:rPr>
            <w:fldChar w:fldCharType="end"/>
          </w:r>
          <w:bookmarkStart w:id="12" w:name="AutoNew"/>
          <w:bookmarkStart w:id="13" w:name="FirstAnnotation"/>
          <w:bookmarkEnd w:id="12"/>
        </w:p>
      </w:tc>
      <w:tc>
        <w:tcPr>
          <w:tcW w:w="1644" w:type="dxa"/>
          <w:tcBorders>
            <w:top w:val="single" w:sz="6" w:space="0" w:color="auto"/>
          </w:tcBorders>
        </w:tcPr>
        <w:p w:rsidR="000C0971" w:rsidRDefault="000C0971">
          <w:pPr>
            <w:pStyle w:val="Footer"/>
          </w:pPr>
          <w:r>
            <w:t>secretariat handbook VERSION JULY 2010</w:t>
          </w:r>
        </w:p>
      </w:tc>
      <w:tc>
        <w:tcPr>
          <w:tcW w:w="6634" w:type="dxa"/>
        </w:tcPr>
        <w:p w:rsidR="000C0971" w:rsidRDefault="000C0971">
          <w:pPr>
            <w:pStyle w:val="Footer"/>
            <w:jc w:val="right"/>
          </w:pPr>
        </w:p>
      </w:tc>
    </w:tr>
    <w:bookmarkEnd w:id="13"/>
  </w:tbl>
  <w:p w:rsidR="000C0971" w:rsidRDefault="000C097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5" w:type="dxa"/>
      <w:tblBorders>
        <w:top w:val="single" w:sz="4" w:space="0" w:color="auto"/>
      </w:tblBorders>
      <w:tblLayout w:type="fixed"/>
      <w:tblCellMar>
        <w:left w:w="0" w:type="dxa"/>
        <w:right w:w="0" w:type="dxa"/>
      </w:tblCellMar>
      <w:tblLook w:val="0000" w:firstRow="0" w:lastRow="0" w:firstColumn="0" w:lastColumn="0" w:noHBand="0" w:noVBand="0"/>
    </w:tblPr>
    <w:tblGrid>
      <w:gridCol w:w="510"/>
      <w:gridCol w:w="8562"/>
      <w:gridCol w:w="653"/>
    </w:tblGrid>
    <w:tr w:rsidR="003466E8" w:rsidTr="008B365A">
      <w:trPr>
        <w:trHeight w:hRule="exact" w:val="567"/>
      </w:trPr>
      <w:tc>
        <w:tcPr>
          <w:tcW w:w="510" w:type="dxa"/>
        </w:tcPr>
        <w:p w:rsidR="003466E8" w:rsidRDefault="003466E8" w:rsidP="003466E8">
          <w:pPr>
            <w:pStyle w:val="Footer"/>
            <w:ind w:right="360" w:firstLine="360"/>
          </w:pPr>
        </w:p>
      </w:tc>
      <w:tc>
        <w:tcPr>
          <w:tcW w:w="8562" w:type="dxa"/>
        </w:tcPr>
        <w:p w:rsidR="003466E8" w:rsidRPr="00BA5B14" w:rsidRDefault="003466E8" w:rsidP="003466E8">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AA7D48">
            <w:rPr>
              <w:rFonts w:cs="Arial"/>
            </w:rPr>
            <w:t>Roles and responsibilities of Review participants</w:t>
          </w:r>
          <w:r w:rsidRPr="00BA5B14">
            <w:rPr>
              <w:rFonts w:cs="Arial"/>
            </w:rPr>
            <w:fldChar w:fldCharType="end"/>
          </w:r>
          <w:bookmarkStart w:id="14" w:name="DraftReportOdd"/>
          <w:bookmarkEnd w:id="14"/>
        </w:p>
      </w:tc>
      <w:tc>
        <w:tcPr>
          <w:tcW w:w="653" w:type="dxa"/>
        </w:tcPr>
        <w:p w:rsidR="003466E8" w:rsidRPr="00A24443" w:rsidRDefault="003466E8" w:rsidP="003466E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42A2A">
            <w:rPr>
              <w:rStyle w:val="PageNumber"/>
              <w:caps w:val="0"/>
              <w:noProof/>
            </w:rPr>
            <w:t>14</w:t>
          </w:r>
          <w:r w:rsidRPr="00A24443">
            <w:rPr>
              <w:rStyle w:val="PageNumber"/>
              <w:caps w:val="0"/>
            </w:rPr>
            <w:fldChar w:fldCharType="end"/>
          </w:r>
        </w:p>
      </w:tc>
    </w:tr>
  </w:tbl>
  <w:p w:rsidR="000C0971" w:rsidRDefault="000C0971">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A2A" w:rsidRDefault="00842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0D3" w:rsidRDefault="00AC10D3">
      <w:r>
        <w:separator/>
      </w:r>
    </w:p>
  </w:footnote>
  <w:footnote w:type="continuationSeparator" w:id="0">
    <w:p w:rsidR="00AC10D3" w:rsidRDefault="00AC10D3">
      <w:r>
        <w:continuationSeparator/>
      </w:r>
    </w:p>
  </w:footnote>
  <w:footnote w:id="1">
    <w:p w:rsidR="000C0971" w:rsidRDefault="000C0971">
      <w:pPr>
        <w:pStyle w:val="FootnoteText"/>
      </w:pPr>
      <w:r>
        <w:rPr>
          <w:rStyle w:val="FootnoteReference"/>
        </w:rPr>
        <w:footnoteRef/>
      </w:r>
      <w:r>
        <w:tab/>
        <w:t>Initially a representative from local government was also included, but resigned in 2003 and has not been replaced. The appropriate entity to select a new member is the Australian Local Government Association.</w:t>
      </w:r>
    </w:p>
  </w:footnote>
  <w:footnote w:id="2">
    <w:p w:rsidR="000C0971" w:rsidRDefault="000C0971">
      <w:pPr>
        <w:pStyle w:val="FootnoteText"/>
      </w:pPr>
      <w:r>
        <w:rPr>
          <w:rStyle w:val="FootnoteReference"/>
        </w:rPr>
        <w:footnoteRef/>
      </w:r>
      <w:r>
        <w:tab/>
        <w:t>Initially a representative from local government was also included, but resigned in 2003 and has not been replaced. The appropriate entity to select a new member is the Australian Local Government Association.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7484"/>
    </w:tblGrid>
    <w:tr w:rsidR="000C0971">
      <w:tc>
        <w:tcPr>
          <w:tcW w:w="2155" w:type="dxa"/>
          <w:tcBorders>
            <w:top w:val="single" w:sz="24" w:space="0" w:color="auto"/>
          </w:tcBorders>
        </w:tcPr>
        <w:p w:rsidR="000C0971" w:rsidRDefault="000C0971">
          <w:pPr>
            <w:pStyle w:val="HeaderEven"/>
          </w:pPr>
        </w:p>
      </w:tc>
      <w:tc>
        <w:tcPr>
          <w:tcW w:w="7484" w:type="dxa"/>
          <w:tcBorders>
            <w:top w:val="single" w:sz="6" w:space="0" w:color="auto"/>
          </w:tcBorders>
        </w:tcPr>
        <w:p w:rsidR="000C0971" w:rsidRDefault="000C0971">
          <w:pPr>
            <w:pStyle w:val="HeaderEven"/>
          </w:pPr>
        </w:p>
      </w:tc>
    </w:tr>
  </w:tbl>
  <w:p w:rsidR="000C0971" w:rsidRDefault="000C0971">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7797"/>
      <w:gridCol w:w="1842"/>
    </w:tblGrid>
    <w:tr w:rsidR="003466E8" w:rsidTr="008B365A">
      <w:tc>
        <w:tcPr>
          <w:tcW w:w="7797" w:type="dxa"/>
          <w:tcBorders>
            <w:top w:val="single" w:sz="6" w:space="0" w:color="auto"/>
          </w:tcBorders>
        </w:tcPr>
        <w:p w:rsidR="003466E8" w:rsidRDefault="003466E8" w:rsidP="003466E8">
          <w:pPr>
            <w:pStyle w:val="HeaderOdd"/>
          </w:pPr>
        </w:p>
      </w:tc>
      <w:tc>
        <w:tcPr>
          <w:tcW w:w="1842" w:type="dxa"/>
          <w:tcBorders>
            <w:top w:val="single" w:sz="24" w:space="0" w:color="auto"/>
          </w:tcBorders>
        </w:tcPr>
        <w:p w:rsidR="003466E8" w:rsidRDefault="003466E8" w:rsidP="003466E8">
          <w:pPr>
            <w:pStyle w:val="HeaderOdd"/>
          </w:pPr>
        </w:p>
      </w:tc>
    </w:tr>
  </w:tbl>
  <w:p w:rsidR="000C0971" w:rsidRDefault="000C0971">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bottom w:val="single" w:sz="12" w:space="0" w:color="0000FF"/>
      </w:tblBorders>
      <w:tblLayout w:type="fixed"/>
      <w:tblCellMar>
        <w:left w:w="0" w:type="dxa"/>
        <w:right w:w="0" w:type="dxa"/>
      </w:tblCellMar>
      <w:tblLook w:val="0000" w:firstRow="0" w:lastRow="0" w:firstColumn="0" w:lastColumn="0" w:noHBand="0" w:noVBand="0"/>
    </w:tblPr>
    <w:tblGrid>
      <w:gridCol w:w="5800"/>
      <w:gridCol w:w="3839"/>
    </w:tblGrid>
    <w:tr w:rsidR="000C0971" w:rsidTr="000146CD">
      <w:trPr>
        <w:cantSplit/>
        <w:trHeight w:val="1418"/>
        <w:jc w:val="right"/>
      </w:trPr>
      <w:tc>
        <w:tcPr>
          <w:tcW w:w="5800" w:type="dxa"/>
          <w:shd w:val="clear" w:color="auto" w:fill="auto"/>
        </w:tcPr>
        <w:p w:rsidR="000C0971" w:rsidRPr="002D6098" w:rsidRDefault="000C0971" w:rsidP="00D46079">
          <w:pPr>
            <w:pStyle w:val="Heading1"/>
            <w:spacing w:after="960"/>
          </w:pPr>
          <w:r>
            <w:t>Roles and responsibilities of Review participants</w:t>
          </w:r>
        </w:p>
      </w:tc>
      <w:tc>
        <w:tcPr>
          <w:tcW w:w="3839" w:type="dxa"/>
        </w:tcPr>
        <w:p w:rsidR="000C0971" w:rsidRPr="0092658D" w:rsidRDefault="000C0971" w:rsidP="00AF34C7">
          <w:pPr>
            <w:pStyle w:val="BodyText"/>
            <w:spacing w:before="120" w:line="340" w:lineRule="exact"/>
            <w:jc w:val="right"/>
            <w:rPr>
              <w:rFonts w:ascii="Albertus Medium" w:hAnsi="Albertus Medium"/>
              <w:b/>
              <w:color w:val="0000FF"/>
            </w:rPr>
          </w:pPr>
          <w:r w:rsidRPr="0092658D">
            <w:rPr>
              <w:rFonts w:ascii="Albertus Medium" w:hAnsi="Albertus Medium"/>
              <w:b/>
              <w:color w:val="0000FF"/>
            </w:rPr>
            <w:t>Steering Committee for the</w:t>
          </w:r>
          <w:r w:rsidRPr="0092658D">
            <w:rPr>
              <w:rFonts w:ascii="Albertus Medium" w:hAnsi="Albertus Medium"/>
              <w:b/>
              <w:color w:val="0000FF"/>
            </w:rPr>
            <w:br/>
            <w:t xml:space="preserve">Review of Government </w:t>
          </w:r>
          <w:r>
            <w:rPr>
              <w:rFonts w:ascii="Albertus Medium" w:hAnsi="Albertus Medium"/>
              <w:b/>
              <w:color w:val="0000FF"/>
            </w:rPr>
            <w:br/>
          </w:r>
          <w:bookmarkStart w:id="15" w:name="_GoBack"/>
          <w:r w:rsidRPr="0092658D">
            <w:rPr>
              <w:rFonts w:ascii="Albertus Medium" w:hAnsi="Albertus Medium"/>
              <w:b/>
              <w:color w:val="0000FF"/>
            </w:rPr>
            <w:t>Service Provision</w:t>
          </w:r>
          <w:bookmarkEnd w:id="15"/>
        </w:p>
      </w:tc>
    </w:tr>
  </w:tbl>
  <w:p w:rsidR="000C0971" w:rsidRPr="002D6098" w:rsidRDefault="000C0971" w:rsidP="002D60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4C24737"/>
    <w:multiLevelType w:val="hybridMultilevel"/>
    <w:tmpl w:val="919CB182"/>
    <w:lvl w:ilvl="0" w:tplc="4046389E">
      <w:start w:val="1"/>
      <w:numFmt w:val="lowerRoman"/>
      <w:lvlText w:val="%1."/>
      <w:lvlJc w:val="right"/>
      <w:pPr>
        <w:tabs>
          <w:tab w:val="num" w:pos="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1F975E6"/>
    <w:multiLevelType w:val="multilevel"/>
    <w:tmpl w:val="A7AAD4A6"/>
    <w:lvl w:ilvl="0">
      <w:start w:val="1"/>
      <w:numFmt w:val="decimal"/>
      <w:lvlText w:val="%1."/>
      <w:lvlJc w:val="left"/>
      <w:pPr>
        <w:tabs>
          <w:tab w:val="num" w:pos="510"/>
        </w:tabs>
        <w:ind w:left="720" w:hanging="360"/>
      </w:pPr>
      <w:rPr>
        <w:rFonts w:hint="default"/>
      </w:rPr>
    </w:lvl>
    <w:lvl w:ilvl="1">
      <w:start w:val="1"/>
      <w:numFmt w:val="lowerLetter"/>
      <w:lvlText w:val="%2."/>
      <w:lvlJc w:val="left"/>
      <w:pPr>
        <w:tabs>
          <w:tab w:val="num" w:pos="1077"/>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3970440"/>
    <w:multiLevelType w:val="hybridMultilevel"/>
    <w:tmpl w:val="45C877E0"/>
    <w:lvl w:ilvl="0" w:tplc="FE78D5C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36D65D9E"/>
    <w:multiLevelType w:val="hybridMultilevel"/>
    <w:tmpl w:val="9B84C61C"/>
    <w:lvl w:ilvl="0" w:tplc="6C6022DE">
      <w:start w:val="1"/>
      <w:numFmt w:val="decimal"/>
      <w:lvlText w:val="(%1)"/>
      <w:lvlJc w:val="left"/>
      <w:pPr>
        <w:tabs>
          <w:tab w:val="num" w:pos="405"/>
        </w:tabs>
        <w:ind w:left="405" w:hanging="40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6141FAD"/>
    <w:multiLevelType w:val="hybridMultilevel"/>
    <w:tmpl w:val="C7E677E8"/>
    <w:lvl w:ilvl="0" w:tplc="6C6022DE">
      <w:start w:val="1"/>
      <w:numFmt w:val="decimal"/>
      <w:lvlText w:val="(%1)"/>
      <w:lvlJc w:val="left"/>
      <w:pPr>
        <w:tabs>
          <w:tab w:val="num" w:pos="405"/>
        </w:tabs>
        <w:ind w:left="405" w:hanging="40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B1F7BD5"/>
    <w:multiLevelType w:val="hybridMultilevel"/>
    <w:tmpl w:val="DB02920A"/>
    <w:lvl w:ilvl="0" w:tplc="6C6022DE">
      <w:start w:val="1"/>
      <w:numFmt w:val="decimal"/>
      <w:lvlText w:val="(%1)"/>
      <w:lvlJc w:val="left"/>
      <w:pPr>
        <w:tabs>
          <w:tab w:val="num" w:pos="405"/>
        </w:tabs>
        <w:ind w:left="405" w:hanging="405"/>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5D2C1CE7"/>
    <w:multiLevelType w:val="hybridMultilevel"/>
    <w:tmpl w:val="F3A83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79C967DA"/>
    <w:multiLevelType w:val="hybridMultilevel"/>
    <w:tmpl w:val="919CB182"/>
    <w:lvl w:ilvl="0" w:tplc="4046389E">
      <w:start w:val="1"/>
      <w:numFmt w:val="lowerRoman"/>
      <w:lvlText w:val="%1."/>
      <w:lvlJc w:val="right"/>
      <w:pPr>
        <w:tabs>
          <w:tab w:val="num" w:pos="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FA9595C"/>
    <w:multiLevelType w:val="hybridMultilevel"/>
    <w:tmpl w:val="10249EB6"/>
    <w:lvl w:ilvl="0" w:tplc="55E23616">
      <w:start w:val="1"/>
      <w:numFmt w:val="lowerRoman"/>
      <w:lvlText w:val="%1."/>
      <w:lvlJc w:val="right"/>
      <w:pPr>
        <w:tabs>
          <w:tab w:val="num" w:pos="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3"/>
  </w:num>
  <w:num w:numId="3">
    <w:abstractNumId w:val="5"/>
  </w:num>
  <w:num w:numId="4">
    <w:abstractNumId w:val="8"/>
  </w:num>
  <w:num w:numId="5">
    <w:abstractNumId w:val="18"/>
  </w:num>
  <w:num w:numId="6">
    <w:abstractNumId w:val="14"/>
  </w:num>
  <w:num w:numId="7">
    <w:abstractNumId w:val="27"/>
  </w:num>
  <w:num w:numId="8">
    <w:abstractNumId w:val="28"/>
  </w:num>
  <w:num w:numId="9">
    <w:abstractNumId w:val="12"/>
  </w:num>
  <w:num w:numId="10">
    <w:abstractNumId w:val="19"/>
  </w:num>
  <w:num w:numId="11">
    <w:abstractNumId w:val="20"/>
  </w:num>
  <w:num w:numId="12">
    <w:abstractNumId w:val="2"/>
  </w:num>
  <w:num w:numId="13">
    <w:abstractNumId w:val="7"/>
  </w:num>
  <w:num w:numId="14">
    <w:abstractNumId w:val="6"/>
  </w:num>
  <w:num w:numId="15">
    <w:abstractNumId w:val="29"/>
  </w:num>
  <w:num w:numId="16">
    <w:abstractNumId w:val="4"/>
  </w:num>
  <w:num w:numId="17">
    <w:abstractNumId w:val="15"/>
  </w:num>
  <w:num w:numId="18">
    <w:abstractNumId w:val="26"/>
  </w:num>
  <w:num w:numId="19">
    <w:abstractNumId w:val="16"/>
  </w:num>
  <w:num w:numId="20">
    <w:abstractNumId w:val="22"/>
  </w:num>
  <w:num w:numId="21">
    <w:abstractNumId w:val="10"/>
  </w:num>
  <w:num w:numId="22">
    <w:abstractNumId w:val="23"/>
  </w:num>
  <w:num w:numId="23">
    <w:abstractNumId w:val="13"/>
  </w:num>
  <w:num w:numId="24">
    <w:abstractNumId w:val="21"/>
  </w:num>
  <w:num w:numId="25">
    <w:abstractNumId w:val="17"/>
  </w:num>
  <w:num w:numId="26">
    <w:abstractNumId w:val="24"/>
  </w:num>
  <w:num w:numId="27">
    <w:abstractNumId w:val="9"/>
  </w:num>
  <w:num w:numId="28">
    <w:abstractNumId w:val="0"/>
  </w:num>
  <w:num w:numId="2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0">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EvenFooter" w:val="0"/>
    <w:docVar w:name="_HasChapterNumber" w:val="1"/>
    <w:docVar w:name="_NumberByChapter" w:val="1"/>
    <w:docVar w:name="_Separator" w:val="."/>
    <w:docVar w:name="DocType" w:val="0"/>
    <w:docVar w:name="FindingOptions" w:val="00"/>
    <w:docVar w:name="LongChapterTitle" w:val="Chapter"/>
    <w:docVar w:name="LongReportTitle" w:val="Report title"/>
    <w:docVar w:name="RecOptions" w:val="111"/>
    <w:docVar w:name="ShortReportTitle" w:val="Report title"/>
    <w:docVar w:name="UseShortChapter" w:val="0"/>
    <w:docVar w:name="UseShortReport" w:val="0"/>
  </w:docVars>
  <w:rsids>
    <w:rsidRoot w:val="002E5122"/>
    <w:rsid w:val="00011FFA"/>
    <w:rsid w:val="000146CD"/>
    <w:rsid w:val="00020BE5"/>
    <w:rsid w:val="000360C3"/>
    <w:rsid w:val="00036E79"/>
    <w:rsid w:val="00040537"/>
    <w:rsid w:val="00041F72"/>
    <w:rsid w:val="000425E5"/>
    <w:rsid w:val="00045784"/>
    <w:rsid w:val="00062747"/>
    <w:rsid w:val="00071BF9"/>
    <w:rsid w:val="00074054"/>
    <w:rsid w:val="00075B05"/>
    <w:rsid w:val="00097178"/>
    <w:rsid w:val="000979B8"/>
    <w:rsid w:val="000A7B78"/>
    <w:rsid w:val="000B7BC4"/>
    <w:rsid w:val="000C0971"/>
    <w:rsid w:val="000D298F"/>
    <w:rsid w:val="000E1E70"/>
    <w:rsid w:val="000E2158"/>
    <w:rsid w:val="00124DAD"/>
    <w:rsid w:val="00141623"/>
    <w:rsid w:val="00145940"/>
    <w:rsid w:val="001709B5"/>
    <w:rsid w:val="001866D7"/>
    <w:rsid w:val="001B3C37"/>
    <w:rsid w:val="001D43AF"/>
    <w:rsid w:val="001D5D38"/>
    <w:rsid w:val="001E67DB"/>
    <w:rsid w:val="001F05CD"/>
    <w:rsid w:val="001F1938"/>
    <w:rsid w:val="001F3A4E"/>
    <w:rsid w:val="001F3D96"/>
    <w:rsid w:val="002014FB"/>
    <w:rsid w:val="00211CB0"/>
    <w:rsid w:val="0022160C"/>
    <w:rsid w:val="00222D64"/>
    <w:rsid w:val="0023345B"/>
    <w:rsid w:val="00240566"/>
    <w:rsid w:val="00263F5C"/>
    <w:rsid w:val="00264628"/>
    <w:rsid w:val="0026692D"/>
    <w:rsid w:val="00276C5C"/>
    <w:rsid w:val="00281BE0"/>
    <w:rsid w:val="00294116"/>
    <w:rsid w:val="002B2B0C"/>
    <w:rsid w:val="002C1F81"/>
    <w:rsid w:val="002C53A2"/>
    <w:rsid w:val="002D6098"/>
    <w:rsid w:val="002E5122"/>
    <w:rsid w:val="00335672"/>
    <w:rsid w:val="003466E8"/>
    <w:rsid w:val="00357665"/>
    <w:rsid w:val="0036249D"/>
    <w:rsid w:val="00362A3D"/>
    <w:rsid w:val="00364D8C"/>
    <w:rsid w:val="00375BC3"/>
    <w:rsid w:val="00384D9B"/>
    <w:rsid w:val="0038727E"/>
    <w:rsid w:val="003A7465"/>
    <w:rsid w:val="003B5033"/>
    <w:rsid w:val="003B5CF5"/>
    <w:rsid w:val="003C7B7F"/>
    <w:rsid w:val="003E7F2D"/>
    <w:rsid w:val="00406210"/>
    <w:rsid w:val="0041069D"/>
    <w:rsid w:val="0043088B"/>
    <w:rsid w:val="004348CF"/>
    <w:rsid w:val="00463709"/>
    <w:rsid w:val="00474846"/>
    <w:rsid w:val="004862A7"/>
    <w:rsid w:val="00490CB7"/>
    <w:rsid w:val="004D05CC"/>
    <w:rsid w:val="004D27E8"/>
    <w:rsid w:val="004E1D2B"/>
    <w:rsid w:val="00503193"/>
    <w:rsid w:val="00524F70"/>
    <w:rsid w:val="005309DC"/>
    <w:rsid w:val="005400FB"/>
    <w:rsid w:val="005429A3"/>
    <w:rsid w:val="005603B4"/>
    <w:rsid w:val="00571460"/>
    <w:rsid w:val="005A52FB"/>
    <w:rsid w:val="005D2BFC"/>
    <w:rsid w:val="00603573"/>
    <w:rsid w:val="0060406C"/>
    <w:rsid w:val="00607C77"/>
    <w:rsid w:val="006363D8"/>
    <w:rsid w:val="00640591"/>
    <w:rsid w:val="00641FFF"/>
    <w:rsid w:val="00660B3E"/>
    <w:rsid w:val="006908DA"/>
    <w:rsid w:val="006A6B97"/>
    <w:rsid w:val="006A7EFE"/>
    <w:rsid w:val="006E38A6"/>
    <w:rsid w:val="006F186B"/>
    <w:rsid w:val="00721119"/>
    <w:rsid w:val="00740E17"/>
    <w:rsid w:val="007662D3"/>
    <w:rsid w:val="00770DFD"/>
    <w:rsid w:val="007742DA"/>
    <w:rsid w:val="007A0955"/>
    <w:rsid w:val="007A6D95"/>
    <w:rsid w:val="007D1DAB"/>
    <w:rsid w:val="007E2148"/>
    <w:rsid w:val="007F3B3D"/>
    <w:rsid w:val="007F3D1C"/>
    <w:rsid w:val="008041D2"/>
    <w:rsid w:val="00817BE8"/>
    <w:rsid w:val="008274C4"/>
    <w:rsid w:val="00831472"/>
    <w:rsid w:val="00842A2A"/>
    <w:rsid w:val="00850CAC"/>
    <w:rsid w:val="00864760"/>
    <w:rsid w:val="00870A43"/>
    <w:rsid w:val="0087123D"/>
    <w:rsid w:val="008818E9"/>
    <w:rsid w:val="008935FA"/>
    <w:rsid w:val="008B365A"/>
    <w:rsid w:val="008B7661"/>
    <w:rsid w:val="008C7611"/>
    <w:rsid w:val="008D5C0E"/>
    <w:rsid w:val="008D76E6"/>
    <w:rsid w:val="008F14D8"/>
    <w:rsid w:val="00923BAC"/>
    <w:rsid w:val="00930492"/>
    <w:rsid w:val="00940036"/>
    <w:rsid w:val="00997B3C"/>
    <w:rsid w:val="009B146E"/>
    <w:rsid w:val="009F18EE"/>
    <w:rsid w:val="009F442F"/>
    <w:rsid w:val="00A133D2"/>
    <w:rsid w:val="00A14A68"/>
    <w:rsid w:val="00A22AF7"/>
    <w:rsid w:val="00A35C0A"/>
    <w:rsid w:val="00A809B2"/>
    <w:rsid w:val="00AA00B7"/>
    <w:rsid w:val="00AA3C52"/>
    <w:rsid w:val="00AA7D48"/>
    <w:rsid w:val="00AB1A74"/>
    <w:rsid w:val="00AB2392"/>
    <w:rsid w:val="00AC10D3"/>
    <w:rsid w:val="00AD7246"/>
    <w:rsid w:val="00AF34C7"/>
    <w:rsid w:val="00AF7522"/>
    <w:rsid w:val="00AF77AD"/>
    <w:rsid w:val="00B22493"/>
    <w:rsid w:val="00B55B9D"/>
    <w:rsid w:val="00B61C6F"/>
    <w:rsid w:val="00B74530"/>
    <w:rsid w:val="00B82DE5"/>
    <w:rsid w:val="00BA7706"/>
    <w:rsid w:val="00BB7C59"/>
    <w:rsid w:val="00BC560C"/>
    <w:rsid w:val="00BC5DB7"/>
    <w:rsid w:val="00BC7933"/>
    <w:rsid w:val="00BF1EC0"/>
    <w:rsid w:val="00C03058"/>
    <w:rsid w:val="00C22A0D"/>
    <w:rsid w:val="00C4695C"/>
    <w:rsid w:val="00C742C0"/>
    <w:rsid w:val="00C76220"/>
    <w:rsid w:val="00C83EE2"/>
    <w:rsid w:val="00C85758"/>
    <w:rsid w:val="00C97ACA"/>
    <w:rsid w:val="00CE03D8"/>
    <w:rsid w:val="00CF06A1"/>
    <w:rsid w:val="00D04DFB"/>
    <w:rsid w:val="00D079AA"/>
    <w:rsid w:val="00D07C4C"/>
    <w:rsid w:val="00D1374F"/>
    <w:rsid w:val="00D359AD"/>
    <w:rsid w:val="00D46079"/>
    <w:rsid w:val="00D50F87"/>
    <w:rsid w:val="00D96B65"/>
    <w:rsid w:val="00DA2EE7"/>
    <w:rsid w:val="00DB09BC"/>
    <w:rsid w:val="00DB65BF"/>
    <w:rsid w:val="00DC0944"/>
    <w:rsid w:val="00DD6AAA"/>
    <w:rsid w:val="00E01F55"/>
    <w:rsid w:val="00E23C23"/>
    <w:rsid w:val="00E26DA3"/>
    <w:rsid w:val="00E32936"/>
    <w:rsid w:val="00E416A6"/>
    <w:rsid w:val="00E45B81"/>
    <w:rsid w:val="00E563EE"/>
    <w:rsid w:val="00E657A3"/>
    <w:rsid w:val="00E774ED"/>
    <w:rsid w:val="00E84698"/>
    <w:rsid w:val="00ED0970"/>
    <w:rsid w:val="00EE5FB7"/>
    <w:rsid w:val="00EF0CDD"/>
    <w:rsid w:val="00EF7B67"/>
    <w:rsid w:val="00F45E47"/>
    <w:rsid w:val="00F4635C"/>
    <w:rsid w:val="00F60B83"/>
    <w:rsid w:val="00F7371C"/>
    <w:rsid w:val="00F9528C"/>
    <w:rsid w:val="00FE7D66"/>
    <w:rsid w:val="00FF2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BD11090-1AC2-463C-A80C-1A2E1053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2A2A"/>
    <w:rPr>
      <w:sz w:val="24"/>
      <w:szCs w:val="24"/>
    </w:rPr>
  </w:style>
  <w:style w:type="paragraph" w:styleId="Heading1">
    <w:name w:val="heading 1"/>
    <w:basedOn w:val="BodyText"/>
    <w:next w:val="BodyText"/>
    <w:rsid w:val="00842A2A"/>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842A2A"/>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842A2A"/>
    <w:pPr>
      <w:spacing w:before="560" w:line="320" w:lineRule="exact"/>
      <w:ind w:left="0" w:firstLine="0"/>
      <w:outlineLvl w:val="2"/>
    </w:pPr>
    <w:rPr>
      <w:sz w:val="26"/>
    </w:rPr>
  </w:style>
  <w:style w:type="paragraph" w:styleId="Heading4">
    <w:name w:val="heading 4"/>
    <w:basedOn w:val="Heading3"/>
    <w:next w:val="BodyText"/>
    <w:qFormat/>
    <w:rsid w:val="00842A2A"/>
    <w:pPr>
      <w:spacing w:before="480"/>
      <w:outlineLvl w:val="3"/>
    </w:pPr>
    <w:rPr>
      <w:b w:val="0"/>
      <w:sz w:val="24"/>
    </w:rPr>
  </w:style>
  <w:style w:type="paragraph" w:styleId="Heading5">
    <w:name w:val="heading 5"/>
    <w:basedOn w:val="Heading4"/>
    <w:next w:val="BodyText"/>
    <w:link w:val="Heading5Char"/>
    <w:qFormat/>
    <w:rsid w:val="00842A2A"/>
    <w:pPr>
      <w:outlineLvl w:val="4"/>
    </w:pPr>
    <w:rPr>
      <w:i/>
      <w:sz w:val="22"/>
    </w:rPr>
  </w:style>
  <w:style w:type="paragraph" w:styleId="Heading6">
    <w:name w:val="heading 6"/>
    <w:basedOn w:val="BodyText"/>
    <w:next w:val="BodyText"/>
    <w:rsid w:val="00842A2A"/>
    <w:pPr>
      <w:spacing w:after="60"/>
      <w:jc w:val="left"/>
      <w:outlineLvl w:val="5"/>
    </w:pPr>
    <w:rPr>
      <w:i/>
      <w:sz w:val="22"/>
    </w:rPr>
  </w:style>
  <w:style w:type="paragraph" w:styleId="Heading7">
    <w:name w:val="heading 7"/>
    <w:basedOn w:val="BodyText"/>
    <w:next w:val="BodyText"/>
    <w:rsid w:val="00842A2A"/>
    <w:pPr>
      <w:spacing w:after="60" w:line="240" w:lineRule="auto"/>
      <w:jc w:val="left"/>
      <w:outlineLvl w:val="6"/>
    </w:pPr>
    <w:rPr>
      <w:rFonts w:ascii="Arial" w:hAnsi="Arial"/>
      <w:sz w:val="20"/>
    </w:rPr>
  </w:style>
  <w:style w:type="paragraph" w:styleId="Heading8">
    <w:name w:val="heading 8"/>
    <w:basedOn w:val="BodyText"/>
    <w:next w:val="BodyText"/>
    <w:rsid w:val="00842A2A"/>
    <w:pPr>
      <w:spacing w:after="60" w:line="240" w:lineRule="auto"/>
      <w:jc w:val="left"/>
      <w:outlineLvl w:val="7"/>
    </w:pPr>
    <w:rPr>
      <w:rFonts w:ascii="Arial" w:hAnsi="Arial"/>
      <w:i/>
      <w:sz w:val="20"/>
    </w:rPr>
  </w:style>
  <w:style w:type="paragraph" w:styleId="Heading9">
    <w:name w:val="heading 9"/>
    <w:basedOn w:val="BodyText"/>
    <w:next w:val="BodyText"/>
    <w:rsid w:val="00842A2A"/>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842A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2A2A"/>
  </w:style>
  <w:style w:type="paragraph" w:styleId="BodyText">
    <w:name w:val="Body Text"/>
    <w:aliases w:val="new legislation style,Body Text Char,new legislation style Char,Body Text Char1 Char,new legislation style Char1 Char,Body Text Char Char Char,new legislation style Char Char Char,new legislation style Char1,Body Text Char2 Char Char Char"/>
    <w:link w:val="BodyTextChar1"/>
    <w:qFormat/>
    <w:rsid w:val="00842A2A"/>
    <w:pPr>
      <w:spacing w:before="240" w:line="300" w:lineRule="atLeast"/>
      <w:jc w:val="both"/>
    </w:pPr>
    <w:rPr>
      <w:sz w:val="24"/>
    </w:rPr>
  </w:style>
  <w:style w:type="paragraph" w:customStyle="1" w:styleId="Chapter">
    <w:name w:val="Chapter"/>
    <w:basedOn w:val="Heading1"/>
    <w:next w:val="BodyText"/>
    <w:semiHidden/>
    <w:rsid w:val="00842A2A"/>
    <w:pPr>
      <w:ind w:left="0" w:firstLine="0"/>
      <w:outlineLvl w:val="9"/>
    </w:pPr>
  </w:style>
  <w:style w:type="paragraph" w:customStyle="1" w:styleId="SequenceInfo">
    <w:name w:val="Sequence Info"/>
    <w:basedOn w:val="BodyText"/>
    <w:semiHidden/>
    <w:rsid w:val="00842A2A"/>
    <w:rPr>
      <w:vanish/>
      <w:sz w:val="16"/>
    </w:rPr>
  </w:style>
  <w:style w:type="character" w:styleId="CommentReference">
    <w:name w:val="annotation reference"/>
    <w:basedOn w:val="DefaultParagraphFont"/>
    <w:semiHidden/>
    <w:rsid w:val="00842A2A"/>
    <w:rPr>
      <w:b/>
      <w:vanish/>
      <w:color w:val="FF00FF"/>
      <w:sz w:val="20"/>
    </w:rPr>
  </w:style>
  <w:style w:type="paragraph" w:styleId="CommentText">
    <w:name w:val="annotation text"/>
    <w:basedOn w:val="Normal"/>
    <w:semiHidden/>
    <w:rsid w:val="00842A2A"/>
    <w:pPr>
      <w:spacing w:before="120" w:line="240" w:lineRule="atLeast"/>
      <w:ind w:left="567" w:hanging="567"/>
    </w:pPr>
    <w:rPr>
      <w:sz w:val="20"/>
    </w:rPr>
  </w:style>
  <w:style w:type="paragraph" w:customStyle="1" w:styleId="Abbreviation">
    <w:name w:val="Abbreviation"/>
    <w:basedOn w:val="BodyText"/>
    <w:rsid w:val="00842A2A"/>
    <w:pPr>
      <w:spacing w:before="120"/>
      <w:ind w:left="2381" w:hanging="2381"/>
      <w:jc w:val="left"/>
    </w:pPr>
  </w:style>
  <w:style w:type="paragraph" w:customStyle="1" w:styleId="Box">
    <w:name w:val="Box"/>
    <w:basedOn w:val="BodyText"/>
    <w:qFormat/>
    <w:rsid w:val="00842A2A"/>
    <w:pPr>
      <w:keepNext/>
      <w:spacing w:before="120" w:line="260" w:lineRule="atLeast"/>
    </w:pPr>
    <w:rPr>
      <w:rFonts w:ascii="Arial" w:hAnsi="Arial"/>
      <w:sz w:val="20"/>
    </w:rPr>
  </w:style>
  <w:style w:type="paragraph" w:customStyle="1" w:styleId="BoxContinued">
    <w:name w:val="Box Continued"/>
    <w:basedOn w:val="BodyText"/>
    <w:next w:val="BodyText"/>
    <w:semiHidden/>
    <w:rsid w:val="00842A2A"/>
    <w:pPr>
      <w:spacing w:before="180" w:line="220" w:lineRule="exact"/>
      <w:jc w:val="right"/>
    </w:pPr>
    <w:rPr>
      <w:rFonts w:ascii="Arial" w:hAnsi="Arial"/>
      <w:sz w:val="18"/>
    </w:rPr>
  </w:style>
  <w:style w:type="paragraph" w:customStyle="1" w:styleId="BoxListBullet">
    <w:name w:val="Box List Bullet"/>
    <w:basedOn w:val="BodyText"/>
    <w:rsid w:val="00842A2A"/>
    <w:pPr>
      <w:keepNext/>
      <w:numPr>
        <w:numId w:val="6"/>
      </w:numPr>
      <w:spacing w:before="100" w:line="260" w:lineRule="atLeast"/>
    </w:pPr>
    <w:rPr>
      <w:rFonts w:ascii="Arial" w:hAnsi="Arial"/>
      <w:sz w:val="20"/>
    </w:rPr>
  </w:style>
  <w:style w:type="paragraph" w:customStyle="1" w:styleId="BoxListBullet2">
    <w:name w:val="Box List Bullet 2"/>
    <w:basedOn w:val="BoxListBullet"/>
    <w:rsid w:val="00842A2A"/>
    <w:pPr>
      <w:numPr>
        <w:numId w:val="3"/>
      </w:numPr>
      <w:ind w:left="568" w:hanging="284"/>
    </w:pPr>
  </w:style>
  <w:style w:type="paragraph" w:customStyle="1" w:styleId="BoxListNumber">
    <w:name w:val="Box List Number"/>
    <w:basedOn w:val="BodyText"/>
    <w:rsid w:val="00842A2A"/>
    <w:pPr>
      <w:keepNext/>
      <w:numPr>
        <w:numId w:val="14"/>
      </w:numPr>
      <w:spacing w:before="100" w:line="260" w:lineRule="atLeast"/>
    </w:pPr>
    <w:rPr>
      <w:rFonts w:ascii="Arial" w:hAnsi="Arial"/>
      <w:sz w:val="20"/>
    </w:rPr>
  </w:style>
  <w:style w:type="paragraph" w:customStyle="1" w:styleId="BoxListNumber2">
    <w:name w:val="Box List Number 2"/>
    <w:basedOn w:val="BoxListNumber"/>
    <w:rsid w:val="00842A2A"/>
    <w:pPr>
      <w:numPr>
        <w:ilvl w:val="1"/>
      </w:numPr>
      <w:ind w:left="681" w:hanging="397"/>
    </w:pPr>
  </w:style>
  <w:style w:type="paragraph" w:customStyle="1" w:styleId="BoxQuote">
    <w:name w:val="Box Quote"/>
    <w:basedOn w:val="BodyText"/>
    <w:next w:val="Box"/>
    <w:qFormat/>
    <w:rsid w:val="00842A2A"/>
    <w:pPr>
      <w:keepNext/>
      <w:spacing w:before="60" w:line="240" w:lineRule="exact"/>
      <w:ind w:left="284"/>
    </w:pPr>
    <w:rPr>
      <w:rFonts w:ascii="Arial" w:hAnsi="Arial"/>
      <w:sz w:val="18"/>
    </w:rPr>
  </w:style>
  <w:style w:type="paragraph" w:customStyle="1" w:styleId="BoxSource">
    <w:name w:val="Box Source"/>
    <w:basedOn w:val="Source"/>
    <w:next w:val="BodyText"/>
    <w:rsid w:val="00842A2A"/>
    <w:pPr>
      <w:spacing w:before="120"/>
    </w:pPr>
  </w:style>
  <w:style w:type="paragraph" w:customStyle="1" w:styleId="BoxSpace">
    <w:name w:val="Box Space"/>
    <w:basedOn w:val="BodyText"/>
    <w:rsid w:val="000146CD"/>
    <w:pPr>
      <w:keepNext/>
      <w:spacing w:before="360" w:line="80" w:lineRule="exact"/>
      <w:jc w:val="left"/>
    </w:pPr>
  </w:style>
  <w:style w:type="paragraph" w:customStyle="1" w:styleId="BoxSubtitle">
    <w:name w:val="Box Subtitle"/>
    <w:basedOn w:val="BoxTitle"/>
    <w:next w:val="Normal"/>
    <w:rsid w:val="00842A2A"/>
    <w:pPr>
      <w:spacing w:after="80" w:line="200" w:lineRule="exact"/>
      <w:ind w:firstLine="0"/>
    </w:pPr>
    <w:rPr>
      <w:b w:val="0"/>
      <w:sz w:val="20"/>
    </w:rPr>
  </w:style>
  <w:style w:type="paragraph" w:customStyle="1" w:styleId="BoxTitle">
    <w:name w:val="Box Title"/>
    <w:basedOn w:val="Caption"/>
    <w:next w:val="BoxSubtitle"/>
    <w:rsid w:val="00842A2A"/>
    <w:pPr>
      <w:spacing w:before="120" w:after="0"/>
    </w:pPr>
  </w:style>
  <w:style w:type="paragraph" w:styleId="Caption">
    <w:name w:val="caption"/>
    <w:basedOn w:val="Normal"/>
    <w:next w:val="BodyText"/>
    <w:rsid w:val="00842A2A"/>
    <w:pPr>
      <w:keepNext/>
      <w:keepLines/>
      <w:spacing w:before="360" w:after="80" w:line="280" w:lineRule="exact"/>
      <w:ind w:left="1474" w:hanging="1474"/>
    </w:pPr>
    <w:rPr>
      <w:rFonts w:ascii="Arial" w:hAnsi="Arial"/>
      <w:b/>
    </w:rPr>
  </w:style>
  <w:style w:type="paragraph" w:customStyle="1" w:styleId="ChapterSummary">
    <w:name w:val="Chapter Summary"/>
    <w:basedOn w:val="BodyText"/>
    <w:rsid w:val="00842A2A"/>
    <w:pPr>
      <w:spacing w:line="280" w:lineRule="atLeast"/>
      <w:ind w:left="907"/>
    </w:pPr>
    <w:rPr>
      <w:rFonts w:ascii="Arial" w:hAnsi="Arial"/>
      <w:b/>
      <w:sz w:val="20"/>
    </w:rPr>
  </w:style>
  <w:style w:type="paragraph" w:customStyle="1" w:styleId="DocInfo">
    <w:name w:val="Doc Info"/>
    <w:basedOn w:val="Normal"/>
    <w:next w:val="Footer"/>
    <w:pPr>
      <w:jc w:val="center"/>
    </w:pPr>
    <w:rPr>
      <w:rFonts w:ascii="Arial" w:hAnsi="Arial"/>
      <w:sz w:val="14"/>
    </w:rPr>
  </w:style>
  <w:style w:type="paragraph" w:styleId="Footer">
    <w:name w:val="footer"/>
    <w:basedOn w:val="BodyText"/>
    <w:link w:val="FooterChar"/>
    <w:semiHidden/>
    <w:rsid w:val="00842A2A"/>
    <w:pPr>
      <w:spacing w:before="80" w:line="200" w:lineRule="exact"/>
      <w:ind w:right="6"/>
      <w:jc w:val="left"/>
    </w:pPr>
    <w:rPr>
      <w:rFonts w:ascii="Arial" w:hAnsi="Arial"/>
      <w:caps/>
      <w:spacing w:val="-4"/>
      <w:sz w:val="16"/>
    </w:rPr>
  </w:style>
  <w:style w:type="character" w:customStyle="1" w:styleId="DocumentInfo">
    <w:name w:val="Document Info"/>
    <w:basedOn w:val="DefaultParagraphFont"/>
    <w:semiHidden/>
    <w:rsid w:val="00842A2A"/>
    <w:rPr>
      <w:rFonts w:ascii="Arial" w:hAnsi="Arial"/>
      <w:sz w:val="14"/>
    </w:rPr>
  </w:style>
  <w:style w:type="character" w:customStyle="1" w:styleId="DraftingNote">
    <w:name w:val="Drafting Note"/>
    <w:basedOn w:val="DefaultParagraphFont"/>
    <w:rsid w:val="00842A2A"/>
    <w:rPr>
      <w:b/>
      <w:color w:val="FF0000"/>
      <w:sz w:val="24"/>
      <w:u w:val="dotted"/>
    </w:rPr>
  </w:style>
  <w:style w:type="paragraph" w:customStyle="1" w:styleId="Figure">
    <w:name w:val="Figure"/>
    <w:basedOn w:val="BodyText"/>
    <w:rsid w:val="00842A2A"/>
    <w:pPr>
      <w:keepNext/>
      <w:spacing w:before="120" w:after="120" w:line="240" w:lineRule="atLeast"/>
      <w:jc w:val="center"/>
    </w:pPr>
  </w:style>
  <w:style w:type="paragraph" w:customStyle="1" w:styleId="FigureTitle">
    <w:name w:val="Figure Title"/>
    <w:basedOn w:val="Caption"/>
    <w:next w:val="Subtitle"/>
    <w:rsid w:val="00842A2A"/>
    <w:pPr>
      <w:spacing w:before="120"/>
    </w:pPr>
  </w:style>
  <w:style w:type="paragraph" w:styleId="Subtitle">
    <w:name w:val="Subtitle"/>
    <w:basedOn w:val="Caption"/>
    <w:link w:val="SubtitleChar"/>
    <w:qFormat/>
    <w:rsid w:val="00842A2A"/>
    <w:pPr>
      <w:spacing w:before="0" w:line="200" w:lineRule="exact"/>
      <w:ind w:firstLine="0"/>
    </w:pPr>
    <w:rPr>
      <w:b w:val="0"/>
      <w:sz w:val="20"/>
    </w:rPr>
  </w:style>
  <w:style w:type="paragraph" w:customStyle="1" w:styleId="Finding">
    <w:name w:val="Finding"/>
    <w:basedOn w:val="BodyText"/>
    <w:rsid w:val="00842A2A"/>
    <w:pPr>
      <w:keepLines/>
      <w:spacing w:before="120" w:line="280" w:lineRule="atLeast"/>
    </w:pPr>
    <w:rPr>
      <w:rFonts w:ascii="Arial" w:hAnsi="Arial"/>
      <w:sz w:val="22"/>
    </w:rPr>
  </w:style>
  <w:style w:type="paragraph" w:customStyle="1" w:styleId="FindingBullet">
    <w:name w:val="Finding Bullet"/>
    <w:basedOn w:val="Finding"/>
    <w:rsid w:val="00842A2A"/>
    <w:pPr>
      <w:numPr>
        <w:numId w:val="7"/>
      </w:numPr>
      <w:spacing w:before="80"/>
    </w:pPr>
  </w:style>
  <w:style w:type="paragraph" w:customStyle="1" w:styleId="FindingNoTitle">
    <w:name w:val="Finding NoTitle"/>
    <w:basedOn w:val="Finding"/>
    <w:rsid w:val="00842A2A"/>
    <w:pPr>
      <w:spacing w:before="240"/>
    </w:pPr>
  </w:style>
  <w:style w:type="paragraph" w:customStyle="1" w:styleId="FindingTitle">
    <w:name w:val="Finding Title"/>
    <w:basedOn w:val="RecTitle"/>
    <w:next w:val="Finding"/>
    <w:rsid w:val="00842A2A"/>
  </w:style>
  <w:style w:type="paragraph" w:customStyle="1" w:styleId="FooterEnd">
    <w:name w:val="Footer End"/>
    <w:basedOn w:val="Footer"/>
    <w:rsid w:val="00842A2A"/>
    <w:pPr>
      <w:spacing w:before="0" w:line="20" w:lineRule="exact"/>
    </w:pPr>
  </w:style>
  <w:style w:type="character" w:styleId="FootnoteReference">
    <w:name w:val="footnote reference"/>
    <w:basedOn w:val="DefaultParagraphFont"/>
    <w:semiHidden/>
    <w:rsid w:val="00842A2A"/>
    <w:rPr>
      <w:rFonts w:ascii="Times New Roman" w:hAnsi="Times New Roman"/>
      <w:position w:val="6"/>
      <w:sz w:val="20"/>
      <w:vertAlign w:val="baseline"/>
    </w:rPr>
  </w:style>
  <w:style w:type="paragraph" w:styleId="FootnoteText">
    <w:name w:val="footnote text"/>
    <w:basedOn w:val="BodyText"/>
    <w:rsid w:val="00842A2A"/>
    <w:pPr>
      <w:tabs>
        <w:tab w:val="left" w:pos="284"/>
      </w:tabs>
      <w:spacing w:before="80" w:line="240" w:lineRule="exact"/>
      <w:ind w:left="284" w:hanging="284"/>
    </w:pPr>
    <w:rPr>
      <w:sz w:val="20"/>
    </w:rPr>
  </w:style>
  <w:style w:type="paragraph" w:styleId="Header">
    <w:name w:val="header"/>
    <w:basedOn w:val="BodyText"/>
    <w:rsid w:val="00842A2A"/>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842A2A"/>
    <w:pPr>
      <w:spacing w:line="20" w:lineRule="exact"/>
    </w:pPr>
    <w:rPr>
      <w:sz w:val="16"/>
    </w:rPr>
  </w:style>
  <w:style w:type="paragraph" w:customStyle="1" w:styleId="HeaderEven">
    <w:name w:val="Header Even"/>
    <w:basedOn w:val="Header"/>
    <w:semiHidden/>
    <w:rsid w:val="00842A2A"/>
  </w:style>
  <w:style w:type="paragraph" w:customStyle="1" w:styleId="HeaderOdd">
    <w:name w:val="Header Odd"/>
    <w:basedOn w:val="Header"/>
    <w:semiHidden/>
    <w:rsid w:val="00842A2A"/>
  </w:style>
  <w:style w:type="paragraph" w:customStyle="1" w:styleId="InformationRequest">
    <w:name w:val="Information Request"/>
    <w:basedOn w:val="Finding"/>
    <w:next w:val="BodyText"/>
    <w:rsid w:val="00842A2A"/>
    <w:rPr>
      <w:i/>
    </w:rPr>
  </w:style>
  <w:style w:type="paragraph" w:styleId="ListBullet">
    <w:name w:val="List Bullet"/>
    <w:basedOn w:val="BodyText"/>
    <w:link w:val="ListBulletChar"/>
    <w:rsid w:val="00842A2A"/>
    <w:pPr>
      <w:numPr>
        <w:numId w:val="5"/>
      </w:numPr>
      <w:spacing w:before="120"/>
    </w:pPr>
  </w:style>
  <w:style w:type="paragraph" w:styleId="ListBullet2">
    <w:name w:val="List Bullet 2"/>
    <w:basedOn w:val="BodyText"/>
    <w:rsid w:val="00842A2A"/>
    <w:pPr>
      <w:numPr>
        <w:numId w:val="2"/>
      </w:numPr>
      <w:spacing w:before="120"/>
    </w:pPr>
  </w:style>
  <w:style w:type="paragraph" w:styleId="ListBullet3">
    <w:name w:val="List Bullet 3"/>
    <w:basedOn w:val="BodyText"/>
    <w:rsid w:val="00842A2A"/>
    <w:pPr>
      <w:numPr>
        <w:numId w:val="1"/>
      </w:numPr>
      <w:spacing w:before="120"/>
      <w:ind w:left="1020" w:hanging="340"/>
    </w:pPr>
  </w:style>
  <w:style w:type="paragraph" w:styleId="ListNumber">
    <w:name w:val="List Number"/>
    <w:basedOn w:val="BodyText"/>
    <w:rsid w:val="00842A2A"/>
    <w:pPr>
      <w:numPr>
        <w:numId w:val="13"/>
      </w:numPr>
      <w:spacing w:before="120"/>
    </w:pPr>
  </w:style>
  <w:style w:type="paragraph" w:styleId="ListNumber2">
    <w:name w:val="List Number 2"/>
    <w:basedOn w:val="ListNumber"/>
    <w:rsid w:val="00842A2A"/>
    <w:pPr>
      <w:numPr>
        <w:ilvl w:val="1"/>
      </w:numPr>
    </w:pPr>
  </w:style>
  <w:style w:type="paragraph" w:styleId="ListNumber3">
    <w:name w:val="List Number 3"/>
    <w:basedOn w:val="ListNumber2"/>
    <w:rsid w:val="00842A2A"/>
    <w:pPr>
      <w:numPr>
        <w:ilvl w:val="2"/>
      </w:numPr>
    </w:pPr>
  </w:style>
  <w:style w:type="paragraph" w:customStyle="1" w:styleId="Note">
    <w:name w:val="Note"/>
    <w:basedOn w:val="BodyText"/>
    <w:next w:val="BodyText"/>
    <w:rsid w:val="00842A2A"/>
    <w:pPr>
      <w:keepLines/>
      <w:spacing w:before="80" w:line="220" w:lineRule="exact"/>
    </w:pPr>
    <w:rPr>
      <w:rFonts w:ascii="Arial" w:hAnsi="Arial"/>
      <w:sz w:val="18"/>
    </w:rPr>
  </w:style>
  <w:style w:type="character" w:customStyle="1" w:styleId="NoteLabel">
    <w:name w:val="Note Label"/>
    <w:basedOn w:val="DefaultParagraphFont"/>
    <w:rsid w:val="00842A2A"/>
    <w:rPr>
      <w:rFonts w:ascii="Arial" w:hAnsi="Arial"/>
      <w:b/>
      <w:position w:val="6"/>
      <w:sz w:val="18"/>
    </w:rPr>
  </w:style>
  <w:style w:type="character" w:styleId="PageNumber">
    <w:name w:val="page number"/>
    <w:basedOn w:val="DefaultParagraphFont"/>
    <w:rsid w:val="00842A2A"/>
    <w:rPr>
      <w:rFonts w:ascii="Arial" w:hAnsi="Arial"/>
      <w:b/>
      <w:sz w:val="16"/>
    </w:rPr>
  </w:style>
  <w:style w:type="paragraph" w:customStyle="1" w:styleId="PartDivider">
    <w:name w:val="Part Divider"/>
    <w:basedOn w:val="BodyText"/>
    <w:next w:val="BodyText"/>
    <w:semiHidden/>
    <w:rsid w:val="00842A2A"/>
    <w:pPr>
      <w:spacing w:before="0" w:line="40" w:lineRule="exact"/>
      <w:jc w:val="right"/>
    </w:pPr>
    <w:rPr>
      <w:smallCaps/>
      <w:sz w:val="16"/>
    </w:rPr>
  </w:style>
  <w:style w:type="paragraph" w:customStyle="1" w:styleId="PartNumber">
    <w:name w:val="Part Number"/>
    <w:basedOn w:val="BodyText"/>
    <w:next w:val="BodyText"/>
    <w:semiHidden/>
    <w:rsid w:val="00842A2A"/>
    <w:pPr>
      <w:spacing w:before="4000" w:line="320" w:lineRule="exact"/>
      <w:ind w:left="6634"/>
      <w:jc w:val="right"/>
    </w:pPr>
    <w:rPr>
      <w:smallCaps/>
      <w:spacing w:val="60"/>
      <w:sz w:val="32"/>
    </w:rPr>
  </w:style>
  <w:style w:type="paragraph" w:customStyle="1" w:styleId="PartTitle">
    <w:name w:val="Part Title"/>
    <w:basedOn w:val="BodyText"/>
    <w:semiHidden/>
    <w:rsid w:val="00842A2A"/>
    <w:pPr>
      <w:spacing w:before="160" w:after="1360" w:line="520" w:lineRule="exact"/>
      <w:ind w:right="2381"/>
      <w:jc w:val="right"/>
    </w:pPr>
    <w:rPr>
      <w:smallCaps/>
      <w:sz w:val="52"/>
    </w:rPr>
  </w:style>
  <w:style w:type="paragraph" w:styleId="Quote">
    <w:name w:val="Quote"/>
    <w:basedOn w:val="BodyText"/>
    <w:next w:val="BodyText"/>
    <w:qFormat/>
    <w:rsid w:val="00842A2A"/>
    <w:pPr>
      <w:spacing w:before="120" w:line="280" w:lineRule="exact"/>
      <w:ind w:left="340"/>
    </w:pPr>
    <w:rPr>
      <w:sz w:val="22"/>
    </w:rPr>
  </w:style>
  <w:style w:type="paragraph" w:customStyle="1" w:styleId="Rec">
    <w:name w:val="Rec"/>
    <w:basedOn w:val="BodyText"/>
    <w:qFormat/>
    <w:rsid w:val="00842A2A"/>
    <w:pPr>
      <w:keepLines/>
      <w:spacing w:before="120" w:line="280" w:lineRule="atLeast"/>
    </w:pPr>
    <w:rPr>
      <w:rFonts w:ascii="Arial" w:hAnsi="Arial"/>
      <w:sz w:val="22"/>
    </w:rPr>
  </w:style>
  <w:style w:type="paragraph" w:customStyle="1" w:styleId="RecBullet">
    <w:name w:val="Rec Bullet"/>
    <w:basedOn w:val="Rec"/>
    <w:rsid w:val="00842A2A"/>
    <w:pPr>
      <w:numPr>
        <w:numId w:val="8"/>
      </w:numPr>
      <w:spacing w:before="80"/>
    </w:pPr>
  </w:style>
  <w:style w:type="paragraph" w:customStyle="1" w:styleId="RecTitle">
    <w:name w:val="Rec Title"/>
    <w:basedOn w:val="BodyText"/>
    <w:next w:val="Rec"/>
    <w:qFormat/>
    <w:rsid w:val="00842A2A"/>
    <w:pPr>
      <w:keepNext/>
      <w:keepLines/>
      <w:spacing w:line="280" w:lineRule="atLeast"/>
    </w:pPr>
    <w:rPr>
      <w:rFonts w:ascii="Arial" w:hAnsi="Arial"/>
      <w:caps/>
      <w:sz w:val="18"/>
    </w:rPr>
  </w:style>
  <w:style w:type="paragraph" w:customStyle="1" w:styleId="RecB">
    <w:name w:val="RecB"/>
    <w:basedOn w:val="Normal"/>
    <w:rsid w:val="00842A2A"/>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842A2A"/>
    <w:pPr>
      <w:numPr>
        <w:numId w:val="9"/>
      </w:numPr>
      <w:spacing w:before="80"/>
    </w:pPr>
  </w:style>
  <w:style w:type="paragraph" w:customStyle="1" w:styleId="RecBNoTitle">
    <w:name w:val="RecB NoTitle"/>
    <w:basedOn w:val="RecB"/>
    <w:rsid w:val="00842A2A"/>
    <w:pPr>
      <w:spacing w:before="240"/>
    </w:pPr>
  </w:style>
  <w:style w:type="paragraph" w:customStyle="1" w:styleId="Reference">
    <w:name w:val="Reference"/>
    <w:basedOn w:val="BodyText"/>
    <w:rsid w:val="00842A2A"/>
    <w:pPr>
      <w:spacing w:before="120"/>
      <w:ind w:left="340" w:hanging="340"/>
    </w:pPr>
  </w:style>
  <w:style w:type="paragraph" w:customStyle="1" w:styleId="SideNote">
    <w:name w:val="Side Note"/>
    <w:basedOn w:val="BodyText"/>
    <w:next w:val="BodyText"/>
    <w:semiHidden/>
    <w:rsid w:val="00842A2A"/>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842A2A"/>
    <w:pPr>
      <w:framePr w:wrap="around"/>
      <w:numPr>
        <w:numId w:val="4"/>
      </w:numPr>
      <w:tabs>
        <w:tab w:val="left" w:pos="227"/>
      </w:tabs>
    </w:pPr>
  </w:style>
  <w:style w:type="paragraph" w:customStyle="1" w:styleId="SideNoteGraphic">
    <w:name w:val="Side Note Graphic"/>
    <w:basedOn w:val="SideNote"/>
    <w:next w:val="BodyText"/>
    <w:semiHidden/>
    <w:rsid w:val="00842A2A"/>
    <w:pPr>
      <w:framePr w:wrap="around"/>
    </w:pPr>
  </w:style>
  <w:style w:type="paragraph" w:customStyle="1" w:styleId="Source">
    <w:name w:val="Source"/>
    <w:basedOn w:val="Normal"/>
    <w:next w:val="BodyText"/>
    <w:rsid w:val="00842A2A"/>
    <w:pPr>
      <w:keepLines/>
      <w:spacing w:before="80" w:line="220" w:lineRule="exact"/>
      <w:jc w:val="both"/>
    </w:pPr>
    <w:rPr>
      <w:rFonts w:ascii="Arial" w:hAnsi="Arial"/>
      <w:sz w:val="18"/>
      <w:szCs w:val="20"/>
    </w:rPr>
  </w:style>
  <w:style w:type="paragraph" w:customStyle="1" w:styleId="TableBodyText">
    <w:name w:val="Table Body Text"/>
    <w:basedOn w:val="BodyText"/>
    <w:rsid w:val="00842A2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42A2A"/>
    <w:pPr>
      <w:numPr>
        <w:numId w:val="10"/>
      </w:numPr>
      <w:jc w:val="left"/>
    </w:pPr>
  </w:style>
  <w:style w:type="paragraph" w:customStyle="1" w:styleId="TableColumnHeading">
    <w:name w:val="Table Column Heading"/>
    <w:basedOn w:val="TableBodyText"/>
    <w:rsid w:val="00842A2A"/>
    <w:pPr>
      <w:spacing w:before="80" w:after="80"/>
    </w:pPr>
    <w:rPr>
      <w:i/>
    </w:rPr>
  </w:style>
  <w:style w:type="paragraph" w:styleId="TableofFigures">
    <w:name w:val="table of figures"/>
    <w:basedOn w:val="TOC3"/>
    <w:next w:val="BodyText"/>
    <w:semiHidden/>
    <w:rsid w:val="00842A2A"/>
    <w:pPr>
      <w:ind w:left="737" w:hanging="737"/>
    </w:pPr>
  </w:style>
  <w:style w:type="paragraph" w:styleId="TOC3">
    <w:name w:val="toc 3"/>
    <w:basedOn w:val="TOC2"/>
    <w:rsid w:val="00842A2A"/>
    <w:pPr>
      <w:spacing w:before="60"/>
      <w:ind w:left="1190" w:hanging="680"/>
    </w:pPr>
  </w:style>
  <w:style w:type="paragraph" w:customStyle="1" w:styleId="TableTitle">
    <w:name w:val="Table Title"/>
    <w:basedOn w:val="Caption"/>
    <w:next w:val="Subtitle"/>
    <w:qFormat/>
    <w:rsid w:val="00842A2A"/>
    <w:pPr>
      <w:spacing w:before="120"/>
    </w:pPr>
  </w:style>
  <w:style w:type="paragraph" w:customStyle="1" w:styleId="TableUnitsRow">
    <w:name w:val="Table Units Row"/>
    <w:basedOn w:val="TableBodyText"/>
    <w:rsid w:val="00842A2A"/>
    <w:pPr>
      <w:spacing w:before="40"/>
    </w:pPr>
  </w:style>
  <w:style w:type="paragraph" w:styleId="TOC1">
    <w:name w:val="toc 1"/>
    <w:basedOn w:val="Normal"/>
    <w:next w:val="TOC2"/>
    <w:link w:val="TOC1Char"/>
    <w:rsid w:val="00842A2A"/>
    <w:pPr>
      <w:tabs>
        <w:tab w:val="right" w:pos="8789"/>
      </w:tabs>
      <w:spacing w:before="120" w:line="320" w:lineRule="exact"/>
      <w:ind w:left="510" w:right="851" w:hanging="510"/>
    </w:pPr>
    <w:rPr>
      <w:rFonts w:ascii="Arial" w:hAnsi="Arial"/>
      <w:b/>
      <w:sz w:val="26"/>
      <w:szCs w:val="26"/>
      <w:lang w:eastAsia="en-US"/>
    </w:rPr>
  </w:style>
  <w:style w:type="paragraph" w:styleId="TOC2">
    <w:name w:val="toc 2"/>
    <w:basedOn w:val="TOC1"/>
    <w:rsid w:val="00842A2A"/>
    <w:pPr>
      <w:ind w:left="1134" w:hanging="624"/>
    </w:pPr>
    <w:rPr>
      <w:b w:val="0"/>
    </w:rPr>
  </w:style>
  <w:style w:type="paragraph" w:styleId="TOC4">
    <w:name w:val="toc 4"/>
    <w:basedOn w:val="TOC3"/>
    <w:semiHidden/>
    <w:rsid w:val="00842A2A"/>
    <w:pPr>
      <w:ind w:left="1191" w:firstLine="0"/>
    </w:pPr>
  </w:style>
  <w:style w:type="paragraph" w:customStyle="1" w:styleId="PCBodyText">
    <w:name w:val="PC Body Text"/>
    <w:rPr>
      <w:sz w:val="26"/>
    </w:rPr>
  </w:style>
  <w:style w:type="paragraph" w:customStyle="1" w:styleId="Continued">
    <w:name w:val="Continued"/>
    <w:basedOn w:val="BoxContinued"/>
    <w:next w:val="BodyText"/>
    <w:rsid w:val="00842A2A"/>
  </w:style>
  <w:style w:type="paragraph" w:customStyle="1" w:styleId="BoxHeading1">
    <w:name w:val="Box Heading 1"/>
    <w:basedOn w:val="BodyText"/>
    <w:next w:val="Box"/>
    <w:rsid w:val="00842A2A"/>
    <w:pPr>
      <w:keepNext/>
      <w:spacing w:before="200" w:line="280" w:lineRule="atLeast"/>
    </w:pPr>
    <w:rPr>
      <w:rFonts w:ascii="Arial" w:hAnsi="Arial"/>
      <w:b/>
      <w:sz w:val="22"/>
    </w:rPr>
  </w:style>
  <w:style w:type="paragraph" w:customStyle="1" w:styleId="BoxHeading2">
    <w:name w:val="Box Heading 2"/>
    <w:basedOn w:val="BoxHeading1"/>
    <w:next w:val="Normal"/>
    <w:rsid w:val="00842A2A"/>
    <w:rPr>
      <w:b w:val="0"/>
      <w:i/>
    </w:rPr>
  </w:style>
  <w:style w:type="paragraph" w:customStyle="1" w:styleId="QuoteBullet">
    <w:name w:val="Quote Bullet"/>
    <w:basedOn w:val="Quote"/>
    <w:rsid w:val="00842A2A"/>
    <w:pPr>
      <w:numPr>
        <w:numId w:val="11"/>
      </w:numPr>
    </w:pPr>
  </w:style>
  <w:style w:type="paragraph" w:styleId="BalloonText">
    <w:name w:val="Balloon Text"/>
    <w:basedOn w:val="Normal"/>
    <w:link w:val="BalloonTextChar"/>
    <w:rsid w:val="00842A2A"/>
    <w:rPr>
      <w:rFonts w:ascii="Tahoma" w:hAnsi="Tahoma" w:cs="Tahoma"/>
      <w:sz w:val="16"/>
      <w:szCs w:val="16"/>
    </w:rPr>
  </w:style>
  <w:style w:type="paragraph" w:customStyle="1" w:styleId="Jurisdictioncommentsbodytext">
    <w:name w:val="Jurisdiction comments body text"/>
    <w:rsid w:val="00842A2A"/>
    <w:pPr>
      <w:spacing w:after="140"/>
      <w:jc w:val="both"/>
    </w:pPr>
    <w:rPr>
      <w:rFonts w:ascii="Arial" w:hAnsi="Arial"/>
      <w:sz w:val="24"/>
      <w:lang w:eastAsia="en-US"/>
    </w:rPr>
  </w:style>
  <w:style w:type="paragraph" w:customStyle="1" w:styleId="Jurisdictioncommentsheading">
    <w:name w:val="Jurisdiction comments heading"/>
    <w:rsid w:val="00842A2A"/>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842A2A"/>
    <w:pPr>
      <w:numPr>
        <w:numId w:val="12"/>
      </w:numPr>
      <w:spacing w:after="140"/>
      <w:jc w:val="both"/>
    </w:pPr>
    <w:rPr>
      <w:rFonts w:ascii="Arial" w:hAnsi="Arial"/>
      <w:sz w:val="24"/>
      <w:lang w:eastAsia="en-US"/>
    </w:rPr>
  </w:style>
  <w:style w:type="character" w:customStyle="1" w:styleId="BodyTextChar1">
    <w:name w:val="Body Text Char1"/>
    <w:aliases w:val="new legislation style Char3,Body Text Char Char1,new legislation style Char Char1,Body Text Char1 Char Char1,new legislation style Char1 Char Char1,Body Text Char Char Char Char1,new legislation style Char Char Char Char1"/>
    <w:link w:val="BodyText"/>
    <w:rsid w:val="005603B4"/>
    <w:rPr>
      <w:sz w:val="24"/>
    </w:rPr>
  </w:style>
  <w:style w:type="character" w:customStyle="1" w:styleId="ListBulletChar">
    <w:name w:val="List Bullet Char"/>
    <w:link w:val="ListBullet"/>
    <w:rsid w:val="00B74530"/>
    <w:rPr>
      <w:sz w:val="24"/>
    </w:rPr>
  </w:style>
  <w:style w:type="character" w:customStyle="1" w:styleId="BodyTextCharChar">
    <w:name w:val="Body Text Char Char"/>
    <w:aliases w:val="new legislation style Char Char,Body Text Char1 Char Char,new legislation style Char1 Char Char,Body Text Char Char Char Char,new legislation style Char Char Char Char,new legislation style Char2,new legislation style Char1 Char1"/>
    <w:rsid w:val="00B74530"/>
    <w:rPr>
      <w:sz w:val="26"/>
      <w:lang w:val="en-AU" w:eastAsia="en-AU" w:bidi="ar-SA"/>
    </w:rPr>
  </w:style>
  <w:style w:type="paragraph" w:styleId="CommentSubject">
    <w:name w:val="annotation subject"/>
    <w:basedOn w:val="CommentText"/>
    <w:next w:val="CommentText"/>
    <w:semiHidden/>
    <w:rsid w:val="007662D3"/>
    <w:pPr>
      <w:spacing w:before="0" w:line="240" w:lineRule="auto"/>
      <w:ind w:left="0" w:firstLine="0"/>
    </w:pPr>
    <w:rPr>
      <w:b/>
      <w:bCs/>
      <w:szCs w:val="20"/>
    </w:rPr>
  </w:style>
  <w:style w:type="paragraph" w:customStyle="1" w:styleId="ListParagraph1">
    <w:name w:val="List Paragraph1"/>
    <w:aliases w:val="Recommendation"/>
    <w:basedOn w:val="Normal"/>
    <w:link w:val="ListParagraphChar"/>
    <w:rsid w:val="005400FB"/>
    <w:pPr>
      <w:ind w:left="720" w:hanging="357"/>
    </w:pPr>
  </w:style>
  <w:style w:type="character" w:customStyle="1" w:styleId="ListParagraphChar">
    <w:name w:val="List Paragraph Char"/>
    <w:aliases w:val="Recommendation Char"/>
    <w:link w:val="ListParagraph1"/>
    <w:locked/>
    <w:rsid w:val="005400FB"/>
    <w:rPr>
      <w:sz w:val="24"/>
      <w:szCs w:val="24"/>
      <w:lang w:val="en-AU" w:eastAsia="en-AU" w:bidi="ar-SA"/>
    </w:rPr>
  </w:style>
  <w:style w:type="character" w:customStyle="1" w:styleId="Heading2Char">
    <w:name w:val="Heading 2 Char"/>
    <w:link w:val="Heading2"/>
    <w:rsid w:val="002D6098"/>
    <w:rPr>
      <w:rFonts w:ascii="Arial" w:hAnsi="Arial"/>
      <w:b/>
      <w:sz w:val="32"/>
    </w:rPr>
  </w:style>
  <w:style w:type="paragraph" w:styleId="NormalWeb">
    <w:name w:val="Normal (Web)"/>
    <w:basedOn w:val="Normal"/>
    <w:rsid w:val="000E1E70"/>
    <w:pPr>
      <w:spacing w:before="100" w:beforeAutospacing="1" w:after="180"/>
    </w:pPr>
    <w:rPr>
      <w:rFonts w:ascii="Verdana" w:hAnsi="Verdana"/>
      <w:color w:val="000000"/>
    </w:rPr>
  </w:style>
  <w:style w:type="character" w:styleId="Strong">
    <w:name w:val="Strong"/>
    <w:qFormat/>
    <w:rsid w:val="000E1E70"/>
    <w:rPr>
      <w:b/>
      <w:bCs/>
    </w:rPr>
  </w:style>
  <w:style w:type="character" w:styleId="Hyperlink">
    <w:name w:val="Hyperlink"/>
    <w:rsid w:val="00B55B9D"/>
    <w:rPr>
      <w:color w:val="0000FF"/>
      <w:u w:val="single"/>
    </w:rPr>
  </w:style>
  <w:style w:type="paragraph" w:customStyle="1" w:styleId="BoxSpaceAbove">
    <w:name w:val="Box Space Above"/>
    <w:basedOn w:val="BodyText"/>
    <w:rsid w:val="00842A2A"/>
    <w:pPr>
      <w:keepNext/>
      <w:spacing w:before="360" w:line="80" w:lineRule="exact"/>
      <w:jc w:val="left"/>
    </w:pPr>
  </w:style>
  <w:style w:type="paragraph" w:customStyle="1" w:styleId="RecBBullet2">
    <w:name w:val="RecB Bullet 2"/>
    <w:basedOn w:val="ListBullet2"/>
    <w:semiHidden/>
    <w:rsid w:val="00842A2A"/>
    <w:pPr>
      <w:pBdr>
        <w:left w:val="single" w:sz="24" w:space="29" w:color="C0C0C0"/>
      </w:pBdr>
    </w:pPr>
    <w:rPr>
      <w:b/>
      <w:i/>
    </w:rPr>
  </w:style>
  <w:style w:type="character" w:customStyle="1" w:styleId="BalloonTextChar">
    <w:name w:val="Balloon Text Char"/>
    <w:basedOn w:val="DefaultParagraphFont"/>
    <w:link w:val="BalloonText"/>
    <w:rsid w:val="00842A2A"/>
    <w:rPr>
      <w:rFonts w:ascii="Tahoma" w:hAnsi="Tahoma" w:cs="Tahoma"/>
      <w:sz w:val="16"/>
      <w:szCs w:val="16"/>
    </w:rPr>
  </w:style>
  <w:style w:type="character" w:customStyle="1" w:styleId="SubtitleChar">
    <w:name w:val="Subtitle Char"/>
    <w:basedOn w:val="DefaultParagraphFont"/>
    <w:link w:val="Subtitle"/>
    <w:rsid w:val="00842A2A"/>
    <w:rPr>
      <w:rFonts w:ascii="Arial" w:hAnsi="Arial"/>
      <w:szCs w:val="24"/>
    </w:rPr>
  </w:style>
  <w:style w:type="paragraph" w:customStyle="1" w:styleId="BoxListBullet3">
    <w:name w:val="Box List Bullet 3"/>
    <w:basedOn w:val="ListBullet3"/>
    <w:rsid w:val="00842A2A"/>
    <w:pPr>
      <w:numPr>
        <w:numId w:val="2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842A2A"/>
    <w:rPr>
      <w:i/>
      <w:iCs/>
    </w:rPr>
  </w:style>
  <w:style w:type="paragraph" w:customStyle="1" w:styleId="BoxQuoteBullet">
    <w:name w:val="Box Quote Bullet"/>
    <w:basedOn w:val="BoxQuote"/>
    <w:next w:val="Box"/>
    <w:rsid w:val="00842A2A"/>
    <w:pPr>
      <w:numPr>
        <w:numId w:val="23"/>
      </w:numPr>
      <w:ind w:left="568" w:hanging="284"/>
    </w:pPr>
  </w:style>
  <w:style w:type="paragraph" w:customStyle="1" w:styleId="InformationRequestBullet">
    <w:name w:val="Information Request Bullet"/>
    <w:basedOn w:val="ListBullet"/>
    <w:next w:val="BodyText"/>
    <w:rsid w:val="00842A2A"/>
    <w:pPr>
      <w:numPr>
        <w:numId w:val="25"/>
      </w:numPr>
      <w:spacing w:before="80" w:line="280" w:lineRule="atLeast"/>
      <w:ind w:left="357" w:hanging="357"/>
    </w:pPr>
    <w:rPr>
      <w:rFonts w:ascii="Arial" w:hAnsi="Arial"/>
      <w:i/>
      <w:sz w:val="22"/>
    </w:rPr>
  </w:style>
  <w:style w:type="paragraph" w:customStyle="1" w:styleId="BoxSpaceBelow">
    <w:name w:val="Box Space Below"/>
    <w:basedOn w:val="Box"/>
    <w:rsid w:val="00842A2A"/>
    <w:pPr>
      <w:keepNext w:val="0"/>
      <w:spacing w:before="60" w:after="60" w:line="80" w:lineRule="exact"/>
    </w:pPr>
    <w:rPr>
      <w:sz w:val="14"/>
    </w:rPr>
  </w:style>
  <w:style w:type="paragraph" w:customStyle="1" w:styleId="KeyPointsListBullet">
    <w:name w:val="Key Points List Bullet"/>
    <w:basedOn w:val="Normal"/>
    <w:qFormat/>
    <w:rsid w:val="00842A2A"/>
    <w:pPr>
      <w:keepNext/>
      <w:numPr>
        <w:numId w:val="26"/>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842A2A"/>
    <w:pPr>
      <w:numPr>
        <w:numId w:val="27"/>
      </w:numPr>
      <w:ind w:left="568" w:hanging="284"/>
    </w:pPr>
  </w:style>
  <w:style w:type="paragraph" w:customStyle="1" w:styleId="InformationRequestTitle">
    <w:name w:val="Information Request Title"/>
    <w:basedOn w:val="FindingTitle"/>
    <w:next w:val="InformationRequest"/>
    <w:rsid w:val="00842A2A"/>
    <w:rPr>
      <w:i/>
    </w:rPr>
  </w:style>
  <w:style w:type="paragraph" w:customStyle="1" w:styleId="Space">
    <w:name w:val="Space"/>
    <w:basedOn w:val="Normal"/>
    <w:rsid w:val="00842A2A"/>
    <w:pPr>
      <w:keepNext/>
      <w:spacing w:line="120" w:lineRule="exact"/>
      <w:jc w:val="both"/>
    </w:pPr>
    <w:rPr>
      <w:rFonts w:ascii="Arial" w:hAnsi="Arial"/>
      <w:sz w:val="20"/>
      <w:szCs w:val="20"/>
    </w:rPr>
  </w:style>
  <w:style w:type="paragraph" w:customStyle="1" w:styleId="Heading1nochapterno">
    <w:name w:val="Heading 1 (no chapter no.)"/>
    <w:basedOn w:val="Heading1"/>
    <w:rsid w:val="00842A2A"/>
    <w:pPr>
      <w:spacing w:before="0"/>
      <w:ind w:left="0" w:firstLine="0"/>
    </w:pPr>
  </w:style>
  <w:style w:type="paragraph" w:customStyle="1" w:styleId="Heading2nosectionno">
    <w:name w:val="Heading 2 (no section no.)"/>
    <w:basedOn w:val="Heading2"/>
    <w:rsid w:val="00842A2A"/>
    <w:pPr>
      <w:ind w:left="0" w:firstLine="0"/>
    </w:pPr>
  </w:style>
  <w:style w:type="character" w:customStyle="1" w:styleId="Heading5Char">
    <w:name w:val="Heading 5 Char"/>
    <w:basedOn w:val="DefaultParagraphFont"/>
    <w:link w:val="Heading5"/>
    <w:rsid w:val="00842A2A"/>
    <w:rPr>
      <w:rFonts w:ascii="Arial" w:hAnsi="Arial"/>
      <w:i/>
      <w:sz w:val="22"/>
    </w:rPr>
  </w:style>
  <w:style w:type="paragraph" w:customStyle="1" w:styleId="Figurespace">
    <w:name w:val="Figure space"/>
    <w:basedOn w:val="Box"/>
    <w:rsid w:val="00842A2A"/>
    <w:pPr>
      <w:spacing w:before="0" w:line="120" w:lineRule="exact"/>
    </w:pPr>
  </w:style>
  <w:style w:type="paragraph" w:customStyle="1" w:styleId="FooterDraftReport">
    <w:name w:val="FooterDraftReport"/>
    <w:basedOn w:val="Footer"/>
    <w:link w:val="FooterDraftReportChar"/>
    <w:rsid w:val="00842A2A"/>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
    <w:link w:val="Footer"/>
    <w:semiHidden/>
    <w:rsid w:val="00842A2A"/>
    <w:rPr>
      <w:rFonts w:ascii="Arial" w:hAnsi="Arial"/>
      <w:caps/>
      <w:spacing w:val="-4"/>
      <w:sz w:val="16"/>
    </w:rPr>
  </w:style>
  <w:style w:type="character" w:customStyle="1" w:styleId="FooterDraftReportChar">
    <w:name w:val="FooterDraftReport Char"/>
    <w:basedOn w:val="FooterChar"/>
    <w:link w:val="FooterDraftReport"/>
    <w:rsid w:val="00842A2A"/>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842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842A2A"/>
    <w:rPr>
      <w:rFonts w:ascii="Arial" w:hAnsi="Arial"/>
      <w:b/>
      <w:sz w:val="26"/>
      <w:szCs w:val="26"/>
      <w:lang w:eastAsia="en-US"/>
    </w:rPr>
  </w:style>
  <w:style w:type="character" w:customStyle="1" w:styleId="Continuedintitle">
    <w:name w:val="Continued (in title)"/>
    <w:basedOn w:val="DefaultParagraphFont"/>
    <w:rsid w:val="00842A2A"/>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210793">
      <w:bodyDiv w:val="1"/>
      <w:marLeft w:val="0"/>
      <w:marRight w:val="0"/>
      <w:marTop w:val="0"/>
      <w:marBottom w:val="0"/>
      <w:divBdr>
        <w:top w:val="none" w:sz="0" w:space="0" w:color="auto"/>
        <w:left w:val="none" w:sz="0" w:space="0" w:color="auto"/>
        <w:bottom w:val="none" w:sz="0" w:space="0" w:color="auto"/>
        <w:right w:val="none" w:sz="0" w:space="0" w:color="auto"/>
      </w:divBdr>
      <w:divsChild>
        <w:div w:id="256134190">
          <w:marLeft w:val="2340"/>
          <w:marRight w:val="0"/>
          <w:marTop w:val="0"/>
          <w:marBottom w:val="0"/>
          <w:divBdr>
            <w:top w:val="none" w:sz="0" w:space="0" w:color="auto"/>
            <w:left w:val="none" w:sz="0" w:space="0" w:color="auto"/>
            <w:bottom w:val="none" w:sz="0" w:space="0" w:color="auto"/>
            <w:right w:val="none" w:sz="0" w:space="0" w:color="auto"/>
          </w:divBdr>
          <w:divsChild>
            <w:div w:id="1395591646">
              <w:marLeft w:val="0"/>
              <w:marRight w:val="0"/>
              <w:marTop w:val="0"/>
              <w:marBottom w:val="0"/>
              <w:divBdr>
                <w:top w:val="none" w:sz="0" w:space="0" w:color="auto"/>
                <w:left w:val="none" w:sz="0" w:space="0" w:color="auto"/>
                <w:bottom w:val="none" w:sz="0" w:space="0" w:color="auto"/>
                <w:right w:val="none" w:sz="0" w:space="0" w:color="auto"/>
              </w:divBdr>
              <w:divsChild>
                <w:div w:id="101253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chapter.dotm</Template>
  <TotalTime>3</TotalTime>
  <Pages>17</Pages>
  <Words>5314</Words>
  <Characters>31567</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Roles and responsibilities of Review participants - Steering Committee for the Review of Government Service Provision</vt:lpstr>
    </vt:vector>
  </TitlesOfParts>
  <Company>Productivity Commission</Company>
  <LinksUpToDate>false</LinksUpToDate>
  <CharactersWithSpaces>36808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and responsibilities of Review participants - Steering Committee for the Review of Government Service Provision</dc:title>
  <dc:subject/>
  <dc:creator>Productivity Commission</dc:creator>
  <cp:keywords/>
  <cp:lastModifiedBy>Productivity Commission</cp:lastModifiedBy>
  <cp:revision>5</cp:revision>
  <cp:lastPrinted>2017-08-21T23:21:00Z</cp:lastPrinted>
  <dcterms:created xsi:type="dcterms:W3CDTF">2017-08-21T23:21:00Z</dcterms:created>
  <dcterms:modified xsi:type="dcterms:W3CDTF">2017-08-21T23:51:00Z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